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永安市燕东街道办事处20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年政府信息</w:t>
      </w:r>
    </w:p>
    <w:p>
      <w:pPr>
        <w:jc w:val="center"/>
        <w:rPr>
          <w:rFonts w:hint="eastAsia" w:ascii="方正小标宋简体" w:eastAsia="方正小标宋简体"/>
          <w:sz w:val="44"/>
          <w:szCs w:val="44"/>
        </w:rPr>
      </w:pPr>
      <w:r>
        <w:rPr>
          <w:rFonts w:hint="eastAsia" w:ascii="方正小标宋简体" w:eastAsia="方正小标宋简体"/>
          <w:sz w:val="44"/>
          <w:szCs w:val="44"/>
        </w:rPr>
        <w:t>公开工作年度报告</w:t>
      </w:r>
    </w:p>
    <w:p>
      <w:pPr>
        <w:widowControl/>
        <w:ind w:firstLine="645"/>
        <w:jc w:val="left"/>
        <w:rPr>
          <w:rFonts w:hint="eastAsia" w:ascii="仿宋" w:hAnsi="仿宋" w:eastAsia="仿宋" w:cs="仿宋"/>
          <w:sz w:val="32"/>
          <w:szCs w:val="32"/>
        </w:rPr>
      </w:pPr>
      <w:r>
        <w:rPr>
          <w:rFonts w:hint="eastAsia" w:ascii="仿宋" w:hAnsi="仿宋" w:eastAsia="仿宋" w:cs="仿宋"/>
          <w:sz w:val="32"/>
          <w:szCs w:val="32"/>
        </w:rPr>
        <w:t>按照《中华人民共和国政府信息公开条例》（以下简称《条例》）、《中华人民共和国政府信息公开工作年度报告格式（试行）》、《福建省政府信息公开办法》（以下简称《办法》）以及永安市政府信息公开中心《2020年永安市政府信息公开工作年度报告》的要求，特向社会公布2020年度燕东街道信息公开年度报告。报告所列数据的统计期限自2020年1月1日起至2020年12月31日止。年报全文由总体情况、行政机关主动公开政府信息情况、行政机关收到和处理政府信息公开申请情况、因政府信息公开工作被申请行政复议、提起行政诉讼情况、政府信息公开工作存在的主要问题及改进情况、其他需要报告的事项等六个部分组成。电子版在市政府门户网站（http://www.ya.gov.cn/）下载。如对本报告有任何疑问，请与永安市燕东街道办事处联系（地址：永安市含笑大道1号,邮编：366000,电子邮箱: ydjdbsc@163.com，联系电话：0598—3614549）。</w:t>
      </w:r>
    </w:p>
    <w:p>
      <w:pPr>
        <w:widowControl/>
        <w:ind w:firstLine="645"/>
        <w:jc w:val="left"/>
        <w:rPr>
          <w:rFonts w:hint="eastAsia" w:ascii="黑体" w:hAnsi="黑体" w:eastAsia="黑体" w:cs="宋体"/>
          <w:kern w:val="0"/>
          <w:sz w:val="32"/>
          <w:szCs w:val="32"/>
        </w:rPr>
      </w:pPr>
      <w:r>
        <w:rPr>
          <w:rFonts w:hint="eastAsia" w:ascii="黑体" w:hAnsi="黑体" w:eastAsia="黑体" w:cs="宋体"/>
          <w:kern w:val="0"/>
          <w:sz w:val="32"/>
          <w:szCs w:val="32"/>
        </w:rPr>
        <w:t>一</w:t>
      </w:r>
      <w:r>
        <w:rPr>
          <w:rFonts w:ascii="黑体" w:hAnsi="黑体" w:eastAsia="黑体" w:cs="宋体"/>
          <w:kern w:val="0"/>
          <w:sz w:val="32"/>
          <w:szCs w:val="32"/>
        </w:rPr>
        <w:t>、</w:t>
      </w:r>
      <w:r>
        <w:rPr>
          <w:rFonts w:hint="eastAsia" w:ascii="黑体" w:hAnsi="黑体" w:eastAsia="黑体" w:cs="宋体"/>
          <w:kern w:val="0"/>
          <w:sz w:val="32"/>
          <w:szCs w:val="32"/>
        </w:rPr>
        <w:t>总体</w:t>
      </w:r>
      <w:r>
        <w:rPr>
          <w:rFonts w:ascii="黑体" w:hAnsi="黑体" w:eastAsia="黑体" w:cs="宋体"/>
          <w:kern w:val="0"/>
          <w:sz w:val="32"/>
          <w:szCs w:val="32"/>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caps w:val="0"/>
          <w:color w:val="333333"/>
          <w:spacing w:val="0"/>
          <w:sz w:val="28"/>
          <w:szCs w:val="28"/>
        </w:rPr>
      </w:pPr>
      <w:r>
        <w:rPr>
          <w:rFonts w:hint="eastAsia" w:ascii="黑体" w:hAnsi="黑体" w:eastAsia="黑体" w:cs="黑体"/>
          <w:sz w:val="32"/>
          <w:szCs w:val="32"/>
        </w:rPr>
        <w:t>　　</w:t>
      </w:r>
      <w:r>
        <w:rPr>
          <w:rFonts w:hint="eastAsia" w:ascii="仿宋" w:hAnsi="仿宋" w:eastAsia="仿宋" w:cs="仿宋"/>
          <w:kern w:val="2"/>
          <w:sz w:val="32"/>
          <w:szCs w:val="32"/>
          <w:lang w:val="en-US" w:eastAsia="zh-CN" w:bidi="ar-SA"/>
        </w:rPr>
        <w:t>坚持以习近平新时代中国特色社会主义思想为指导，严格按照“以公开为常态，不公开为例外”的原则，把政务公开当做我街重要工作进行开展，强化组织领导，突出工作重点，严格考核监督，着力强化政务公开机制，提升政务公开质量，加强政策解读回应力度，持续深化重点领域公开，并根据本单位工作实际，结合《条例》、《办法》和永安市人民政府信息公开工作指示精神，全力抓好主动公开、依申请公开、政府信息管理、平台建设、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楷体_GB2312" w:hAnsi="宋体" w:eastAsia="楷体_GB2312" w:cs="宋体"/>
          <w:kern w:val="0"/>
          <w:sz w:val="32"/>
          <w:szCs w:val="32"/>
          <w:lang w:val="en-US" w:eastAsia="zh-CN" w:bidi="ar-SA"/>
        </w:rPr>
      </w:pPr>
      <w:r>
        <w:rPr>
          <w:rFonts w:hint="eastAsia" w:ascii="宋体" w:hAnsi="宋体" w:eastAsia="宋体" w:cs="宋体"/>
          <w:i w:val="0"/>
          <w:caps w:val="0"/>
          <w:color w:val="333333"/>
          <w:spacing w:val="0"/>
          <w:sz w:val="28"/>
          <w:szCs w:val="28"/>
          <w:shd w:val="clear" w:fill="FFFFFF"/>
        </w:rPr>
        <w:t>　　</w:t>
      </w:r>
      <w:r>
        <w:rPr>
          <w:rFonts w:hint="eastAsia" w:ascii="楷体_GB2312" w:hAnsi="宋体" w:eastAsia="楷体_GB2312" w:cs="宋体"/>
          <w:kern w:val="0"/>
          <w:sz w:val="32"/>
          <w:szCs w:val="32"/>
          <w:lang w:val="en-US" w:eastAsia="zh-CN" w:bidi="ar-SA"/>
        </w:rPr>
        <w:t>（一）主动公开政府信息情况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kern w:val="2"/>
          <w:sz w:val="32"/>
          <w:szCs w:val="32"/>
          <w:lang w:val="en-US" w:eastAsia="zh-CN" w:bidi="ar-SA"/>
        </w:rPr>
      </w:pPr>
      <w:r>
        <w:rPr>
          <w:rFonts w:hint="eastAsia" w:ascii="宋体" w:hAnsi="宋体" w:eastAsia="宋体" w:cs="宋体"/>
          <w:i w:val="0"/>
          <w:caps w:val="0"/>
          <w:color w:val="333333"/>
          <w:spacing w:val="0"/>
          <w:sz w:val="28"/>
          <w:szCs w:val="28"/>
          <w:shd w:val="clear" w:fill="FFFFFF"/>
        </w:rPr>
        <w:t>　</w:t>
      </w:r>
      <w:r>
        <w:rPr>
          <w:rFonts w:hint="eastAsia" w:ascii="仿宋" w:hAnsi="仿宋" w:eastAsia="仿宋" w:cs="仿宋"/>
          <w:kern w:val="2"/>
          <w:sz w:val="32"/>
          <w:szCs w:val="32"/>
          <w:lang w:val="en-US" w:eastAsia="zh-CN" w:bidi="ar-SA"/>
        </w:rPr>
        <w:t>　1、2020年度我单位共制作信息14条，其中主动公开信息数14条，占比100%，网站公开14条，占100%：其中机构职能类信息8条，占57.14%，民政扶贫救灾社会保障就业类信息1条，占7.14%；科教文体卫生类信息1条，占7.14%；安全生产、应急管理类信息1条，占7.14%；其他类信息3条，占21.44%；依申请公开信息数0条；不予公开信息数0条。历年累计主动公开信息255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2、信息公开的主要形式：2020年通过政府门户网站、信息公开栏、宣传栏、微信公众号、LED显示屏等方式开展政府信息公开工作。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　　</w:t>
      </w:r>
      <w:r>
        <w:rPr>
          <w:rFonts w:hint="eastAsia" w:ascii="楷体_GB2312" w:hAnsi="宋体" w:eastAsia="楷体_GB2312" w:cs="宋体"/>
          <w:kern w:val="0"/>
          <w:sz w:val="32"/>
          <w:szCs w:val="32"/>
          <w:lang w:val="en-US" w:eastAsia="zh-CN" w:bidi="ar-SA"/>
        </w:rPr>
        <w:t>（二）政府信息依申请公开办理情况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kern w:val="2"/>
          <w:sz w:val="32"/>
          <w:szCs w:val="32"/>
          <w:lang w:val="en-US" w:eastAsia="zh-CN" w:bidi="ar-SA"/>
        </w:rPr>
      </w:pPr>
      <w:r>
        <w:rPr>
          <w:rFonts w:hint="eastAsia" w:ascii="宋体" w:hAnsi="宋体" w:eastAsia="宋体" w:cs="宋体"/>
          <w:i w:val="0"/>
          <w:caps w:val="0"/>
          <w:color w:val="333333"/>
          <w:spacing w:val="0"/>
          <w:sz w:val="28"/>
          <w:szCs w:val="28"/>
          <w:shd w:val="clear" w:fill="FFFFFF"/>
        </w:rPr>
        <w:t>　　</w:t>
      </w:r>
      <w:r>
        <w:rPr>
          <w:rFonts w:hint="eastAsia" w:ascii="仿宋" w:hAnsi="仿宋" w:eastAsia="仿宋" w:cs="仿宋"/>
          <w:kern w:val="2"/>
          <w:sz w:val="32"/>
          <w:szCs w:val="32"/>
          <w:lang w:val="en-US" w:eastAsia="zh-CN" w:bidi="ar-SA"/>
        </w:rPr>
        <w:t>2020年度我单位未受理依申请公开信息申请，历年共计受理依申请公开信息申请0条，具体情况详见本文表格。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楷体_GB2312" w:hAnsi="宋体" w:eastAsia="楷体_GB2312" w:cs="宋体"/>
          <w:kern w:val="0"/>
          <w:sz w:val="32"/>
          <w:szCs w:val="32"/>
          <w:lang w:val="en-US" w:eastAsia="zh-CN" w:bidi="ar-SA"/>
        </w:rPr>
      </w:pPr>
      <w:r>
        <w:rPr>
          <w:rFonts w:hint="eastAsia" w:ascii="宋体" w:hAnsi="宋体" w:eastAsia="宋体" w:cs="宋体"/>
          <w:i w:val="0"/>
          <w:caps w:val="0"/>
          <w:color w:val="333333"/>
          <w:spacing w:val="0"/>
          <w:sz w:val="28"/>
          <w:szCs w:val="28"/>
          <w:shd w:val="clear" w:fill="FFFFFF"/>
        </w:rPr>
        <w:t>　</w:t>
      </w:r>
      <w:r>
        <w:rPr>
          <w:rFonts w:hint="eastAsia" w:ascii="楷体_GB2312" w:hAnsi="宋体" w:eastAsia="楷体_GB2312" w:cs="宋体"/>
          <w:kern w:val="0"/>
          <w:sz w:val="32"/>
          <w:szCs w:val="32"/>
          <w:lang w:val="en-US" w:eastAsia="zh-CN" w:bidi="ar-SA"/>
        </w:rPr>
        <w:t>　（三）因政府信息公开申请行政复议、提起行政诉讼的情况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kern w:val="2"/>
          <w:sz w:val="32"/>
          <w:szCs w:val="32"/>
          <w:lang w:val="en-US" w:eastAsia="zh-CN" w:bidi="ar-SA"/>
        </w:rPr>
      </w:pPr>
      <w:r>
        <w:rPr>
          <w:rFonts w:hint="eastAsia" w:ascii="宋体" w:hAnsi="宋体" w:eastAsia="宋体" w:cs="宋体"/>
          <w:i w:val="0"/>
          <w:caps w:val="0"/>
          <w:color w:val="333333"/>
          <w:spacing w:val="0"/>
          <w:sz w:val="28"/>
          <w:szCs w:val="28"/>
          <w:shd w:val="clear" w:fill="FFFFFF"/>
        </w:rPr>
        <w:t>　　</w:t>
      </w:r>
      <w:r>
        <w:rPr>
          <w:rFonts w:hint="eastAsia" w:ascii="仿宋" w:hAnsi="仿宋" w:eastAsia="仿宋" w:cs="仿宋"/>
          <w:kern w:val="2"/>
          <w:sz w:val="32"/>
          <w:szCs w:val="32"/>
          <w:lang w:val="en-US" w:eastAsia="zh-CN" w:bidi="ar-SA"/>
        </w:rPr>
        <w:t>2020年度，我单位未发生涉及政府信息公开的行政复议案件和提起行政诉讼的案件。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　　</w:t>
      </w:r>
      <w:r>
        <w:rPr>
          <w:rFonts w:hint="eastAsia" w:ascii="楷体_GB2312" w:hAnsi="宋体" w:eastAsia="楷体_GB2312" w:cs="宋体"/>
          <w:kern w:val="0"/>
          <w:sz w:val="32"/>
          <w:szCs w:val="32"/>
          <w:lang w:val="en-US" w:eastAsia="zh-CN" w:bidi="ar-SA"/>
        </w:rPr>
        <w:t>（四）报送两馆情况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2020年度报送两馆共计14条。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　</w:t>
      </w:r>
      <w:r>
        <w:rPr>
          <w:rFonts w:hint="eastAsia" w:ascii="楷体_GB2312" w:hAnsi="宋体" w:eastAsia="楷体_GB2312" w:cs="宋体"/>
          <w:kern w:val="0"/>
          <w:sz w:val="32"/>
          <w:szCs w:val="32"/>
          <w:lang w:val="en-US" w:eastAsia="zh-CN" w:bidi="ar-SA"/>
        </w:rPr>
        <w:t>　（五）政府信息管理的情况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kern w:val="2"/>
          <w:sz w:val="32"/>
          <w:szCs w:val="32"/>
          <w:lang w:val="en-US" w:eastAsia="zh-CN" w:bidi="ar-SA"/>
        </w:rPr>
      </w:pPr>
      <w:r>
        <w:rPr>
          <w:rFonts w:hint="eastAsia" w:ascii="宋体" w:hAnsi="宋体" w:eastAsia="宋体" w:cs="宋体"/>
          <w:i w:val="0"/>
          <w:caps w:val="0"/>
          <w:color w:val="333333"/>
          <w:spacing w:val="0"/>
          <w:sz w:val="28"/>
          <w:szCs w:val="28"/>
          <w:shd w:val="clear" w:fill="FFFFFF"/>
        </w:rPr>
        <w:t>　　</w:t>
      </w:r>
      <w:r>
        <w:rPr>
          <w:rFonts w:hint="eastAsia" w:ascii="仿宋" w:hAnsi="仿宋" w:eastAsia="仿宋" w:cs="仿宋"/>
          <w:kern w:val="2"/>
          <w:sz w:val="32"/>
          <w:szCs w:val="32"/>
          <w:lang w:val="en-US" w:eastAsia="zh-CN" w:bidi="ar-SA"/>
        </w:rPr>
        <w:t>形成分管领导为第一审核人，党政办公室主任为第二审核人，党政办公室分管领导为最终审核人的信息公开审核机制，信息公开前，需经分管领导审核同意，提交党政办主任二审，党政办分管领导终审的“三审”程序后，方可准予公开。同时不断加强对修订后的《中华人民共和国政府信息公开条例》的学习，完善审核监督机制，按照文件规范信息公开分类规范目录，严格按照“谁主管、谁公开”、“谁公开、谁审查”、“谁审查、谁负责”和“先审查、后公开”的规程要求，强化对公开信息的内容保密性方面的审核，规范和完善保密审查的流程和分工，不断提升信息公开审核制度的严密性和规范性，确保不发生信息公开泄密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　　</w:t>
      </w:r>
      <w:r>
        <w:rPr>
          <w:rFonts w:hint="eastAsia" w:ascii="楷体_GB2312" w:hAnsi="宋体" w:eastAsia="楷体_GB2312" w:cs="宋体"/>
          <w:kern w:val="0"/>
          <w:sz w:val="32"/>
          <w:szCs w:val="32"/>
          <w:lang w:val="en-US" w:eastAsia="zh-CN" w:bidi="ar-SA"/>
        </w:rPr>
        <w:t>（六）政府信息公开平台建设的情况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kern w:val="2"/>
          <w:sz w:val="32"/>
          <w:szCs w:val="32"/>
          <w:lang w:val="en-US" w:eastAsia="zh-CN" w:bidi="ar-SA"/>
        </w:rPr>
      </w:pPr>
      <w:r>
        <w:rPr>
          <w:rFonts w:hint="eastAsia" w:ascii="宋体" w:hAnsi="宋体" w:eastAsia="宋体" w:cs="宋体"/>
          <w:i w:val="0"/>
          <w:caps w:val="0"/>
          <w:color w:val="333333"/>
          <w:spacing w:val="0"/>
          <w:sz w:val="28"/>
          <w:szCs w:val="28"/>
          <w:shd w:val="clear" w:fill="FFFFFF"/>
        </w:rPr>
        <w:t>　　</w:t>
      </w:r>
      <w:r>
        <w:rPr>
          <w:rFonts w:hint="eastAsia" w:ascii="仿宋" w:hAnsi="仿宋" w:eastAsia="仿宋" w:cs="仿宋"/>
          <w:kern w:val="2"/>
          <w:sz w:val="32"/>
          <w:szCs w:val="32"/>
          <w:lang w:val="en-US" w:eastAsia="zh-CN" w:bidi="ar-SA"/>
        </w:rPr>
        <w:t>不断加强信息公开渠道，完善信息公开平台，2020年度我街信息公开平台主体为市政务公开网，同时不断加强在政务信息公开栏、LED等传统公开阵地的公开力度，加强向今日永安网、学习强国等新媒体平台的信息公开力度，做好与永安市融媒体中心的协同，不断拓展我街政府信息公开的渠道和覆盖面。同时我街严格按照信息公开工作要求，及时、准确对可公开信息通过各个公开渠道进行公开工作。本年度，通过永安市人民政府网站公开信息14条，完成四个季度的政务信息公开统计工作，报送图书馆、档案馆共计14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楷体_GB2312" w:hAnsi="宋体" w:eastAsia="楷体_GB2312" w:cs="宋体"/>
          <w:kern w:val="0"/>
          <w:sz w:val="32"/>
          <w:szCs w:val="32"/>
          <w:lang w:val="en-US" w:eastAsia="zh-CN" w:bidi="ar-SA"/>
        </w:rPr>
      </w:pPr>
      <w:r>
        <w:rPr>
          <w:rFonts w:hint="eastAsia" w:ascii="宋体" w:hAnsi="宋体" w:eastAsia="宋体" w:cs="宋体"/>
          <w:i w:val="0"/>
          <w:caps w:val="0"/>
          <w:color w:val="333333"/>
          <w:spacing w:val="0"/>
          <w:sz w:val="28"/>
          <w:szCs w:val="28"/>
          <w:shd w:val="clear" w:fill="FFFFFF"/>
        </w:rPr>
        <w:t>　</w:t>
      </w:r>
      <w:r>
        <w:rPr>
          <w:rFonts w:hint="eastAsia" w:ascii="楷体_GB2312" w:hAnsi="宋体" w:eastAsia="楷体_GB2312" w:cs="宋体"/>
          <w:kern w:val="0"/>
          <w:sz w:val="32"/>
          <w:szCs w:val="32"/>
          <w:lang w:val="en-US" w:eastAsia="zh-CN" w:bidi="ar-SA"/>
        </w:rPr>
        <w:t>　（七）政府信息公开监督保障的情况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kern w:val="2"/>
          <w:sz w:val="32"/>
          <w:szCs w:val="32"/>
          <w:lang w:val="en-US" w:eastAsia="zh-CN" w:bidi="ar-SA"/>
        </w:rPr>
      </w:pPr>
      <w:r>
        <w:rPr>
          <w:rFonts w:hint="eastAsia" w:ascii="宋体" w:hAnsi="宋体" w:eastAsia="宋体" w:cs="宋体"/>
          <w:i w:val="0"/>
          <w:caps w:val="0"/>
          <w:color w:val="333333"/>
          <w:spacing w:val="0"/>
          <w:sz w:val="28"/>
          <w:szCs w:val="28"/>
          <w:shd w:val="clear" w:fill="FFFFFF"/>
        </w:rPr>
        <w:t>　　</w:t>
      </w:r>
      <w:r>
        <w:rPr>
          <w:rFonts w:hint="eastAsia" w:ascii="仿宋" w:hAnsi="仿宋" w:eastAsia="仿宋" w:cs="仿宋"/>
          <w:kern w:val="2"/>
          <w:sz w:val="32"/>
          <w:szCs w:val="32"/>
          <w:lang w:val="en-US" w:eastAsia="zh-CN" w:bidi="ar-SA"/>
        </w:rPr>
        <w:t>认真落实《永安市人民政府信息公开制度》、《永安市人民政府信息公开工作考核办法（试行）》、《永安市人民政府信息公开社会评议工作办法（试行）》和《永安市人民政府信息公开工作责任追究办法（试行）》等制度规定，遵循客观公正、民主公开、注重实效、促进工作的原则。一是不断加强政务公开审核流程和机制，由街道纪工委开展不定期监督检查，对街道政务公开审核流程、责任落实等情况开展督查，保障公开工作合法合规，杜绝泄密事件发生；二是不断提升我街政务工作透明度，通过LED、市政府网站等多渠道加大公开面，整合媒体资源，扩大信息公开受众，为更广泛接受群众监督夯实基础，全力推进我街一体化政务服务门户的构建工作，</w:t>
      </w:r>
      <w:bookmarkStart w:id="0" w:name="_GoBack"/>
      <w:bookmarkEnd w:id="0"/>
      <w:r>
        <w:rPr>
          <w:rFonts w:hint="eastAsia" w:ascii="仿宋" w:hAnsi="仿宋" w:eastAsia="仿宋" w:cs="仿宋"/>
          <w:kern w:val="0"/>
          <w:sz w:val="32"/>
          <w:szCs w:val="32"/>
          <w:lang w:val="en-US" w:eastAsia="zh-CN" w:bidi="ar-SA"/>
        </w:rPr>
        <w:t>完善政务公开保障监督机制，确保应公开、尽公开，自觉主动接受社会评议，</w:t>
      </w:r>
      <w:r>
        <w:rPr>
          <w:rFonts w:hint="eastAsia" w:ascii="仿宋" w:hAnsi="仿宋" w:eastAsia="仿宋" w:cs="仿宋"/>
          <w:kern w:val="2"/>
          <w:sz w:val="32"/>
          <w:szCs w:val="32"/>
          <w:lang w:val="en-US" w:eastAsia="zh-CN" w:bidi="ar-SA"/>
        </w:rPr>
        <w:t>2020年，我街未发现责任追究、违反有关法律规定、造成不良影响或严重后果的情况。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　</w:t>
      </w:r>
      <w:r>
        <w:rPr>
          <w:rFonts w:hint="eastAsia" w:ascii="楷体_GB2312" w:hAnsi="宋体" w:eastAsia="楷体_GB2312" w:cs="宋体"/>
          <w:kern w:val="0"/>
          <w:sz w:val="32"/>
          <w:szCs w:val="32"/>
          <w:lang w:val="en-US" w:eastAsia="zh-CN" w:bidi="ar-SA"/>
        </w:rPr>
        <w:t>　（八）重点工作完成情况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kern w:val="2"/>
          <w:sz w:val="32"/>
          <w:szCs w:val="32"/>
          <w:lang w:val="en-US" w:eastAsia="zh-CN" w:bidi="ar-SA"/>
        </w:rPr>
      </w:pPr>
      <w:r>
        <w:rPr>
          <w:rFonts w:hint="eastAsia" w:ascii="宋体" w:hAnsi="宋体" w:eastAsia="宋体" w:cs="宋体"/>
          <w:i w:val="0"/>
          <w:caps w:val="0"/>
          <w:color w:val="333333"/>
          <w:spacing w:val="0"/>
          <w:sz w:val="28"/>
          <w:szCs w:val="28"/>
          <w:shd w:val="clear" w:fill="FFFFFF"/>
        </w:rPr>
        <w:t>　　</w:t>
      </w:r>
      <w:r>
        <w:rPr>
          <w:rFonts w:hint="eastAsia" w:ascii="仿宋" w:hAnsi="仿宋" w:eastAsia="仿宋" w:cs="仿宋"/>
          <w:kern w:val="2"/>
          <w:sz w:val="32"/>
          <w:szCs w:val="32"/>
          <w:lang w:val="en-US" w:eastAsia="zh-CN" w:bidi="ar-SA"/>
        </w:rPr>
        <w:t>1、政务公开的标准化规范化工作，我街领导高度重视，在收悉上级工作部署后，即刻着手学习相关文件精神，开展研讨，一方面，为加强组织领导，于2020年11月5日发文（燕东工委[2020]48号，于11月8日公开于市人民政府网站）成立基层政务公开标准化规范化工作专班，街道主要领导亲自挂帅，担任工作专班组长，由街道人大工委主任担任常务副组长，班子领导任副组长，各部门科室主管人员任成员，工作专班下设的办公室依托街道办公室，安排专人负责公开信息的归集、发布工作。工作专班的建立，为我街政务公开标准化规范化工作扎实开展夯实了组织基础；一方面，以上级下发的26个试点领域基层政务公开标准目录为依据，召开专题研讨会，由街道各个部门分管领导和经办干事厘清各自部门公开事项，结合各块工作实际，经过充分细致的研究，最终确定我街在卫生健康领域、扶贫领域、就业领域、社会保险领域、养老服务领域、社会救助领域、安全生产领域、食品药品监管领域等八大领域35个子项的政务公开标准化规范化目录，经市公开办审核后，于11月10日在市人民政务网站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2、日常工作中，我街一是围绕上级公开工作部署，持续关注脱贫攻坚、安全生产、疫情防控等重大热点领域，及时准确对相关领域开展信息公开工作，引导社会预期，同时不断优化我街党群服务中心工作流程，加强窗口人员培训工作，提升服务素质，不断优化办事流程，提升群众办事体验；二是持续优化“放管服”改革，不断优化服务流程，提升对外窗口办事效率，为居民打造一站式服务体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黑体" w:hAnsi="黑体" w:eastAsia="黑体" w:cs="黑体"/>
          <w:sz w:val="32"/>
          <w:szCs w:val="32"/>
        </w:rPr>
      </w:pPr>
      <w:r>
        <w:rPr>
          <w:rFonts w:hint="eastAsia" w:ascii="黑体" w:hAnsi="黑体" w:eastAsia="黑体" w:cs="黑体"/>
          <w:sz w:val="32"/>
          <w:szCs w:val="32"/>
        </w:rPr>
        <w:t>　　二、主动公开政府信息情况</w:t>
      </w:r>
    </w:p>
    <w:tbl>
      <w:tblPr>
        <w:tblStyle w:val="6"/>
        <w:tblW w:w="8360" w:type="dxa"/>
        <w:tblInd w:w="0" w:type="dxa"/>
        <w:tblLayout w:type="fixed"/>
        <w:tblCellMar>
          <w:top w:w="15" w:type="dxa"/>
          <w:left w:w="15" w:type="dxa"/>
          <w:bottom w:w="15" w:type="dxa"/>
          <w:right w:w="15" w:type="dxa"/>
        </w:tblCellMar>
      </w:tblPr>
      <w:tblGrid>
        <w:gridCol w:w="2699"/>
        <w:gridCol w:w="1988"/>
        <w:gridCol w:w="1640"/>
        <w:gridCol w:w="2033"/>
      </w:tblGrid>
      <w:tr>
        <w:tblPrEx>
          <w:tblLayout w:type="fixed"/>
          <w:tblCellMar>
            <w:top w:w="15" w:type="dxa"/>
            <w:left w:w="15" w:type="dxa"/>
            <w:bottom w:w="15" w:type="dxa"/>
            <w:right w:w="15" w:type="dxa"/>
          </w:tblCellMar>
        </w:tblPrEx>
        <w:trPr>
          <w:trHeight w:val="405" w:hRule="atLeast"/>
        </w:trPr>
        <w:tc>
          <w:tcPr>
            <w:tcW w:w="836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第二十条第（一）项</w:t>
            </w:r>
          </w:p>
        </w:tc>
      </w:tr>
      <w:tr>
        <w:tblPrEx>
          <w:tblLayout w:type="fixed"/>
          <w:tblCellMar>
            <w:top w:w="15" w:type="dxa"/>
            <w:left w:w="15" w:type="dxa"/>
            <w:bottom w:w="15" w:type="dxa"/>
            <w:right w:w="15" w:type="dxa"/>
          </w:tblCellMar>
        </w:tblPrEx>
        <w:trPr>
          <w:trHeight w:val="651"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19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本年新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制作数量</w:t>
            </w:r>
          </w:p>
        </w:tc>
        <w:tc>
          <w:tcPr>
            <w:tcW w:w="16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本年新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公开数量</w:t>
            </w:r>
          </w:p>
        </w:tc>
        <w:tc>
          <w:tcPr>
            <w:tcW w:w="20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对外公开总数量</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规章</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1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w:t>
            </w:r>
            <w:r>
              <w:rPr>
                <w:rFonts w:ascii="宋体" w:hAnsi="宋体" w:eastAsia="宋体" w:cs="宋体"/>
                <w:kern w:val="0"/>
                <w:sz w:val="24"/>
                <w:szCs w:val="24"/>
              </w:rPr>
              <w:t>0</w:t>
            </w:r>
          </w:p>
        </w:tc>
        <w:tc>
          <w:tcPr>
            <w:tcW w:w="20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规范性文件</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1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w:t>
            </w:r>
            <w:r>
              <w:rPr>
                <w:rFonts w:ascii="宋体" w:hAnsi="宋体" w:eastAsia="宋体" w:cs="宋体"/>
                <w:kern w:val="0"/>
                <w:sz w:val="24"/>
                <w:szCs w:val="24"/>
              </w:rPr>
              <w:t>0</w:t>
            </w:r>
          </w:p>
        </w:tc>
        <w:tc>
          <w:tcPr>
            <w:tcW w:w="20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Layout w:type="fixed"/>
          <w:tblCellMar>
            <w:top w:w="15" w:type="dxa"/>
            <w:left w:w="15" w:type="dxa"/>
            <w:bottom w:w="15" w:type="dxa"/>
            <w:right w:w="15" w:type="dxa"/>
          </w:tblCellMar>
        </w:tblPrEx>
        <w:trPr>
          <w:trHeight w:val="267" w:hRule="atLeast"/>
        </w:trPr>
        <w:tc>
          <w:tcPr>
            <w:tcW w:w="836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第二十条第（五）项</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19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上一年项目数量</w:t>
            </w:r>
          </w:p>
        </w:tc>
        <w:tc>
          <w:tcPr>
            <w:tcW w:w="16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本年增/减</w:t>
            </w:r>
          </w:p>
        </w:tc>
        <w:tc>
          <w:tcPr>
            <w:tcW w:w="20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处理决定数量</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行政许可</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1</w:t>
            </w:r>
          </w:p>
        </w:tc>
        <w:tc>
          <w:tcPr>
            <w:tcW w:w="1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20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其他对外管理服务事项</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96</w:t>
            </w:r>
          </w:p>
        </w:tc>
        <w:tc>
          <w:tcPr>
            <w:tcW w:w="1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20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Layout w:type="fixed"/>
          <w:tblCellMar>
            <w:top w:w="15" w:type="dxa"/>
            <w:left w:w="15" w:type="dxa"/>
            <w:bottom w:w="15" w:type="dxa"/>
            <w:right w:w="15" w:type="dxa"/>
          </w:tblCellMar>
        </w:tblPrEx>
        <w:trPr>
          <w:trHeight w:val="405" w:hRule="atLeast"/>
        </w:trPr>
        <w:tc>
          <w:tcPr>
            <w:tcW w:w="836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第二十条第（六）项</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19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上一年项目数量</w:t>
            </w:r>
          </w:p>
        </w:tc>
        <w:tc>
          <w:tcPr>
            <w:tcW w:w="16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本年增/减</w:t>
            </w:r>
          </w:p>
        </w:tc>
        <w:tc>
          <w:tcPr>
            <w:tcW w:w="20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处理决定数量</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行政处罚</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1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20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行政强制</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w:t>
            </w:r>
          </w:p>
        </w:tc>
        <w:tc>
          <w:tcPr>
            <w:tcW w:w="1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20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Layout w:type="fixed"/>
          <w:tblCellMar>
            <w:top w:w="15" w:type="dxa"/>
            <w:left w:w="15" w:type="dxa"/>
            <w:bottom w:w="15" w:type="dxa"/>
            <w:right w:w="15" w:type="dxa"/>
          </w:tblCellMar>
        </w:tblPrEx>
        <w:trPr>
          <w:trHeight w:val="405" w:hRule="atLeast"/>
        </w:trPr>
        <w:tc>
          <w:tcPr>
            <w:tcW w:w="836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第二十条第（八）项</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上一年项目数量</w:t>
            </w:r>
          </w:p>
        </w:tc>
        <w:tc>
          <w:tcPr>
            <w:tcW w:w="367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本年增/减</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行政事业性收费</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36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ind w:firstLine="240" w:firstLineChars="100"/>
              <w:rPr>
                <w:rFonts w:ascii="宋体" w:hAnsi="宋体" w:eastAsia="宋体" w:cs="宋体"/>
                <w:kern w:val="0"/>
                <w:sz w:val="24"/>
                <w:szCs w:val="24"/>
              </w:rPr>
            </w:pPr>
            <w:r>
              <w:rPr>
                <w:rFonts w:ascii="宋体" w:hAnsi="宋体" w:eastAsia="宋体" w:cs="宋体"/>
                <w:kern w:val="0"/>
                <w:sz w:val="24"/>
                <w:szCs w:val="24"/>
              </w:rPr>
              <w:t>0</w:t>
            </w:r>
          </w:p>
        </w:tc>
      </w:tr>
      <w:tr>
        <w:tblPrEx>
          <w:tblLayout w:type="fixed"/>
          <w:tblCellMar>
            <w:top w:w="15" w:type="dxa"/>
            <w:left w:w="15" w:type="dxa"/>
            <w:bottom w:w="15" w:type="dxa"/>
            <w:right w:w="15" w:type="dxa"/>
          </w:tblCellMar>
        </w:tblPrEx>
        <w:trPr>
          <w:trHeight w:val="405" w:hRule="atLeast"/>
        </w:trPr>
        <w:tc>
          <w:tcPr>
            <w:tcW w:w="836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第二十条第（九）项</w:t>
            </w:r>
          </w:p>
        </w:tc>
      </w:tr>
      <w:tr>
        <w:tblPrEx>
          <w:tblLayout w:type="fixed"/>
          <w:tblCellMar>
            <w:top w:w="15" w:type="dxa"/>
            <w:left w:w="15" w:type="dxa"/>
            <w:bottom w:w="15" w:type="dxa"/>
            <w:right w:w="15" w:type="dxa"/>
          </w:tblCellMar>
        </w:tblPrEx>
        <w:trPr>
          <w:trHeight w:val="405"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采购项目数量</w:t>
            </w:r>
          </w:p>
        </w:tc>
        <w:tc>
          <w:tcPr>
            <w:tcW w:w="367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采购总金额</w:t>
            </w:r>
          </w:p>
        </w:tc>
      </w:tr>
      <w:tr>
        <w:tblPrEx>
          <w:tblLayout w:type="fixed"/>
          <w:tblCellMar>
            <w:top w:w="15" w:type="dxa"/>
            <w:left w:w="15" w:type="dxa"/>
            <w:bottom w:w="15" w:type="dxa"/>
            <w:right w:w="15" w:type="dxa"/>
          </w:tblCellMar>
        </w:tblPrEx>
        <w:trPr>
          <w:trHeight w:val="420" w:hRule="atLeast"/>
        </w:trPr>
        <w:tc>
          <w:tcPr>
            <w:tcW w:w="26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政府集中采购</w:t>
            </w:r>
          </w:p>
        </w:tc>
        <w:tc>
          <w:tcPr>
            <w:tcW w:w="1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36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0</w:t>
            </w:r>
          </w:p>
        </w:tc>
      </w:tr>
    </w:tbl>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6"/>
        <w:tblW w:w="9039"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
      <w:tblGrid>
        <w:gridCol w:w="697"/>
        <w:gridCol w:w="938"/>
        <w:gridCol w:w="2011"/>
        <w:gridCol w:w="792"/>
        <w:gridCol w:w="736"/>
        <w:gridCol w:w="736"/>
        <w:gridCol w:w="792"/>
        <w:gridCol w:w="944"/>
        <w:gridCol w:w="701"/>
        <w:gridCol w:w="6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90" w:hRule="atLeast"/>
          <w:jc w:val="center"/>
        </w:trPr>
        <w:tc>
          <w:tcPr>
            <w:tcW w:w="364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（本列数据的勾稽关系为：第一项加第二项之和，等于第三项加第四项之和）</w:t>
            </w:r>
          </w:p>
        </w:tc>
        <w:tc>
          <w:tcPr>
            <w:tcW w:w="5393"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90" w:hRule="atLeast"/>
          <w:jc w:val="center"/>
        </w:trPr>
        <w:tc>
          <w:tcPr>
            <w:tcW w:w="364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自然人</w:t>
            </w:r>
          </w:p>
        </w:tc>
        <w:tc>
          <w:tcPr>
            <w:tcW w:w="390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法人或其他组织</w:t>
            </w:r>
          </w:p>
        </w:tc>
        <w:tc>
          <w:tcPr>
            <w:tcW w:w="69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73" w:hRule="atLeast"/>
          <w:jc w:val="center"/>
        </w:trPr>
        <w:tc>
          <w:tcPr>
            <w:tcW w:w="364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商业企业</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科研机构</w:t>
            </w:r>
          </w:p>
        </w:tc>
        <w:tc>
          <w:tcPr>
            <w:tcW w:w="7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社会公益组织</w:t>
            </w:r>
          </w:p>
        </w:tc>
        <w:tc>
          <w:tcPr>
            <w:tcW w:w="9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法律服务机构</w:t>
            </w:r>
          </w:p>
        </w:tc>
        <w:tc>
          <w:tcPr>
            <w:tcW w:w="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69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2" w:hRule="atLeast"/>
          <w:jc w:val="center"/>
        </w:trPr>
        <w:tc>
          <w:tcPr>
            <w:tcW w:w="364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一、本年新收政府信息公开申请数量</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2" w:hRule="atLeast"/>
          <w:jc w:val="center"/>
        </w:trPr>
        <w:tc>
          <w:tcPr>
            <w:tcW w:w="364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二、上年结转政府信息公开申请数量</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90" w:hRule="atLeast"/>
          <w:jc w:val="center"/>
        </w:trPr>
        <w:tc>
          <w:tcPr>
            <w:tcW w:w="69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4"/>
                <w:szCs w:val="24"/>
              </w:rPr>
              <w:t>三、本年度办理结果</w:t>
            </w:r>
          </w:p>
        </w:tc>
        <w:tc>
          <w:tcPr>
            <w:tcW w:w="294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（一）予以公开</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73"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（二）部分公开（区分处理的，只计这一情形，不计其他情形）</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90"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（三）不予公开</w:t>
            </w: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1.属于国家秘密</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2.其他法律行政法规禁止公开</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3.危及“三安全一稳定”</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4.保护第三方合法权益</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5.属于三类内部事务信息</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6.属于四类过程性信息</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7.属于行政执法案卷</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8.属于行政查询事项</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（四）无法提供</w:t>
            </w: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1.本机关不掌握相关政府信息</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2.没有现成信息需要另行制作</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3.补正后申请内容仍不明确</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（五）不予处理</w:t>
            </w: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1.信访举报投诉类申请</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90"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2.重复申请</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3.要求提供公开出版物</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27"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4.无正当理由大量反复申请</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173"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93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5.要求行政机关确认或重新出具已获取信息</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90"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（六）其他处理</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90" w:hRule="atLeast"/>
          <w:jc w:val="center"/>
        </w:trPr>
        <w:tc>
          <w:tcPr>
            <w:tcW w:w="69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楷体" w:hAnsi="楷体" w:eastAsia="楷体" w:cs="宋体"/>
                <w:kern w:val="0"/>
                <w:sz w:val="24"/>
                <w:szCs w:val="24"/>
              </w:rPr>
              <w:t>（七）总计</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7" w:type="dxa"/>
            <w:left w:w="17" w:type="dxa"/>
            <w:bottom w:w="17" w:type="dxa"/>
            <w:right w:w="17" w:type="dxa"/>
          </w:tblCellMar>
        </w:tblPrEx>
        <w:trPr>
          <w:trHeight w:val="90" w:hRule="atLeast"/>
          <w:jc w:val="center"/>
        </w:trPr>
        <w:tc>
          <w:tcPr>
            <w:tcW w:w="364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宋体" w:hAnsi="宋体" w:eastAsia="宋体" w:cs="宋体"/>
                <w:kern w:val="0"/>
                <w:sz w:val="24"/>
                <w:szCs w:val="24"/>
              </w:rPr>
            </w:pPr>
            <w:r>
              <w:rPr>
                <w:rFonts w:hint="eastAsia" w:ascii="宋体" w:hAnsi="宋体" w:eastAsia="宋体" w:cs="宋体"/>
                <w:kern w:val="0"/>
                <w:sz w:val="24"/>
                <w:szCs w:val="24"/>
              </w:rPr>
              <w:t>四、结转下年度继续办理</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4"/>
                <w:szCs w:val="24"/>
              </w:rPr>
              <w:t>0 </w:t>
            </w: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0</w:t>
            </w:r>
          </w:p>
        </w:tc>
      </w:tr>
    </w:tbl>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黑体" w:hAnsi="黑体" w:eastAsia="黑体" w:cs="黑体"/>
          <w:sz w:val="32"/>
          <w:szCs w:val="32"/>
        </w:rPr>
      </w:pPr>
      <w:r>
        <w:rPr>
          <w:rFonts w:hint="eastAsia" w:ascii="黑体" w:hAnsi="黑体" w:eastAsia="黑体" w:cs="黑体"/>
          <w:sz w:val="32"/>
          <w:szCs w:val="32"/>
        </w:rPr>
        <w:t>　　四、政府信息公开行政复议、行政诉讼情况</w:t>
      </w:r>
    </w:p>
    <w:tbl>
      <w:tblPr>
        <w:tblStyle w:val="6"/>
        <w:tblW w:w="828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41"/>
        <w:gridCol w:w="541"/>
        <w:gridCol w:w="541"/>
        <w:gridCol w:w="541"/>
        <w:gridCol w:w="541"/>
        <w:gridCol w:w="541"/>
        <w:gridCol w:w="558"/>
        <w:gridCol w:w="558"/>
        <w:gridCol w:w="558"/>
        <w:gridCol w:w="558"/>
        <w:gridCol w:w="558"/>
        <w:gridCol w:w="558"/>
        <w:gridCol w:w="558"/>
        <w:gridCol w:w="558"/>
        <w:gridCol w:w="5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70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581"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jc w:val="center"/>
        </w:trPr>
        <w:tc>
          <w:tcPr>
            <w:tcW w:w="54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54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54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54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54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77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28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4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41"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41"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41"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41"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5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5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5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5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5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5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5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0"/>
                <w:szCs w:val="20"/>
              </w:rPr>
              <w:t> 0</w:t>
            </w:r>
          </w:p>
        </w:tc>
        <w:tc>
          <w:tcPr>
            <w:tcW w:w="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0"/>
                <w:szCs w:val="20"/>
              </w:rPr>
              <w:t>0 </w:t>
            </w:r>
          </w:p>
        </w:tc>
        <w:tc>
          <w:tcPr>
            <w:tcW w:w="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0"/>
                <w:szCs w:val="20"/>
              </w:rPr>
              <w:t>0 </w:t>
            </w:r>
          </w:p>
        </w:tc>
        <w:tc>
          <w:tcPr>
            <w:tcW w:w="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0"/>
                <w:szCs w:val="20"/>
              </w:rPr>
              <w:t>0 </w:t>
            </w:r>
          </w:p>
        </w:tc>
        <w:tc>
          <w:tcPr>
            <w:tcW w:w="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Calibri" w:hAnsi="Calibri" w:eastAsia="宋体" w:cs="宋体"/>
                <w:kern w:val="0"/>
                <w:sz w:val="20"/>
                <w:szCs w:val="20"/>
              </w:rPr>
              <w:t>0 </w:t>
            </w:r>
          </w:p>
        </w:tc>
        <w:tc>
          <w:tcPr>
            <w:tcW w:w="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宋体" w:hAnsi="宋体" w:eastAsia="宋体" w:cs="宋体"/>
                <w:kern w:val="0"/>
                <w:sz w:val="20"/>
                <w:szCs w:val="20"/>
              </w:rPr>
              <w:t>0</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 </w:t>
            </w:r>
            <w:r>
              <w:rPr>
                <w:rFonts w:ascii="宋体" w:hAnsi="宋体" w:eastAsia="宋体" w:cs="宋体"/>
                <w:kern w:val="0"/>
                <w:sz w:val="20"/>
                <w:szCs w:val="20"/>
              </w:rPr>
              <w:t>0</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 </w:t>
            </w:r>
            <w:r>
              <w:rPr>
                <w:rFonts w:ascii="宋体" w:hAnsi="宋体" w:eastAsia="宋体" w:cs="宋体"/>
                <w:kern w:val="0"/>
                <w:sz w:val="20"/>
                <w:szCs w:val="20"/>
              </w:rPr>
              <w:t>0</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宋体" w:hAnsi="宋体" w:eastAsia="宋体" w:cs="宋体"/>
                <w:kern w:val="0"/>
                <w:sz w:val="20"/>
                <w:szCs w:val="20"/>
              </w:rPr>
              <w:t>0</w:t>
            </w:r>
            <w:r>
              <w:rPr>
                <w:rFonts w:hint="eastAsia" w:ascii="宋体" w:hAnsi="宋体" w:eastAsia="宋体" w:cs="宋体"/>
                <w:kern w:val="0"/>
                <w:sz w:val="20"/>
                <w:szCs w:val="20"/>
              </w:rPr>
              <w:t> </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宋体" w:hAnsi="宋体" w:eastAsia="宋体" w:cs="宋体"/>
                <w:kern w:val="0"/>
                <w:sz w:val="20"/>
                <w:szCs w:val="20"/>
              </w:rPr>
              <w:t>0</w:t>
            </w:r>
            <w:r>
              <w:rPr>
                <w:rFonts w:hint="eastAsia" w:ascii="宋体" w:hAnsi="宋体" w:eastAsia="宋体" w:cs="宋体"/>
                <w:kern w:val="0"/>
                <w:sz w:val="20"/>
                <w:szCs w:val="20"/>
              </w:rPr>
              <w:t> </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 </w:t>
            </w:r>
            <w:r>
              <w:rPr>
                <w:rFonts w:ascii="宋体" w:hAnsi="宋体" w:eastAsia="宋体" w:cs="宋体"/>
                <w:kern w:val="0"/>
                <w:sz w:val="20"/>
                <w:szCs w:val="20"/>
              </w:rPr>
              <w:t>0</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 </w:t>
            </w:r>
            <w:r>
              <w:rPr>
                <w:rFonts w:ascii="宋体" w:hAnsi="宋体" w:eastAsia="宋体" w:cs="宋体"/>
                <w:kern w:val="0"/>
                <w:sz w:val="20"/>
                <w:szCs w:val="20"/>
              </w:rPr>
              <w:t>0</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ascii="宋体" w:hAnsi="宋体" w:eastAsia="宋体" w:cs="宋体"/>
                <w:kern w:val="0"/>
                <w:sz w:val="20"/>
                <w:szCs w:val="20"/>
              </w:rPr>
              <w:t>0</w:t>
            </w:r>
            <w:r>
              <w:rPr>
                <w:rFonts w:hint="eastAsia" w:ascii="宋体" w:hAnsi="宋体" w:eastAsia="宋体" w:cs="宋体"/>
                <w:kern w:val="0"/>
                <w:sz w:val="20"/>
                <w:szCs w:val="20"/>
              </w:rPr>
              <w:t> </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宋体" w:hAnsi="宋体" w:eastAsia="宋体" w:cs="宋体"/>
                <w:kern w:val="0"/>
                <w:sz w:val="24"/>
                <w:szCs w:val="24"/>
              </w:rPr>
            </w:pPr>
            <w:r>
              <w:rPr>
                <w:rFonts w:hint="eastAsia" w:ascii="宋体" w:hAnsi="宋体" w:eastAsia="宋体" w:cs="宋体"/>
                <w:kern w:val="0"/>
                <w:sz w:val="20"/>
                <w:szCs w:val="20"/>
              </w:rPr>
              <w:t> </w:t>
            </w:r>
            <w:r>
              <w:rPr>
                <w:rFonts w:ascii="宋体" w:hAnsi="宋体" w:eastAsia="宋体" w:cs="宋体"/>
                <w:kern w:val="0"/>
                <w:sz w:val="20"/>
                <w:szCs w:val="20"/>
              </w:rPr>
              <w:t>0</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0</w:t>
            </w:r>
          </w:p>
        </w:tc>
      </w:tr>
    </w:tbl>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rPr>
          <w:rFonts w:hint="eastAsia" w:ascii="黑体" w:hAnsi="黑体" w:eastAsia="黑体" w:cs="黑体"/>
          <w:sz w:val="32"/>
          <w:szCs w:val="32"/>
        </w:rPr>
      </w:pPr>
      <w:r>
        <w:rPr>
          <w:rFonts w:hint="eastAsia" w:ascii="黑体" w:hAnsi="黑体" w:eastAsia="黑体" w:cs="黑体"/>
          <w:sz w:val="32"/>
          <w:szCs w:val="32"/>
        </w:rPr>
        <w:t>　　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我街2020年度信息公开工作虽然取得了一些成绩，但也存在一些差距和问题：一是政府信息公开内容还不够深入全面，公开的内容与群众需求还有差距；二是政府信息公开人员的业务水平、公开意识还需进一步提高；三是主动公开工作的日常化、常态化有待进一步加强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针对以上问题，我街将按照上级关于政务公开工作的要求，严格按照政务公开标准化规范化的规程，进一步加强和深化政府信息公开工作，深入学习修订后的《中华人民共和国政府信息公开条例》，切实提高思想认识，积极营造我街信息公开的氛围，加强各科室部门间的沟通衔接。同时，加强业务培训，提高工作人员的公开意识和专业水平，在不断拓展政府信息公开的宽度和广度的同时，进一步规范政府信息公开的程序，促进政府信息公开工作深入开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rPr>
          <w:rFonts w:hint="eastAsia" w:ascii="黑体" w:hAnsi="黑体" w:eastAsia="黑体" w:cs="黑体"/>
          <w:sz w:val="32"/>
          <w:szCs w:val="32"/>
        </w:rPr>
      </w:pPr>
      <w:r>
        <w:rPr>
          <w:rFonts w:hint="eastAsia" w:ascii="黑体" w:hAnsi="黑体" w:eastAsia="黑体" w:cs="黑体"/>
          <w:sz w:val="32"/>
          <w:szCs w:val="32"/>
        </w:rPr>
        <w:t>　　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2020年度燕东街道办事处无其他需要报告的事项。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永安市燕东街道办事处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2021年1月15日</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30"/>
    <w:rsid w:val="00032088"/>
    <w:rsid w:val="000464EA"/>
    <w:rsid w:val="000750CD"/>
    <w:rsid w:val="000A2541"/>
    <w:rsid w:val="000A4129"/>
    <w:rsid w:val="0016498D"/>
    <w:rsid w:val="001C6AB7"/>
    <w:rsid w:val="002C53C0"/>
    <w:rsid w:val="002D30AA"/>
    <w:rsid w:val="002E28CB"/>
    <w:rsid w:val="003211C0"/>
    <w:rsid w:val="003F1593"/>
    <w:rsid w:val="003F3F5B"/>
    <w:rsid w:val="00427B48"/>
    <w:rsid w:val="00455E72"/>
    <w:rsid w:val="004828EE"/>
    <w:rsid w:val="004A412A"/>
    <w:rsid w:val="004C7772"/>
    <w:rsid w:val="005D5795"/>
    <w:rsid w:val="00610774"/>
    <w:rsid w:val="006353F6"/>
    <w:rsid w:val="0073248E"/>
    <w:rsid w:val="00757415"/>
    <w:rsid w:val="008F1C7E"/>
    <w:rsid w:val="008F2670"/>
    <w:rsid w:val="009A4016"/>
    <w:rsid w:val="009A5148"/>
    <w:rsid w:val="009C3EB7"/>
    <w:rsid w:val="009E24A9"/>
    <w:rsid w:val="00A379B2"/>
    <w:rsid w:val="00A5330C"/>
    <w:rsid w:val="00A66031"/>
    <w:rsid w:val="00A80A33"/>
    <w:rsid w:val="00A93264"/>
    <w:rsid w:val="00A97C7D"/>
    <w:rsid w:val="00B053B5"/>
    <w:rsid w:val="00C43F96"/>
    <w:rsid w:val="00C809A2"/>
    <w:rsid w:val="00CA66BE"/>
    <w:rsid w:val="00CD61C9"/>
    <w:rsid w:val="00D0674E"/>
    <w:rsid w:val="00D07658"/>
    <w:rsid w:val="00D4651F"/>
    <w:rsid w:val="00D86B97"/>
    <w:rsid w:val="00DB5143"/>
    <w:rsid w:val="00DC6C79"/>
    <w:rsid w:val="00DD4B92"/>
    <w:rsid w:val="00E003CF"/>
    <w:rsid w:val="00E111BC"/>
    <w:rsid w:val="00E324EB"/>
    <w:rsid w:val="00E549CC"/>
    <w:rsid w:val="00EA306D"/>
    <w:rsid w:val="00EB4A58"/>
    <w:rsid w:val="00ED742F"/>
    <w:rsid w:val="00EF2CB3"/>
    <w:rsid w:val="00F56317"/>
    <w:rsid w:val="00F63200"/>
    <w:rsid w:val="00F77C30"/>
    <w:rsid w:val="00FA5219"/>
    <w:rsid w:val="00FE3968"/>
    <w:rsid w:val="020A257C"/>
    <w:rsid w:val="02C96B30"/>
    <w:rsid w:val="07745898"/>
    <w:rsid w:val="09016646"/>
    <w:rsid w:val="0AA20C68"/>
    <w:rsid w:val="0CC45040"/>
    <w:rsid w:val="13067163"/>
    <w:rsid w:val="135452D9"/>
    <w:rsid w:val="14D61567"/>
    <w:rsid w:val="162C26FF"/>
    <w:rsid w:val="17816B1E"/>
    <w:rsid w:val="18182D9F"/>
    <w:rsid w:val="1B134902"/>
    <w:rsid w:val="2225686E"/>
    <w:rsid w:val="23755AB0"/>
    <w:rsid w:val="2DF03784"/>
    <w:rsid w:val="300201F0"/>
    <w:rsid w:val="32442E1F"/>
    <w:rsid w:val="3500035C"/>
    <w:rsid w:val="37E70E02"/>
    <w:rsid w:val="41673B1D"/>
    <w:rsid w:val="41DB1D01"/>
    <w:rsid w:val="4A060879"/>
    <w:rsid w:val="4DC11FDE"/>
    <w:rsid w:val="52D06693"/>
    <w:rsid w:val="56AD2DD2"/>
    <w:rsid w:val="5C074D4C"/>
    <w:rsid w:val="61013474"/>
    <w:rsid w:val="61C737EB"/>
    <w:rsid w:val="64EB0904"/>
    <w:rsid w:val="79947046"/>
    <w:rsid w:val="7C511D2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Kingdom</Company>
  <Pages>9</Pages>
  <Words>643</Words>
  <Characters>3669</Characters>
  <Lines>30</Lines>
  <Paragraphs>8</Paragraphs>
  <ScaleCrop>false</ScaleCrop>
  <LinksUpToDate>false</LinksUpToDate>
  <CharactersWithSpaces>4304</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2020-01-08T06:41:00Z</dcterms:created>
  <dc:creator>Administrator</dc:creator>
  <cp:lastModifiedBy>Administrator</cp:lastModifiedBy>
  <dcterms:modified xsi:type="dcterms:W3CDTF">2022-04-29T02:59:02Z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