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AFEA6E">
      <w:pPr>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permStart w:id="0" w:edGrp="everyone"/>
      <w:permEnd w:id="0"/>
    </w:p>
    <w:p w14:paraId="5EFC4365">
      <w:pPr>
        <w:bidi w:val="0"/>
        <w:rPr>
          <w:rFonts w:hint="default" w:ascii="Times New Roman" w:hAnsi="Times New Roman" w:cs="Times New Roman"/>
          <w:color w:val="000000" w:themeColor="text1"/>
          <w:highlight w:val="none"/>
          <w14:textFill>
            <w14:solidFill>
              <w14:schemeClr w14:val="tx1"/>
            </w14:solidFill>
          </w14:textFill>
        </w:rPr>
      </w:pPr>
    </w:p>
    <w:p w14:paraId="1A300721">
      <w:pPr>
        <w:bidi w:val="0"/>
        <w:rPr>
          <w:rFonts w:hint="default" w:ascii="Times New Roman" w:hAnsi="Times New Roman" w:cs="Times New Roman"/>
          <w:color w:val="000000" w:themeColor="text1"/>
          <w:highlight w:val="none"/>
          <w14:textFill>
            <w14:solidFill>
              <w14:schemeClr w14:val="tx1"/>
            </w14:solidFill>
          </w14:textFill>
        </w:rPr>
      </w:pPr>
    </w:p>
    <w:p w14:paraId="7EACF51E">
      <w:pPr>
        <w:bidi w:val="0"/>
        <w:rPr>
          <w:rFonts w:hint="default" w:ascii="Times New Roman" w:hAnsi="Times New Roman" w:cs="Times New Roman"/>
          <w:color w:val="000000" w:themeColor="text1"/>
          <w:highlight w:val="none"/>
          <w14:textFill>
            <w14:solidFill>
              <w14:schemeClr w14:val="tx1"/>
            </w14:solidFill>
          </w14:textFill>
        </w:rPr>
      </w:pPr>
    </w:p>
    <w:p w14:paraId="0BA40B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0"/>
        <w:rPr>
          <w:rFonts w:hint="default" w:ascii="Times New Roman" w:hAnsi="Times New Roman" w:eastAsia="方正小标宋_GBK" w:cs="Times New Roman"/>
          <w:bCs/>
          <w:color w:val="000000" w:themeColor="text1"/>
          <w:sz w:val="72"/>
          <w:szCs w:val="72"/>
          <w:highlight w:val="none"/>
          <w14:textFill>
            <w14:solidFill>
              <w14:schemeClr w14:val="tx1"/>
            </w14:solidFill>
          </w14:textFill>
        </w:rPr>
      </w:pPr>
      <w:bookmarkStart w:id="0" w:name="_Toc32136"/>
      <w:bookmarkStart w:id="1" w:name="_Toc28182"/>
      <w:bookmarkStart w:id="2" w:name="_Toc12163"/>
      <w:bookmarkStart w:id="3" w:name="_Toc24219"/>
      <w:bookmarkStart w:id="4" w:name="_Toc1853"/>
      <w:bookmarkStart w:id="5" w:name="_Toc1055"/>
      <w:bookmarkStart w:id="6" w:name="_Toc26804"/>
      <w:bookmarkStart w:id="7" w:name="_Toc26324"/>
      <w:bookmarkStart w:id="8" w:name="_Toc27019"/>
      <w:bookmarkStart w:id="9" w:name="_Toc2067"/>
      <w:bookmarkStart w:id="10" w:name="_Toc21611"/>
      <w:bookmarkStart w:id="11" w:name="_Toc24268"/>
      <w:r>
        <w:rPr>
          <w:rFonts w:hint="default" w:ascii="Times New Roman" w:hAnsi="Times New Roman" w:eastAsia="方正小标宋_GBK" w:cs="Times New Roman"/>
          <w:bCs/>
          <w:color w:val="000000" w:themeColor="text1"/>
          <w:sz w:val="72"/>
          <w:szCs w:val="72"/>
          <w:highlight w:val="none"/>
          <w14:textFill>
            <w14:solidFill>
              <w14:schemeClr w14:val="tx1"/>
            </w14:solidFill>
          </w14:textFill>
        </w:rPr>
        <w:t>建设项目环境影响报告表</w:t>
      </w:r>
      <w:bookmarkEnd w:id="0"/>
      <w:bookmarkEnd w:id="1"/>
      <w:bookmarkEnd w:id="2"/>
      <w:bookmarkEnd w:id="3"/>
      <w:bookmarkEnd w:id="4"/>
      <w:bookmarkEnd w:id="5"/>
      <w:bookmarkEnd w:id="6"/>
      <w:bookmarkEnd w:id="7"/>
      <w:bookmarkEnd w:id="8"/>
      <w:bookmarkEnd w:id="9"/>
      <w:bookmarkEnd w:id="10"/>
      <w:bookmarkEnd w:id="11"/>
    </w:p>
    <w:p w14:paraId="2054E49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楷体_GB2312" w:cs="Times New Roman"/>
          <w:bCs/>
          <w:color w:val="000000" w:themeColor="text1"/>
          <w:sz w:val="48"/>
          <w:szCs w:val="48"/>
          <w:highlight w:val="none"/>
          <w14:textFill>
            <w14:solidFill>
              <w14:schemeClr w14:val="tx1"/>
            </w14:solidFill>
          </w14:textFill>
        </w:rPr>
      </w:pPr>
      <w:r>
        <w:rPr>
          <w:rFonts w:hint="default" w:ascii="Times New Roman" w:hAnsi="Times New Roman" w:eastAsia="楷体_GB2312" w:cs="Times New Roman"/>
          <w:bCs/>
          <w:color w:val="000000" w:themeColor="text1"/>
          <w:sz w:val="48"/>
          <w:szCs w:val="48"/>
          <w:highlight w:val="none"/>
          <w14:textFill>
            <w14:solidFill>
              <w14:schemeClr w14:val="tx1"/>
            </w14:solidFill>
          </w14:textFill>
        </w:rPr>
        <w:t>（污染影响类）</w:t>
      </w:r>
    </w:p>
    <w:p w14:paraId="5326776C">
      <w:pPr>
        <w:ind w:firstLine="1040"/>
        <w:jc w:val="center"/>
        <w:rPr>
          <w:rFonts w:hint="default" w:ascii="Times New Roman" w:hAnsi="Times New Roman" w:eastAsia="仿宋" w:cs="Times New Roman"/>
          <w:color w:val="000000" w:themeColor="text1"/>
          <w:sz w:val="52"/>
          <w:szCs w:val="52"/>
          <w:highlight w:val="none"/>
          <w14:textFill>
            <w14:solidFill>
              <w14:schemeClr w14:val="tx1"/>
            </w14:solidFill>
          </w14:textFill>
        </w:rPr>
      </w:pPr>
    </w:p>
    <w:p w14:paraId="51AE0D3C">
      <w:pPr>
        <w:ind w:firstLine="1040"/>
        <w:jc w:val="center"/>
        <w:rPr>
          <w:rFonts w:hint="default" w:ascii="Times New Roman" w:hAnsi="Times New Roman" w:eastAsia="仿宋" w:cs="Times New Roman"/>
          <w:color w:val="000000" w:themeColor="text1"/>
          <w:sz w:val="52"/>
          <w:szCs w:val="52"/>
          <w:highlight w:val="none"/>
          <w14:textFill>
            <w14:solidFill>
              <w14:schemeClr w14:val="tx1"/>
            </w14:solidFill>
          </w14:textFill>
        </w:rPr>
      </w:pPr>
    </w:p>
    <w:p w14:paraId="418FA109">
      <w:pPr>
        <w:ind w:firstLine="1040"/>
        <w:jc w:val="center"/>
        <w:rPr>
          <w:rFonts w:hint="default" w:ascii="Times New Roman" w:hAnsi="Times New Roman" w:eastAsia="仿宋" w:cs="Times New Roman"/>
          <w:color w:val="000000" w:themeColor="text1"/>
          <w:sz w:val="52"/>
          <w:szCs w:val="52"/>
          <w:highlight w:val="none"/>
          <w14:textFill>
            <w14:solidFill>
              <w14:schemeClr w14:val="tx1"/>
            </w14:solidFill>
          </w14:textFill>
        </w:rPr>
      </w:pPr>
    </w:p>
    <w:p w14:paraId="4B9BCA8D">
      <w:pPr>
        <w:ind w:firstLine="880"/>
        <w:rPr>
          <w:rFonts w:hint="default" w:ascii="Times New Roman" w:hAnsi="Times New Roman" w:eastAsia="仿宋" w:cs="Times New Roman"/>
          <w:color w:val="000000" w:themeColor="text1"/>
          <w:sz w:val="44"/>
          <w:szCs w:val="44"/>
          <w:highlight w:val="none"/>
          <w14:textFill>
            <w14:solidFill>
              <w14:schemeClr w14:val="tx1"/>
            </w14:solidFill>
          </w14:textFill>
        </w:rPr>
      </w:pPr>
    </w:p>
    <w:p w14:paraId="65786E46">
      <w:pPr>
        <w:ind w:firstLine="880"/>
        <w:rPr>
          <w:rFonts w:hint="default" w:ascii="Times New Roman" w:hAnsi="Times New Roman" w:eastAsia="仿宋" w:cs="Times New Roman"/>
          <w:color w:val="000000" w:themeColor="text1"/>
          <w:sz w:val="44"/>
          <w:szCs w:val="44"/>
          <w:highlight w:val="none"/>
          <w14:textFill>
            <w14:solidFill>
              <w14:schemeClr w14:val="tx1"/>
            </w14:solidFill>
          </w14:textFill>
        </w:rPr>
      </w:pP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83"/>
        <w:gridCol w:w="6077"/>
      </w:tblGrid>
      <w:tr w14:paraId="7C37B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0" w:hRule="atLeast"/>
        </w:trPr>
        <w:tc>
          <w:tcPr>
            <w:tcW w:w="2983" w:type="dxa"/>
            <w:tcBorders>
              <w:tl2br w:val="nil"/>
              <w:tr2bl w:val="nil"/>
            </w:tcBorders>
            <w:noWrap w:val="0"/>
            <w:vAlign w:val="center"/>
          </w:tcPr>
          <w:p w14:paraId="7FE95812">
            <w:pPr>
              <w:keepNext w:val="0"/>
              <w:keepLines w:val="0"/>
              <w:pageBreakBefore w:val="0"/>
              <w:widowControl w:val="0"/>
              <w:kinsoku/>
              <w:wordWrap/>
              <w:overflowPunct/>
              <w:topLinePunct w:val="0"/>
              <w:autoSpaceDE/>
              <w:autoSpaceDN/>
              <w:bidi w:val="0"/>
              <w:adjustRightInd/>
              <w:snapToGrid/>
              <w:spacing w:line="360" w:lineRule="auto"/>
              <w:ind w:firstLine="0" w:firstLineChars="0"/>
              <w:jc w:val="distribute"/>
              <w:textAlignment w:val="auto"/>
              <w:rPr>
                <w:rFonts w:hint="default" w:ascii="Times New Roman" w:hAnsi="Times New Roman" w:eastAsia="仿宋" w:cs="Times New Roman"/>
                <w:color w:val="000000" w:themeColor="text1"/>
                <w:sz w:val="44"/>
                <w:szCs w:val="44"/>
                <w:highlight w:val="none"/>
                <w:vertAlign w:val="baseline"/>
                <w14:textFill>
                  <w14:solidFill>
                    <w14:schemeClr w14:val="tx1"/>
                  </w14:solidFill>
                </w14:textFill>
              </w:rPr>
            </w:pPr>
            <w:r>
              <w:rPr>
                <w:rFonts w:hint="default" w:ascii="Times New Roman" w:hAnsi="Times New Roman" w:eastAsia="仿宋_GB2312" w:cs="Times New Roman"/>
                <w:color w:val="000000" w:themeColor="text1"/>
                <w:sz w:val="36"/>
                <w:szCs w:val="36"/>
                <w:highlight w:val="none"/>
                <w14:textFill>
                  <w14:solidFill>
                    <w14:schemeClr w14:val="tx1"/>
                  </w14:solidFill>
                </w14:textFill>
              </w:rPr>
              <w:t>项目名称：</w:t>
            </w:r>
          </w:p>
        </w:tc>
        <w:tc>
          <w:tcPr>
            <w:tcW w:w="6077" w:type="dxa"/>
            <w:tcBorders>
              <w:tl2br w:val="nil"/>
              <w:tr2bl w:val="nil"/>
            </w:tcBorders>
            <w:noWrap w:val="0"/>
            <w:vAlign w:val="center"/>
          </w:tcPr>
          <w:p w14:paraId="2507E542">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仿宋" w:cs="Times New Roman"/>
                <w:color w:val="000000" w:themeColor="text1"/>
                <w:sz w:val="44"/>
                <w:szCs w:val="44"/>
                <w:highlight w:val="none"/>
                <w:u w:val="single"/>
                <w:vertAlign w:val="baseline"/>
                <w14:textFill>
                  <w14:solidFill>
                    <w14:schemeClr w14:val="tx1"/>
                  </w14:solidFill>
                </w14:textFill>
              </w:rPr>
            </w:pPr>
            <w:r>
              <w:rPr>
                <w:rFonts w:hint="eastAsia" w:eastAsia="仿宋_GB2312" w:cs="Times New Roman"/>
                <w:color w:val="000000" w:themeColor="text1"/>
                <w:sz w:val="36"/>
                <w:szCs w:val="36"/>
                <w:highlight w:val="none"/>
                <w:u w:val="single"/>
                <w:lang w:val="en-US" w:eastAsia="zh-CN"/>
                <w14:textFill>
                  <w14:solidFill>
                    <w14:schemeClr w14:val="tx1"/>
                  </w14:solidFill>
                </w14:textFill>
              </w:rPr>
              <w:t>年产100吨单壁碳纳米管及年产1000吨硅碳负极材料</w:t>
            </w:r>
          </w:p>
        </w:tc>
      </w:tr>
      <w:tr w14:paraId="4982A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983" w:type="dxa"/>
            <w:tcBorders>
              <w:tl2br w:val="nil"/>
              <w:tr2bl w:val="nil"/>
            </w:tcBorders>
            <w:noWrap w:val="0"/>
            <w:vAlign w:val="center"/>
          </w:tcPr>
          <w:p w14:paraId="246480DF">
            <w:pPr>
              <w:keepNext w:val="0"/>
              <w:keepLines w:val="0"/>
              <w:pageBreakBefore w:val="0"/>
              <w:widowControl w:val="0"/>
              <w:kinsoku/>
              <w:wordWrap/>
              <w:overflowPunct/>
              <w:topLinePunct w:val="0"/>
              <w:autoSpaceDE/>
              <w:autoSpaceDN/>
              <w:bidi w:val="0"/>
              <w:adjustRightInd/>
              <w:snapToGrid/>
              <w:spacing w:line="360" w:lineRule="auto"/>
              <w:ind w:firstLine="0" w:firstLineChars="0"/>
              <w:jc w:val="distribute"/>
              <w:textAlignment w:val="auto"/>
              <w:rPr>
                <w:rFonts w:hint="default" w:ascii="Times New Roman" w:hAnsi="Times New Roman" w:eastAsia="仿宋" w:cs="Times New Roman"/>
                <w:color w:val="000000" w:themeColor="text1"/>
                <w:sz w:val="44"/>
                <w:szCs w:val="44"/>
                <w:highlight w:val="none"/>
                <w:vertAlign w:val="baseline"/>
                <w14:textFill>
                  <w14:solidFill>
                    <w14:schemeClr w14:val="tx1"/>
                  </w14:solidFill>
                </w14:textFill>
              </w:rPr>
            </w:pPr>
            <w:r>
              <w:rPr>
                <w:rFonts w:hint="default" w:ascii="Times New Roman" w:hAnsi="Times New Roman" w:eastAsia="仿宋_GB2312" w:cs="Times New Roman"/>
                <w:color w:val="000000" w:themeColor="text1"/>
                <w:sz w:val="36"/>
                <w:szCs w:val="36"/>
                <w:highlight w:val="none"/>
                <w14:textFill>
                  <w14:solidFill>
                    <w14:schemeClr w14:val="tx1"/>
                  </w14:solidFill>
                </w14:textFill>
              </w:rPr>
              <w:t>建设单位(盖章)：</w:t>
            </w:r>
          </w:p>
        </w:tc>
        <w:tc>
          <w:tcPr>
            <w:tcW w:w="6077" w:type="dxa"/>
            <w:tcBorders>
              <w:tl2br w:val="nil"/>
              <w:tr2bl w:val="nil"/>
            </w:tcBorders>
            <w:noWrap w:val="0"/>
            <w:vAlign w:val="center"/>
          </w:tcPr>
          <w:p w14:paraId="3344576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仿宋" w:cs="Times New Roman"/>
                <w:color w:val="000000" w:themeColor="text1"/>
                <w:sz w:val="44"/>
                <w:szCs w:val="44"/>
                <w:highlight w:val="none"/>
                <w:u w:val="single"/>
                <w:vertAlign w:val="baseline"/>
                <w14:textFill>
                  <w14:solidFill>
                    <w14:schemeClr w14:val="tx1"/>
                  </w14:solidFill>
                </w14:textFill>
              </w:rPr>
            </w:pPr>
            <w:r>
              <w:rPr>
                <w:rFonts w:hint="default" w:ascii="Times New Roman" w:hAnsi="Times New Roman" w:eastAsia="仿宋_GB2312" w:cs="Times New Roman"/>
                <w:color w:val="000000" w:themeColor="text1"/>
                <w:sz w:val="36"/>
                <w:szCs w:val="36"/>
                <w:highlight w:val="none"/>
                <w:u w:val="single"/>
                <w:lang w:val="en-US" w:eastAsia="zh-CN"/>
                <w14:textFill>
                  <w14:solidFill>
                    <w14:schemeClr w14:val="tx1"/>
                  </w14:solidFill>
                </w14:textFill>
              </w:rPr>
              <w:t>永安君博纳米科技有限公司</w:t>
            </w:r>
          </w:p>
        </w:tc>
      </w:tr>
      <w:tr w14:paraId="13333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983" w:type="dxa"/>
            <w:tcBorders>
              <w:tl2br w:val="nil"/>
              <w:tr2bl w:val="nil"/>
            </w:tcBorders>
            <w:noWrap w:val="0"/>
            <w:vAlign w:val="center"/>
          </w:tcPr>
          <w:p w14:paraId="1D2B6DA5">
            <w:pPr>
              <w:keepNext w:val="0"/>
              <w:keepLines w:val="0"/>
              <w:pageBreakBefore w:val="0"/>
              <w:widowControl w:val="0"/>
              <w:kinsoku/>
              <w:wordWrap/>
              <w:overflowPunct/>
              <w:topLinePunct w:val="0"/>
              <w:autoSpaceDE/>
              <w:autoSpaceDN/>
              <w:bidi w:val="0"/>
              <w:adjustRightInd/>
              <w:snapToGrid/>
              <w:spacing w:line="360" w:lineRule="auto"/>
              <w:ind w:firstLine="0" w:firstLineChars="0"/>
              <w:jc w:val="distribute"/>
              <w:textAlignment w:val="auto"/>
              <w:rPr>
                <w:rFonts w:hint="default" w:ascii="Times New Roman" w:hAnsi="Times New Roman" w:eastAsia="仿宋" w:cs="Times New Roman"/>
                <w:color w:val="000000" w:themeColor="text1"/>
                <w:sz w:val="44"/>
                <w:szCs w:val="44"/>
                <w:highlight w:val="none"/>
                <w:vertAlign w:val="baseline"/>
                <w14:textFill>
                  <w14:solidFill>
                    <w14:schemeClr w14:val="tx1"/>
                  </w14:solidFill>
                </w14:textFill>
              </w:rPr>
            </w:pPr>
            <w:r>
              <w:rPr>
                <w:rFonts w:hint="default" w:ascii="Times New Roman" w:hAnsi="Times New Roman" w:eastAsia="仿宋_GB2312" w:cs="Times New Roman"/>
                <w:color w:val="000000" w:themeColor="text1"/>
                <w:sz w:val="36"/>
                <w:szCs w:val="36"/>
                <w:highlight w:val="none"/>
                <w14:textFill>
                  <w14:solidFill>
                    <w14:schemeClr w14:val="tx1"/>
                  </w14:solidFill>
                </w14:textFill>
              </w:rPr>
              <w:t>编制日期：</w:t>
            </w:r>
          </w:p>
        </w:tc>
        <w:tc>
          <w:tcPr>
            <w:tcW w:w="6077" w:type="dxa"/>
            <w:tcBorders>
              <w:tl2br w:val="nil"/>
              <w:tr2bl w:val="nil"/>
            </w:tcBorders>
            <w:noWrap w:val="0"/>
            <w:vAlign w:val="center"/>
          </w:tcPr>
          <w:p w14:paraId="30954F99">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仿宋" w:cs="Times New Roman"/>
                <w:color w:val="000000" w:themeColor="text1"/>
                <w:sz w:val="44"/>
                <w:szCs w:val="44"/>
                <w:highlight w:val="none"/>
                <w:u w:val="single"/>
                <w:vertAlign w:val="baseline"/>
                <w14:textFill>
                  <w14:solidFill>
                    <w14:schemeClr w14:val="tx1"/>
                  </w14:solidFill>
                </w14:textFill>
              </w:rPr>
            </w:pPr>
            <w:r>
              <w:rPr>
                <w:rFonts w:hint="default" w:ascii="Times New Roman" w:hAnsi="Times New Roman" w:eastAsia="仿宋_GB2312" w:cs="Times New Roman"/>
                <w:color w:val="000000" w:themeColor="text1"/>
                <w:sz w:val="36"/>
                <w:szCs w:val="36"/>
                <w:highlight w:val="none"/>
                <w:u w:val="single"/>
                <w14:textFill>
                  <w14:solidFill>
                    <w14:schemeClr w14:val="tx1"/>
                  </w14:solidFill>
                </w14:textFill>
              </w:rPr>
              <w:t>202</w:t>
            </w:r>
            <w:r>
              <w:rPr>
                <w:rFonts w:hint="eastAsia" w:eastAsia="仿宋_GB2312" w:cs="Times New Roman"/>
                <w:color w:val="000000" w:themeColor="text1"/>
                <w:sz w:val="36"/>
                <w:szCs w:val="36"/>
                <w:highlight w:val="none"/>
                <w:u w:val="single"/>
                <w:lang w:val="en-US" w:eastAsia="zh-CN"/>
                <w14:textFill>
                  <w14:solidFill>
                    <w14:schemeClr w14:val="tx1"/>
                  </w14:solidFill>
                </w14:textFill>
              </w:rPr>
              <w:t>5</w:t>
            </w:r>
            <w:r>
              <w:rPr>
                <w:rFonts w:hint="default" w:ascii="Times New Roman" w:hAnsi="Times New Roman" w:eastAsia="仿宋_GB2312" w:cs="Times New Roman"/>
                <w:color w:val="000000" w:themeColor="text1"/>
                <w:sz w:val="36"/>
                <w:szCs w:val="36"/>
                <w:highlight w:val="none"/>
                <w:u w:val="single"/>
                <w14:textFill>
                  <w14:solidFill>
                    <w14:schemeClr w14:val="tx1"/>
                  </w14:solidFill>
                </w14:textFill>
              </w:rPr>
              <w:t>年</w:t>
            </w:r>
            <w:r>
              <w:rPr>
                <w:rFonts w:hint="eastAsia" w:eastAsia="仿宋_GB2312" w:cs="Times New Roman"/>
                <w:color w:val="000000" w:themeColor="text1"/>
                <w:sz w:val="36"/>
                <w:szCs w:val="36"/>
                <w:highlight w:val="none"/>
                <w:u w:val="single"/>
                <w:lang w:val="en-US" w:eastAsia="zh-CN"/>
                <w14:textFill>
                  <w14:solidFill>
                    <w14:schemeClr w14:val="tx1"/>
                  </w14:solidFill>
                </w14:textFill>
              </w:rPr>
              <w:t>7</w:t>
            </w:r>
            <w:r>
              <w:rPr>
                <w:rFonts w:hint="default" w:ascii="Times New Roman" w:hAnsi="Times New Roman" w:eastAsia="仿宋_GB2312" w:cs="Times New Roman"/>
                <w:color w:val="000000" w:themeColor="text1"/>
                <w:sz w:val="36"/>
                <w:szCs w:val="36"/>
                <w:highlight w:val="none"/>
                <w:u w:val="single"/>
                <w14:textFill>
                  <w14:solidFill>
                    <w14:schemeClr w14:val="tx1"/>
                  </w14:solidFill>
                </w14:textFill>
              </w:rPr>
              <w:t>月</w:t>
            </w:r>
          </w:p>
        </w:tc>
      </w:tr>
    </w:tbl>
    <w:p w14:paraId="40AB2CEB">
      <w:pPr>
        <w:adjustRightInd w:val="0"/>
        <w:snapToGrid w:val="0"/>
        <w:spacing w:line="288" w:lineRule="auto"/>
        <w:ind w:firstLine="720"/>
        <w:rPr>
          <w:rFonts w:hint="default" w:ascii="Times New Roman" w:hAnsi="Times New Roman" w:eastAsia="仿宋_GB2312" w:cs="Times New Roman"/>
          <w:color w:val="000000" w:themeColor="text1"/>
          <w:sz w:val="36"/>
          <w:szCs w:val="36"/>
          <w:highlight w:val="none"/>
          <w14:textFill>
            <w14:solidFill>
              <w14:schemeClr w14:val="tx1"/>
            </w14:solidFill>
          </w14:textFill>
        </w:rPr>
      </w:pPr>
      <w:bookmarkStart w:id="12" w:name="_Hlk57884087"/>
    </w:p>
    <w:p w14:paraId="509FA8FE">
      <w:pPr>
        <w:adjustRightInd w:val="0"/>
        <w:snapToGrid w:val="0"/>
        <w:spacing w:line="288" w:lineRule="auto"/>
        <w:ind w:firstLine="720"/>
        <w:rPr>
          <w:rFonts w:hint="default" w:ascii="Times New Roman" w:hAnsi="Times New Roman" w:eastAsia="仿宋_GB2312" w:cs="Times New Roman"/>
          <w:color w:val="000000" w:themeColor="text1"/>
          <w:sz w:val="36"/>
          <w:szCs w:val="36"/>
          <w:highlight w:val="none"/>
          <w14:textFill>
            <w14:solidFill>
              <w14:schemeClr w14:val="tx1"/>
            </w14:solidFill>
          </w14:textFill>
        </w:rPr>
      </w:pPr>
    </w:p>
    <w:bookmarkEnd w:id="12"/>
    <w:p w14:paraId="5BF34CBD">
      <w:pPr>
        <w:adjustRightInd w:val="0"/>
        <w:snapToGrid w:val="0"/>
        <w:spacing w:line="288" w:lineRule="auto"/>
        <w:ind w:firstLine="720"/>
        <w:jc w:val="center"/>
        <w:rPr>
          <w:rFonts w:hint="default" w:ascii="Times New Roman" w:hAnsi="Times New Roman" w:eastAsia="楷体_GB2312" w:cs="Times New Roman"/>
          <w:color w:val="000000" w:themeColor="text1"/>
          <w:sz w:val="36"/>
          <w:szCs w:val="36"/>
          <w:highlight w:val="none"/>
          <w14:textFill>
            <w14:solidFill>
              <w14:schemeClr w14:val="tx1"/>
            </w14:solidFill>
          </w14:textFill>
        </w:rPr>
        <w:sectPr>
          <w:headerReference r:id="rId5" w:type="default"/>
          <w:footerReference r:id="rId6" w:type="default"/>
          <w:footerReference r:id="rId7"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default" w:ascii="Times New Roman" w:hAnsi="Times New Roman" w:eastAsia="楷体_GB2312" w:cs="Times New Roman"/>
          <w:color w:val="000000" w:themeColor="text1"/>
          <w:sz w:val="36"/>
          <w:szCs w:val="36"/>
          <w:highlight w:val="none"/>
          <w14:textFill>
            <w14:solidFill>
              <w14:schemeClr w14:val="tx1"/>
            </w14:solidFill>
          </w14:textFill>
        </w:rPr>
        <w:t>中华人民共和国生态环境部制</w:t>
      </w:r>
    </w:p>
    <w:p w14:paraId="14C4EE38">
      <w:pPr>
        <w:pStyle w:val="32"/>
        <w:bidi w:val="0"/>
        <w:rPr>
          <w:rFonts w:hint="default" w:ascii="Times New Roman" w:hAnsi="Times New Roman" w:cs="Times New Roman"/>
          <w:color w:val="000000" w:themeColor="text1"/>
          <w:highlight w:val="none"/>
          <w14:textFill>
            <w14:solidFill>
              <w14:schemeClr w14:val="tx1"/>
            </w14:solidFill>
          </w14:textFill>
        </w:rPr>
      </w:pPr>
      <w:bookmarkStart w:id="13" w:name="_Toc25248"/>
      <w:bookmarkStart w:id="14" w:name="_Toc25807"/>
      <w:bookmarkStart w:id="15" w:name="_Toc20043"/>
      <w:bookmarkStart w:id="16" w:name="_Toc17721"/>
      <w:bookmarkStart w:id="17" w:name="_Toc14299"/>
      <w:bookmarkStart w:id="18" w:name="_Toc11407"/>
      <w:bookmarkStart w:id="19" w:name="_Toc23831"/>
      <w:bookmarkStart w:id="20" w:name="_Toc14772"/>
      <w:bookmarkStart w:id="21" w:name="_Toc11722"/>
      <w:bookmarkStart w:id="22" w:name="_Toc3173"/>
      <w:bookmarkStart w:id="23" w:name="_Toc6770"/>
      <w:r>
        <w:rPr>
          <w:rFonts w:hint="default" w:ascii="Times New Roman" w:hAnsi="Times New Roman" w:cs="Times New Roman"/>
          <w:color w:val="000000" w:themeColor="text1"/>
          <w:highlight w:val="none"/>
          <w14:textFill>
            <w14:solidFill>
              <w14:schemeClr w14:val="tx1"/>
            </w14:solidFill>
          </w14:textFill>
        </w:rPr>
        <w:t>建设项目基本情况</w:t>
      </w:r>
      <w:bookmarkEnd w:id="13"/>
      <w:bookmarkEnd w:id="14"/>
      <w:bookmarkEnd w:id="15"/>
      <w:bookmarkEnd w:id="16"/>
      <w:bookmarkEnd w:id="17"/>
      <w:bookmarkEnd w:id="18"/>
    </w:p>
    <w:tbl>
      <w:tblPr>
        <w:tblStyle w:val="17"/>
        <w:tblW w:w="47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262"/>
        <w:gridCol w:w="1631"/>
        <w:gridCol w:w="631"/>
        <w:gridCol w:w="1147"/>
        <w:gridCol w:w="928"/>
        <w:gridCol w:w="2911"/>
      </w:tblGrid>
      <w:tr w14:paraId="79D005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41" w:type="pct"/>
            <w:noWrap w:val="0"/>
            <w:tcMar>
              <w:top w:w="16" w:type="dxa"/>
              <w:left w:w="16" w:type="dxa"/>
              <w:right w:w="16" w:type="dxa"/>
            </w:tcMar>
            <w:vAlign w:val="center"/>
          </w:tcPr>
          <w:p w14:paraId="0BB599C2">
            <w:pPr>
              <w:keepLines w:val="0"/>
              <w:pageBreakBefore w:val="0"/>
              <w:widowControl w:val="0"/>
              <w:kinsoku/>
              <w:wordWrap/>
              <w:topLinePunct w:val="0"/>
              <w:bidi w:val="0"/>
              <w:adjustRightInd/>
              <w:snapToGrid/>
              <w:spacing w:line="240" w:lineRule="auto"/>
              <w:ind w:firstLine="0" w:firstLineChars="0"/>
              <w:jc w:val="center"/>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建设项目</w:t>
            </w:r>
          </w:p>
          <w:p w14:paraId="78BB8346">
            <w:pPr>
              <w:keepLines w:val="0"/>
              <w:pageBreakBefore w:val="0"/>
              <w:widowControl w:val="0"/>
              <w:kinsoku/>
              <w:wordWrap/>
              <w:topLinePunct w:val="0"/>
              <w:bidi w:val="0"/>
              <w:adjustRightInd/>
              <w:snapToGrid/>
              <w:spacing w:line="240" w:lineRule="auto"/>
              <w:ind w:firstLine="0" w:firstLineChars="0"/>
              <w:jc w:val="center"/>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名称</w:t>
            </w:r>
          </w:p>
        </w:tc>
        <w:tc>
          <w:tcPr>
            <w:tcW w:w="4258" w:type="pct"/>
            <w:gridSpan w:val="5"/>
            <w:noWrap w:val="0"/>
            <w:vAlign w:val="center"/>
          </w:tcPr>
          <w:p w14:paraId="7873D7C0">
            <w:pPr>
              <w:keepLines w:val="0"/>
              <w:pageBreakBefore w:val="0"/>
              <w:widowControl w:val="0"/>
              <w:kinsoku/>
              <w:wordWrap/>
              <w:topLinePunct w:val="0"/>
              <w:bidi w:val="0"/>
              <w:adjustRightInd/>
              <w:snapToGrid/>
              <w:spacing w:line="240" w:lineRule="auto"/>
              <w:ind w:firstLine="0" w:firstLineChars="0"/>
              <w:jc w:val="center"/>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年产100吨单壁碳纳米管及年产1000吨硅碳负极材料</w:t>
            </w:r>
          </w:p>
        </w:tc>
      </w:tr>
      <w:tr w14:paraId="300831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41" w:type="pct"/>
            <w:noWrap w:val="0"/>
            <w:tcMar>
              <w:top w:w="16" w:type="dxa"/>
              <w:left w:w="16" w:type="dxa"/>
              <w:right w:w="16" w:type="dxa"/>
            </w:tcMar>
            <w:vAlign w:val="center"/>
          </w:tcPr>
          <w:p w14:paraId="5CEBEBB7">
            <w:pPr>
              <w:keepLines w:val="0"/>
              <w:pageBreakBefore w:val="0"/>
              <w:widowControl w:val="0"/>
              <w:kinsoku/>
              <w:wordWrap/>
              <w:topLinePunct w:val="0"/>
              <w:bidi w:val="0"/>
              <w:adjustRightInd/>
              <w:snapToGrid/>
              <w:spacing w:line="240" w:lineRule="auto"/>
              <w:ind w:firstLine="0" w:firstLineChars="0"/>
              <w:jc w:val="center"/>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项目代码</w:t>
            </w:r>
          </w:p>
        </w:tc>
        <w:tc>
          <w:tcPr>
            <w:tcW w:w="4258" w:type="pct"/>
            <w:gridSpan w:val="5"/>
            <w:noWrap w:val="0"/>
            <w:vAlign w:val="center"/>
          </w:tcPr>
          <w:p w14:paraId="7FB6338D">
            <w:pPr>
              <w:keepLines w:val="0"/>
              <w:pageBreakBefore w:val="0"/>
              <w:widowControl w:val="0"/>
              <w:kinsoku/>
              <w:wordWrap/>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2502-350481-04-01-867716</w:t>
            </w:r>
          </w:p>
        </w:tc>
      </w:tr>
      <w:tr w14:paraId="1FF0CF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41" w:type="pct"/>
            <w:noWrap w:val="0"/>
            <w:tcMar>
              <w:top w:w="16" w:type="dxa"/>
              <w:left w:w="16" w:type="dxa"/>
              <w:right w:w="16" w:type="dxa"/>
            </w:tcMar>
            <w:vAlign w:val="center"/>
          </w:tcPr>
          <w:p w14:paraId="4766D274">
            <w:pPr>
              <w:keepLines w:val="0"/>
              <w:pageBreakBefore w:val="0"/>
              <w:widowControl w:val="0"/>
              <w:kinsoku/>
              <w:wordWrap/>
              <w:topLinePunct w:val="0"/>
              <w:bidi w:val="0"/>
              <w:adjustRightInd/>
              <w:snapToGrid/>
              <w:spacing w:line="240" w:lineRule="auto"/>
              <w:ind w:firstLine="0" w:firstLineChars="0"/>
              <w:jc w:val="center"/>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建设单位</w:t>
            </w:r>
          </w:p>
          <w:p w14:paraId="2F03E663">
            <w:pPr>
              <w:keepLines w:val="0"/>
              <w:pageBreakBefore w:val="0"/>
              <w:widowControl w:val="0"/>
              <w:kinsoku/>
              <w:wordWrap/>
              <w:topLinePunct w:val="0"/>
              <w:bidi w:val="0"/>
              <w:adjustRightInd/>
              <w:snapToGrid/>
              <w:spacing w:line="240" w:lineRule="auto"/>
              <w:ind w:firstLine="0" w:firstLineChars="0"/>
              <w:jc w:val="center"/>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联系人</w:t>
            </w:r>
          </w:p>
        </w:tc>
        <w:tc>
          <w:tcPr>
            <w:tcW w:w="1328" w:type="pct"/>
            <w:gridSpan w:val="2"/>
            <w:noWrap w:val="0"/>
            <w:vAlign w:val="center"/>
          </w:tcPr>
          <w:p w14:paraId="194F5BB0">
            <w:pPr>
              <w:keepLines w:val="0"/>
              <w:pageBreakBefore w:val="0"/>
              <w:widowControl w:val="0"/>
              <w:kinsoku/>
              <w:wordWrap/>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尤**</w:t>
            </w:r>
          </w:p>
        </w:tc>
        <w:tc>
          <w:tcPr>
            <w:tcW w:w="1219" w:type="pct"/>
            <w:gridSpan w:val="2"/>
            <w:noWrap w:val="0"/>
            <w:vAlign w:val="center"/>
          </w:tcPr>
          <w:p w14:paraId="76A2992A">
            <w:pPr>
              <w:keepLines w:val="0"/>
              <w:pageBreakBefore w:val="0"/>
              <w:widowControl w:val="0"/>
              <w:kinsoku/>
              <w:wordWrap/>
              <w:topLinePunct w:val="0"/>
              <w:bidi w:val="0"/>
              <w:adjustRightInd/>
              <w:snapToGrid/>
              <w:spacing w:line="240" w:lineRule="auto"/>
              <w:ind w:firstLine="0" w:firstLineChars="0"/>
              <w:jc w:val="center"/>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联系方式</w:t>
            </w:r>
          </w:p>
        </w:tc>
        <w:tc>
          <w:tcPr>
            <w:tcW w:w="1710" w:type="pct"/>
            <w:noWrap w:val="0"/>
            <w:vAlign w:val="center"/>
          </w:tcPr>
          <w:p w14:paraId="3341BCD9">
            <w:pPr>
              <w:keepLines w:val="0"/>
              <w:pageBreakBefore w:val="0"/>
              <w:widowControl w:val="0"/>
              <w:kinsoku/>
              <w:wordWrap/>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155********</w:t>
            </w:r>
          </w:p>
        </w:tc>
      </w:tr>
      <w:tr w14:paraId="1E4A83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41" w:type="pct"/>
            <w:noWrap w:val="0"/>
            <w:tcMar>
              <w:top w:w="16" w:type="dxa"/>
              <w:left w:w="16" w:type="dxa"/>
              <w:right w:w="16" w:type="dxa"/>
            </w:tcMar>
            <w:vAlign w:val="center"/>
          </w:tcPr>
          <w:p w14:paraId="1DA3E55A">
            <w:pPr>
              <w:keepLines w:val="0"/>
              <w:pageBreakBefore w:val="0"/>
              <w:widowControl w:val="0"/>
              <w:kinsoku/>
              <w:wordWrap/>
              <w:topLinePunct w:val="0"/>
              <w:bidi w:val="0"/>
              <w:adjustRightInd/>
              <w:snapToGrid/>
              <w:spacing w:line="240" w:lineRule="auto"/>
              <w:ind w:firstLine="0" w:firstLineChars="0"/>
              <w:jc w:val="center"/>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建设地点</w:t>
            </w:r>
          </w:p>
        </w:tc>
        <w:tc>
          <w:tcPr>
            <w:tcW w:w="4258" w:type="pct"/>
            <w:gridSpan w:val="5"/>
            <w:noWrap w:val="0"/>
            <w:vAlign w:val="center"/>
          </w:tcPr>
          <w:p w14:paraId="569ECCCE">
            <w:pPr>
              <w:keepLines w:val="0"/>
              <w:pageBreakBefore w:val="0"/>
              <w:widowControl w:val="0"/>
              <w:kinsoku/>
              <w:wordWrap/>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福建省三明市永安市贡川镇水东园区56号</w:t>
            </w:r>
          </w:p>
        </w:tc>
      </w:tr>
      <w:tr w14:paraId="240CEA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41" w:type="pct"/>
            <w:noWrap w:val="0"/>
            <w:tcMar>
              <w:top w:w="16" w:type="dxa"/>
              <w:left w:w="16" w:type="dxa"/>
              <w:right w:w="16" w:type="dxa"/>
            </w:tcMar>
            <w:vAlign w:val="center"/>
          </w:tcPr>
          <w:p w14:paraId="21242891">
            <w:pPr>
              <w:keepLines w:val="0"/>
              <w:pageBreakBefore w:val="0"/>
              <w:widowControl w:val="0"/>
              <w:kinsoku/>
              <w:wordWrap/>
              <w:topLinePunct w:val="0"/>
              <w:bidi w:val="0"/>
              <w:adjustRightInd/>
              <w:snapToGrid/>
              <w:spacing w:line="240" w:lineRule="auto"/>
              <w:ind w:firstLine="0" w:firstLineChars="0"/>
              <w:jc w:val="center"/>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地理坐标</w:t>
            </w:r>
          </w:p>
        </w:tc>
        <w:tc>
          <w:tcPr>
            <w:tcW w:w="4258" w:type="pct"/>
            <w:gridSpan w:val="5"/>
            <w:noWrap w:val="0"/>
            <w:vAlign w:val="center"/>
          </w:tcPr>
          <w:p w14:paraId="261AD2CF">
            <w:pPr>
              <w:keepLines w:val="0"/>
              <w:pageBreakBefore w:val="0"/>
              <w:widowControl w:val="0"/>
              <w:kinsoku/>
              <w:wordWrap/>
              <w:topLinePunct w:val="0"/>
              <w:bidi w:val="0"/>
              <w:adjustRightInd/>
              <w:snapToGrid/>
              <w:spacing w:line="240" w:lineRule="auto"/>
              <w:ind w:firstLine="0" w:firstLineChars="0"/>
              <w:jc w:val="center"/>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w:t>
            </w:r>
            <w:r>
              <w:rPr>
                <w:rFonts w:hint="default" w:ascii="Times New Roman" w:hAnsi="Times New Roman" w:cs="Times New Roman"/>
                <w:color w:val="000000" w:themeColor="text1"/>
                <w:sz w:val="24"/>
                <w:highlight w:val="none"/>
                <w:u w:val="single"/>
                <w14:textFill>
                  <w14:solidFill>
                    <w14:schemeClr w14:val="tx1"/>
                  </w14:solidFill>
                </w14:textFill>
              </w:rPr>
              <w:t xml:space="preserve"> </w:t>
            </w:r>
            <w:r>
              <w:rPr>
                <w:rFonts w:hint="eastAsia" w:ascii="Times New Roman" w:hAnsi="Times New Roman" w:cs="Times New Roman"/>
                <w:color w:val="000000" w:themeColor="text1"/>
                <w:sz w:val="24"/>
                <w:highlight w:val="none"/>
                <w:u w:val="single"/>
                <w:lang w:val="en-US" w:eastAsia="zh-CN"/>
                <w14:textFill>
                  <w14:solidFill>
                    <w14:schemeClr w14:val="tx1"/>
                  </w14:solidFill>
                </w14:textFill>
              </w:rPr>
              <w:t>117</w:t>
            </w:r>
            <w:r>
              <w:rPr>
                <w:rFonts w:hint="default" w:ascii="Times New Roman" w:hAnsi="Times New Roman" w:cs="Times New Roman"/>
                <w:color w:val="000000" w:themeColor="text1"/>
                <w:sz w:val="24"/>
                <w:highlight w:val="none"/>
                <w:u w:val="single"/>
                <w14:textFill>
                  <w14:solidFill>
                    <w14:schemeClr w14:val="tx1"/>
                  </w14:solidFill>
                </w14:textFill>
              </w:rPr>
              <w:t xml:space="preserve"> </w:t>
            </w:r>
            <w:r>
              <w:rPr>
                <w:rFonts w:hint="default" w:ascii="Times New Roman" w:hAnsi="Times New Roman" w:cs="Times New Roman"/>
                <w:color w:val="000000" w:themeColor="text1"/>
                <w:sz w:val="24"/>
                <w:highlight w:val="none"/>
                <w14:textFill>
                  <w14:solidFill>
                    <w14:schemeClr w14:val="tx1"/>
                  </w14:solidFill>
                </w14:textFill>
              </w:rPr>
              <w:t>度</w:t>
            </w:r>
            <w:r>
              <w:rPr>
                <w:rFonts w:hint="default" w:ascii="Times New Roman" w:hAnsi="Times New Roman" w:cs="Times New Roman"/>
                <w:color w:val="000000" w:themeColor="text1"/>
                <w:sz w:val="24"/>
                <w:highlight w:val="none"/>
                <w:u w:val="single"/>
                <w14:textFill>
                  <w14:solidFill>
                    <w14:schemeClr w14:val="tx1"/>
                  </w14:solidFill>
                </w14:textFill>
              </w:rPr>
              <w:t xml:space="preserve"> </w:t>
            </w:r>
            <w:r>
              <w:rPr>
                <w:rFonts w:hint="eastAsia" w:cs="Times New Roman"/>
                <w:color w:val="000000" w:themeColor="text1"/>
                <w:sz w:val="24"/>
                <w:highlight w:val="none"/>
                <w:u w:val="single"/>
                <w:lang w:val="en-US" w:eastAsia="zh-CN"/>
                <w14:textFill>
                  <w14:solidFill>
                    <w14:schemeClr w14:val="tx1"/>
                  </w14:solidFill>
                </w14:textFill>
              </w:rPr>
              <w:t xml:space="preserve">27 </w:t>
            </w:r>
            <w:r>
              <w:rPr>
                <w:rFonts w:hint="default" w:ascii="Times New Roman" w:hAnsi="Times New Roman" w:cs="Times New Roman"/>
                <w:color w:val="000000" w:themeColor="text1"/>
                <w:sz w:val="24"/>
                <w:highlight w:val="none"/>
                <w14:textFill>
                  <w14:solidFill>
                    <w14:schemeClr w14:val="tx1"/>
                  </w14:solidFill>
                </w14:textFill>
              </w:rPr>
              <w:t>分</w:t>
            </w:r>
            <w:r>
              <w:rPr>
                <w:rFonts w:hint="default" w:ascii="Times New Roman" w:hAnsi="Times New Roman" w:cs="Times New Roman"/>
                <w:color w:val="000000" w:themeColor="text1"/>
                <w:sz w:val="24"/>
                <w:highlight w:val="none"/>
                <w:u w:val="single"/>
                <w14:textFill>
                  <w14:solidFill>
                    <w14:schemeClr w14:val="tx1"/>
                  </w14:solidFill>
                </w14:textFill>
              </w:rPr>
              <w:t xml:space="preserve"> </w:t>
            </w:r>
            <w:r>
              <w:rPr>
                <w:rFonts w:hint="eastAsia" w:cs="Times New Roman"/>
                <w:color w:val="000000" w:themeColor="text1"/>
                <w:sz w:val="24"/>
                <w:highlight w:val="none"/>
                <w:u w:val="single"/>
                <w:lang w:val="en-US" w:eastAsia="zh-CN"/>
                <w14:textFill>
                  <w14:solidFill>
                    <w14:schemeClr w14:val="tx1"/>
                  </w14:solidFill>
                </w14:textFill>
              </w:rPr>
              <w:t>12.825</w:t>
            </w:r>
            <w:r>
              <w:rPr>
                <w:rFonts w:hint="default" w:ascii="Times New Roman" w:hAnsi="Times New Roman" w:cs="Times New Roman"/>
                <w:color w:val="000000" w:themeColor="text1"/>
                <w:sz w:val="24"/>
                <w:highlight w:val="none"/>
                <w:u w:val="single"/>
                <w14:textFill>
                  <w14:solidFill>
                    <w14:schemeClr w14:val="tx1"/>
                  </w14:solidFill>
                </w14:textFill>
              </w:rPr>
              <w:t xml:space="preserve"> </w:t>
            </w:r>
            <w:r>
              <w:rPr>
                <w:rFonts w:hint="default" w:ascii="Times New Roman" w:hAnsi="Times New Roman" w:cs="Times New Roman"/>
                <w:color w:val="000000" w:themeColor="text1"/>
                <w:sz w:val="24"/>
                <w:highlight w:val="none"/>
                <w14:textFill>
                  <w14:solidFill>
                    <w14:schemeClr w14:val="tx1"/>
                  </w14:solidFill>
                </w14:textFill>
              </w:rPr>
              <w:t>秒，</w:t>
            </w:r>
            <w:r>
              <w:rPr>
                <w:rFonts w:hint="default" w:ascii="Times New Roman" w:hAnsi="Times New Roman" w:cs="Times New Roman"/>
                <w:color w:val="000000" w:themeColor="text1"/>
                <w:sz w:val="24"/>
                <w:highlight w:val="none"/>
                <w:u w:val="single"/>
                <w14:textFill>
                  <w14:solidFill>
                    <w14:schemeClr w14:val="tx1"/>
                  </w14:solidFill>
                </w14:textFill>
              </w:rPr>
              <w:t xml:space="preserve"> 2</w:t>
            </w:r>
            <w:r>
              <w:rPr>
                <w:rFonts w:hint="eastAsia" w:cs="Times New Roman"/>
                <w:color w:val="000000" w:themeColor="text1"/>
                <w:sz w:val="24"/>
                <w:highlight w:val="none"/>
                <w:u w:val="single"/>
                <w:lang w:val="en-US" w:eastAsia="zh-CN"/>
                <w14:textFill>
                  <w14:solidFill>
                    <w14:schemeClr w14:val="tx1"/>
                  </w14:solidFill>
                </w14:textFill>
              </w:rPr>
              <w:t>6</w:t>
            </w:r>
            <w:r>
              <w:rPr>
                <w:rFonts w:hint="default" w:ascii="Times New Roman" w:hAnsi="Times New Roman" w:cs="Times New Roman"/>
                <w:color w:val="000000" w:themeColor="text1"/>
                <w:sz w:val="24"/>
                <w:highlight w:val="none"/>
                <w:u w:val="single"/>
                <w14:textFill>
                  <w14:solidFill>
                    <w14:schemeClr w14:val="tx1"/>
                  </w14:solidFill>
                </w14:textFill>
              </w:rPr>
              <w:t xml:space="preserve"> </w:t>
            </w:r>
            <w:r>
              <w:rPr>
                <w:rFonts w:hint="default" w:ascii="Times New Roman" w:hAnsi="Times New Roman" w:cs="Times New Roman"/>
                <w:color w:val="000000" w:themeColor="text1"/>
                <w:sz w:val="24"/>
                <w:highlight w:val="none"/>
                <w14:textFill>
                  <w14:solidFill>
                    <w14:schemeClr w14:val="tx1"/>
                  </w14:solidFill>
                </w14:textFill>
              </w:rPr>
              <w:t>度</w:t>
            </w:r>
            <w:r>
              <w:rPr>
                <w:rFonts w:hint="default" w:ascii="Times New Roman" w:hAnsi="Times New Roman" w:cs="Times New Roman"/>
                <w:color w:val="000000" w:themeColor="text1"/>
                <w:sz w:val="24"/>
                <w:highlight w:val="none"/>
                <w:u w:val="single"/>
                <w14:textFill>
                  <w14:solidFill>
                    <w14:schemeClr w14:val="tx1"/>
                  </w14:solidFill>
                </w14:textFill>
              </w:rPr>
              <w:t xml:space="preserve"> </w:t>
            </w:r>
            <w:r>
              <w:rPr>
                <w:rFonts w:hint="eastAsia" w:cs="Times New Roman"/>
                <w:color w:val="000000" w:themeColor="text1"/>
                <w:sz w:val="24"/>
                <w:highlight w:val="none"/>
                <w:u w:val="single"/>
                <w:lang w:val="en-US" w:eastAsia="zh-CN"/>
                <w14:textFill>
                  <w14:solidFill>
                    <w14:schemeClr w14:val="tx1"/>
                  </w14:solidFill>
                </w14:textFill>
              </w:rPr>
              <w:t>04</w:t>
            </w:r>
            <w:r>
              <w:rPr>
                <w:rFonts w:hint="default" w:ascii="Times New Roman" w:hAnsi="Times New Roman" w:cs="Times New Roman"/>
                <w:color w:val="000000" w:themeColor="text1"/>
                <w:sz w:val="24"/>
                <w:highlight w:val="none"/>
                <w:u w:val="single"/>
                <w14:textFill>
                  <w14:solidFill>
                    <w14:schemeClr w14:val="tx1"/>
                  </w14:solidFill>
                </w14:textFill>
              </w:rPr>
              <w:t xml:space="preserve"> </w:t>
            </w:r>
            <w:r>
              <w:rPr>
                <w:rFonts w:hint="default" w:ascii="Times New Roman" w:hAnsi="Times New Roman" w:cs="Times New Roman"/>
                <w:color w:val="000000" w:themeColor="text1"/>
                <w:sz w:val="24"/>
                <w:highlight w:val="none"/>
                <w14:textFill>
                  <w14:solidFill>
                    <w14:schemeClr w14:val="tx1"/>
                  </w14:solidFill>
                </w14:textFill>
              </w:rPr>
              <w:t>分</w:t>
            </w:r>
            <w:r>
              <w:rPr>
                <w:rFonts w:hint="default" w:ascii="Times New Roman" w:hAnsi="Times New Roman" w:cs="Times New Roman"/>
                <w:color w:val="000000" w:themeColor="text1"/>
                <w:sz w:val="24"/>
                <w:highlight w:val="none"/>
                <w:u w:val="single"/>
                <w14:textFill>
                  <w14:solidFill>
                    <w14:schemeClr w14:val="tx1"/>
                  </w14:solidFill>
                </w14:textFill>
              </w:rPr>
              <w:t xml:space="preserve"> </w:t>
            </w:r>
            <w:r>
              <w:rPr>
                <w:rFonts w:hint="eastAsia" w:cs="Times New Roman"/>
                <w:color w:val="000000" w:themeColor="text1"/>
                <w:sz w:val="24"/>
                <w:highlight w:val="none"/>
                <w:u w:val="single"/>
                <w:lang w:val="en-US" w:eastAsia="zh-CN"/>
                <w14:textFill>
                  <w14:solidFill>
                    <w14:schemeClr w14:val="tx1"/>
                  </w14:solidFill>
                </w14:textFill>
              </w:rPr>
              <w:t>46.255</w:t>
            </w:r>
            <w:r>
              <w:rPr>
                <w:rFonts w:hint="default" w:ascii="Times New Roman" w:hAnsi="Times New Roman" w:cs="Times New Roman"/>
                <w:color w:val="000000" w:themeColor="text1"/>
                <w:sz w:val="24"/>
                <w:highlight w:val="none"/>
                <w:u w:val="single"/>
                <w14:textFill>
                  <w14:solidFill>
                    <w14:schemeClr w14:val="tx1"/>
                  </w14:solidFill>
                </w14:textFill>
              </w:rPr>
              <w:t xml:space="preserve"> </w:t>
            </w:r>
            <w:r>
              <w:rPr>
                <w:rFonts w:hint="default" w:ascii="Times New Roman" w:hAnsi="Times New Roman" w:cs="Times New Roman"/>
                <w:color w:val="000000" w:themeColor="text1"/>
                <w:sz w:val="24"/>
                <w:highlight w:val="none"/>
                <w14:textFill>
                  <w14:solidFill>
                    <w14:schemeClr w14:val="tx1"/>
                  </w14:solidFill>
                </w14:textFill>
              </w:rPr>
              <w:t>秒)</w:t>
            </w:r>
          </w:p>
        </w:tc>
      </w:tr>
      <w:tr w14:paraId="4C794A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41" w:type="pct"/>
            <w:noWrap w:val="0"/>
            <w:tcMar>
              <w:top w:w="16" w:type="dxa"/>
              <w:left w:w="16" w:type="dxa"/>
              <w:right w:w="16" w:type="dxa"/>
            </w:tcMar>
            <w:vAlign w:val="center"/>
          </w:tcPr>
          <w:p w14:paraId="4EA603AB">
            <w:pPr>
              <w:keepLines w:val="0"/>
              <w:pageBreakBefore w:val="0"/>
              <w:widowControl w:val="0"/>
              <w:kinsoku/>
              <w:wordWrap/>
              <w:topLinePunct w:val="0"/>
              <w:bidi w:val="0"/>
              <w:adjustRightInd/>
              <w:snapToGrid/>
              <w:spacing w:line="240" w:lineRule="auto"/>
              <w:ind w:firstLine="0" w:firstLineChars="0"/>
              <w:jc w:val="center"/>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国民经济</w:t>
            </w:r>
          </w:p>
          <w:p w14:paraId="6115FC10">
            <w:pPr>
              <w:keepLines w:val="0"/>
              <w:pageBreakBefore w:val="0"/>
              <w:widowControl w:val="0"/>
              <w:kinsoku/>
              <w:wordWrap/>
              <w:topLinePunct w:val="0"/>
              <w:bidi w:val="0"/>
              <w:adjustRightInd/>
              <w:snapToGrid/>
              <w:spacing w:line="240" w:lineRule="auto"/>
              <w:ind w:firstLine="0" w:firstLineChars="0"/>
              <w:jc w:val="center"/>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行业类别</w:t>
            </w:r>
          </w:p>
        </w:tc>
        <w:tc>
          <w:tcPr>
            <w:tcW w:w="1328" w:type="pct"/>
            <w:gridSpan w:val="2"/>
            <w:noWrap w:val="0"/>
            <w:vAlign w:val="center"/>
          </w:tcPr>
          <w:p w14:paraId="4464CB6E">
            <w:pPr>
              <w:keepLines w:val="0"/>
              <w:pageBreakBefore w:val="0"/>
              <w:widowControl w:val="0"/>
              <w:kinsoku/>
              <w:wordWrap/>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color w:val="000000" w:themeColor="text1"/>
                <w:sz w:val="24"/>
                <w:szCs w:val="24"/>
                <w:highlight w:val="none"/>
                <w14:textFill>
                  <w14:solidFill>
                    <w14:schemeClr w14:val="tx1"/>
                  </w14:solidFill>
                </w14:textFill>
              </w:rPr>
              <w:t>C</w:t>
            </w:r>
            <w:r>
              <w:rPr>
                <w:rFonts w:hint="eastAsia"/>
                <w:color w:val="000000" w:themeColor="text1"/>
                <w:sz w:val="24"/>
                <w:szCs w:val="24"/>
                <w:highlight w:val="none"/>
                <w:lang w:val="en-US" w:eastAsia="zh-CN"/>
                <w14:textFill>
                  <w14:solidFill>
                    <w14:schemeClr w14:val="tx1"/>
                  </w14:solidFill>
                </w14:textFill>
              </w:rPr>
              <w:t>3091石墨及碳素制品制造；C3985电子专用材料制造</w:t>
            </w:r>
          </w:p>
        </w:tc>
        <w:tc>
          <w:tcPr>
            <w:tcW w:w="1219" w:type="pct"/>
            <w:gridSpan w:val="2"/>
            <w:noWrap w:val="0"/>
            <w:vAlign w:val="center"/>
          </w:tcPr>
          <w:p w14:paraId="060F86BC">
            <w:pPr>
              <w:keepLines w:val="0"/>
              <w:pageBreakBefore w:val="0"/>
              <w:widowControl w:val="0"/>
              <w:kinsoku/>
              <w:wordWrap/>
              <w:topLinePunct w:val="0"/>
              <w:bidi w:val="0"/>
              <w:adjustRightInd/>
              <w:snapToGrid/>
              <w:spacing w:line="240" w:lineRule="auto"/>
              <w:ind w:firstLine="0" w:firstLineChars="0"/>
              <w:jc w:val="center"/>
              <w:textAlignment w:val="auto"/>
              <w:rPr>
                <w:rFonts w:hint="default" w:ascii="Times New Roman" w:hAnsi="Times New Roman" w:cs="Times New Roman"/>
                <w:color w:val="000000" w:themeColor="text1"/>
                <w:sz w:val="24"/>
                <w:highlight w:val="none"/>
                <w14:textFill>
                  <w14:solidFill>
                    <w14:schemeClr w14:val="tx1"/>
                  </w14:solidFill>
                </w14:textFill>
              </w:rPr>
            </w:pPr>
            <w:bookmarkStart w:id="24" w:name="_Hlk49843745"/>
            <w:r>
              <w:rPr>
                <w:rFonts w:hint="default" w:ascii="Times New Roman" w:hAnsi="Times New Roman" w:cs="Times New Roman"/>
                <w:color w:val="000000" w:themeColor="text1"/>
                <w:sz w:val="24"/>
                <w:highlight w:val="none"/>
                <w14:textFill>
                  <w14:solidFill>
                    <w14:schemeClr w14:val="tx1"/>
                  </w14:solidFill>
                </w14:textFill>
              </w:rPr>
              <w:t>建设项目</w:t>
            </w:r>
          </w:p>
          <w:p w14:paraId="7B1B9C9B">
            <w:pPr>
              <w:keepLines w:val="0"/>
              <w:pageBreakBefore w:val="0"/>
              <w:widowControl w:val="0"/>
              <w:kinsoku/>
              <w:wordWrap/>
              <w:topLinePunct w:val="0"/>
              <w:bidi w:val="0"/>
              <w:adjustRightInd/>
              <w:snapToGrid/>
              <w:spacing w:line="240" w:lineRule="auto"/>
              <w:ind w:firstLine="0" w:firstLineChars="0"/>
              <w:jc w:val="center"/>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行业类别</w:t>
            </w:r>
            <w:bookmarkEnd w:id="24"/>
          </w:p>
        </w:tc>
        <w:tc>
          <w:tcPr>
            <w:tcW w:w="1710" w:type="pct"/>
            <w:noWrap w:val="0"/>
            <w:vAlign w:val="center"/>
          </w:tcPr>
          <w:p w14:paraId="47EA53B1">
            <w:pPr>
              <w:keepLines w:val="0"/>
              <w:pageBreakBefore w:val="0"/>
              <w:widowControl w:val="0"/>
              <w:kinsoku/>
              <w:wordWrap/>
              <w:topLinePunct w:val="0"/>
              <w:bidi w:val="0"/>
              <w:adjustRightInd/>
              <w:snapToGrid/>
              <w:spacing w:line="240" w:lineRule="auto"/>
              <w:ind w:firstLine="0" w:firstLineChars="0"/>
              <w:jc w:val="center"/>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二</w:t>
            </w:r>
            <w:r>
              <w:rPr>
                <w:rFonts w:hint="default" w:ascii="Times New Roman" w:hAnsi="Times New Roman" w:cs="Times New Roman"/>
                <w:color w:val="000000" w:themeColor="text1"/>
                <w:sz w:val="24"/>
                <w:highlight w:val="none"/>
                <w14:textFill>
                  <w14:solidFill>
                    <w14:schemeClr w14:val="tx1"/>
                  </w14:solidFill>
                </w14:textFill>
              </w:rPr>
              <w:t>十</w:t>
            </w:r>
            <w:r>
              <w:rPr>
                <w:rFonts w:hint="eastAsia" w:ascii="Times New Roman" w:hAnsi="Times New Roman" w:cs="Times New Roman"/>
                <w:color w:val="000000" w:themeColor="text1"/>
                <w:sz w:val="24"/>
                <w:highlight w:val="none"/>
                <w:lang w:val="en-US" w:eastAsia="zh-CN"/>
                <w14:textFill>
                  <w14:solidFill>
                    <w14:schemeClr w14:val="tx1"/>
                  </w14:solidFill>
                </w14:textFill>
              </w:rPr>
              <w:t>七、非金属矿物制品业30-60、石墨及其他非金属矿物制品制造309-其他；</w:t>
            </w:r>
          </w:p>
          <w:p w14:paraId="340AD50C">
            <w:pPr>
              <w:keepLines w:val="0"/>
              <w:pageBreakBefore w:val="0"/>
              <w:widowControl w:val="0"/>
              <w:kinsoku/>
              <w:wordWrap/>
              <w:topLinePunct w:val="0"/>
              <w:bidi w:val="0"/>
              <w:adjustRightInd/>
              <w:snapToGrid/>
              <w:spacing w:line="240" w:lineRule="auto"/>
              <w:ind w:firstLine="0" w:firstLineChars="0"/>
              <w:jc w:val="center"/>
              <w:textAlignment w:val="auto"/>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三十六、计算机、通信和其他电子设备制造业39-81、电子元件及电子专用材料制造398-电子专用材料制造（电子化工材料制造除外）</w:t>
            </w:r>
          </w:p>
        </w:tc>
      </w:tr>
      <w:tr w14:paraId="079EA7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41" w:type="pct"/>
            <w:noWrap w:val="0"/>
            <w:tcMar>
              <w:top w:w="16" w:type="dxa"/>
              <w:left w:w="16" w:type="dxa"/>
              <w:right w:w="16" w:type="dxa"/>
            </w:tcMar>
            <w:vAlign w:val="center"/>
          </w:tcPr>
          <w:p w14:paraId="104A7729">
            <w:pPr>
              <w:keepLines w:val="0"/>
              <w:pageBreakBefore w:val="0"/>
              <w:widowControl w:val="0"/>
              <w:kinsoku/>
              <w:wordWrap/>
              <w:topLinePunct w:val="0"/>
              <w:bidi w:val="0"/>
              <w:adjustRightInd/>
              <w:snapToGrid/>
              <w:spacing w:line="240" w:lineRule="auto"/>
              <w:ind w:firstLine="0" w:firstLineChars="0"/>
              <w:jc w:val="center"/>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建设性质</w:t>
            </w:r>
          </w:p>
        </w:tc>
        <w:tc>
          <w:tcPr>
            <w:tcW w:w="1328" w:type="pct"/>
            <w:gridSpan w:val="2"/>
            <w:noWrap w:val="0"/>
            <w:vAlign w:val="center"/>
          </w:tcPr>
          <w:p w14:paraId="6FAEBE99">
            <w:pPr>
              <w:keepLines w:val="0"/>
              <w:pageBreakBefore w:val="0"/>
              <w:widowControl w:val="0"/>
              <w:kinsoku/>
              <w:wordWrap/>
              <w:topLinePunct w:val="0"/>
              <w:bidi w:val="0"/>
              <w:adjustRightInd/>
              <w:snapToGrid/>
              <w:spacing w:line="240" w:lineRule="auto"/>
              <w:ind w:firstLine="0" w:firstLineChars="0"/>
              <w:jc w:val="left"/>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sym w:font="Wingdings 2" w:char="0052"/>
            </w:r>
            <w:r>
              <w:rPr>
                <w:rFonts w:hint="default" w:ascii="Times New Roman" w:hAnsi="Times New Roman" w:cs="Times New Roman"/>
                <w:color w:val="000000" w:themeColor="text1"/>
                <w:sz w:val="24"/>
                <w:highlight w:val="none"/>
                <w14:textFill>
                  <w14:solidFill>
                    <w14:schemeClr w14:val="tx1"/>
                  </w14:solidFill>
                </w14:textFill>
              </w:rPr>
              <w:t>新建(迁建)</w:t>
            </w:r>
          </w:p>
          <w:p w14:paraId="08587096">
            <w:pPr>
              <w:keepLines w:val="0"/>
              <w:pageBreakBefore w:val="0"/>
              <w:widowControl w:val="0"/>
              <w:kinsoku/>
              <w:wordWrap/>
              <w:topLinePunct w:val="0"/>
              <w:bidi w:val="0"/>
              <w:adjustRightInd/>
              <w:snapToGrid/>
              <w:spacing w:line="240" w:lineRule="auto"/>
              <w:ind w:firstLine="0" w:firstLineChars="0"/>
              <w:jc w:val="left"/>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sym w:font="Wingdings 2" w:char="00A3"/>
            </w:r>
            <w:r>
              <w:rPr>
                <w:rFonts w:hint="default" w:ascii="Times New Roman" w:hAnsi="Times New Roman" w:cs="Times New Roman"/>
                <w:color w:val="000000" w:themeColor="text1"/>
                <w:sz w:val="24"/>
                <w:highlight w:val="none"/>
                <w14:textFill>
                  <w14:solidFill>
                    <w14:schemeClr w14:val="tx1"/>
                  </w14:solidFill>
                </w14:textFill>
              </w:rPr>
              <w:t>改建</w:t>
            </w:r>
          </w:p>
          <w:p w14:paraId="5C27BD44">
            <w:pPr>
              <w:keepLines w:val="0"/>
              <w:pageBreakBefore w:val="0"/>
              <w:widowControl w:val="0"/>
              <w:kinsoku/>
              <w:wordWrap/>
              <w:topLinePunct w:val="0"/>
              <w:bidi w:val="0"/>
              <w:adjustRightInd/>
              <w:snapToGrid/>
              <w:spacing w:line="240" w:lineRule="auto"/>
              <w:ind w:firstLine="0" w:firstLineChars="0"/>
              <w:jc w:val="left"/>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sym w:font="Wingdings 2" w:char="00A3"/>
            </w:r>
            <w:r>
              <w:rPr>
                <w:rFonts w:hint="default" w:ascii="Times New Roman" w:hAnsi="Times New Roman" w:cs="Times New Roman"/>
                <w:color w:val="000000" w:themeColor="text1"/>
                <w:sz w:val="24"/>
                <w:highlight w:val="none"/>
                <w14:textFill>
                  <w14:solidFill>
                    <w14:schemeClr w14:val="tx1"/>
                  </w14:solidFill>
                </w14:textFill>
              </w:rPr>
              <w:t>扩建</w:t>
            </w:r>
          </w:p>
          <w:p w14:paraId="1ABE1A43">
            <w:pPr>
              <w:keepLines w:val="0"/>
              <w:pageBreakBefore w:val="0"/>
              <w:widowControl w:val="0"/>
              <w:kinsoku/>
              <w:wordWrap/>
              <w:topLinePunct w:val="0"/>
              <w:bidi w:val="0"/>
              <w:adjustRightInd/>
              <w:snapToGrid/>
              <w:spacing w:line="240" w:lineRule="auto"/>
              <w:ind w:firstLine="0" w:firstLineChars="0"/>
              <w:jc w:val="left"/>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sym w:font="Wingdings 2" w:char="00A3"/>
            </w:r>
            <w:r>
              <w:rPr>
                <w:rFonts w:hint="default" w:ascii="Times New Roman" w:hAnsi="Times New Roman" w:cs="Times New Roman"/>
                <w:color w:val="000000" w:themeColor="text1"/>
                <w:sz w:val="24"/>
                <w:highlight w:val="none"/>
                <w14:textFill>
                  <w14:solidFill>
                    <w14:schemeClr w14:val="tx1"/>
                  </w14:solidFill>
                </w14:textFill>
              </w:rPr>
              <w:t>技术改造</w:t>
            </w:r>
          </w:p>
        </w:tc>
        <w:tc>
          <w:tcPr>
            <w:tcW w:w="1219" w:type="pct"/>
            <w:gridSpan w:val="2"/>
            <w:noWrap w:val="0"/>
            <w:vAlign w:val="center"/>
          </w:tcPr>
          <w:p w14:paraId="2B7BCF59">
            <w:pPr>
              <w:keepLines w:val="0"/>
              <w:pageBreakBefore w:val="0"/>
              <w:widowControl w:val="0"/>
              <w:kinsoku/>
              <w:wordWrap/>
              <w:topLinePunct w:val="0"/>
              <w:bidi w:val="0"/>
              <w:adjustRightInd/>
              <w:snapToGrid/>
              <w:spacing w:line="240" w:lineRule="auto"/>
              <w:ind w:firstLine="0" w:firstLineChars="0"/>
              <w:jc w:val="center"/>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建设项目</w:t>
            </w:r>
          </w:p>
          <w:p w14:paraId="6BA727C5">
            <w:pPr>
              <w:keepLines w:val="0"/>
              <w:pageBreakBefore w:val="0"/>
              <w:widowControl w:val="0"/>
              <w:kinsoku/>
              <w:wordWrap/>
              <w:topLinePunct w:val="0"/>
              <w:bidi w:val="0"/>
              <w:adjustRightInd/>
              <w:snapToGrid/>
              <w:spacing w:line="240" w:lineRule="auto"/>
              <w:ind w:firstLine="0" w:firstLineChars="0"/>
              <w:jc w:val="center"/>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申报情形</w:t>
            </w:r>
          </w:p>
        </w:tc>
        <w:tc>
          <w:tcPr>
            <w:tcW w:w="1710" w:type="pct"/>
            <w:noWrap w:val="0"/>
            <w:vAlign w:val="center"/>
          </w:tcPr>
          <w:p w14:paraId="04C0C4FA">
            <w:pPr>
              <w:keepLines w:val="0"/>
              <w:pageBreakBefore w:val="0"/>
              <w:widowControl w:val="0"/>
              <w:kinsoku/>
              <w:wordWrap/>
              <w:topLinePunct w:val="0"/>
              <w:bidi w:val="0"/>
              <w:adjustRightInd/>
              <w:snapToGrid/>
              <w:spacing w:line="240" w:lineRule="auto"/>
              <w:ind w:firstLine="0" w:firstLineChars="0"/>
              <w:jc w:val="left"/>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sym w:font="Wingdings 2" w:char="0052"/>
            </w:r>
            <w:r>
              <w:rPr>
                <w:rFonts w:hint="default" w:ascii="Times New Roman" w:hAnsi="Times New Roman" w:cs="Times New Roman"/>
                <w:color w:val="000000" w:themeColor="text1"/>
                <w:sz w:val="24"/>
                <w:highlight w:val="none"/>
                <w14:textFill>
                  <w14:solidFill>
                    <w14:schemeClr w14:val="tx1"/>
                  </w14:solidFill>
                </w14:textFill>
              </w:rPr>
              <w:t>首次申报项目</w:t>
            </w:r>
          </w:p>
          <w:p w14:paraId="59129274">
            <w:pPr>
              <w:keepLines w:val="0"/>
              <w:pageBreakBefore w:val="0"/>
              <w:widowControl w:val="0"/>
              <w:kinsoku/>
              <w:wordWrap/>
              <w:topLinePunct w:val="0"/>
              <w:bidi w:val="0"/>
              <w:adjustRightInd/>
              <w:snapToGrid/>
              <w:spacing w:line="240" w:lineRule="auto"/>
              <w:ind w:firstLine="0" w:firstLineChars="0"/>
              <w:jc w:val="left"/>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sym w:font="Wingdings 2" w:char="00A3"/>
            </w:r>
            <w:r>
              <w:rPr>
                <w:rFonts w:hint="default" w:ascii="Times New Roman" w:hAnsi="Times New Roman" w:cs="Times New Roman"/>
                <w:color w:val="000000" w:themeColor="text1"/>
                <w:sz w:val="24"/>
                <w:highlight w:val="none"/>
                <w14:textFill>
                  <w14:solidFill>
                    <w14:schemeClr w14:val="tx1"/>
                  </w14:solidFill>
                </w14:textFill>
              </w:rPr>
              <w:t>不予批准后再次申报项目</w:t>
            </w:r>
          </w:p>
          <w:p w14:paraId="71F04F95">
            <w:pPr>
              <w:keepLines w:val="0"/>
              <w:pageBreakBefore w:val="0"/>
              <w:widowControl w:val="0"/>
              <w:kinsoku/>
              <w:wordWrap/>
              <w:topLinePunct w:val="0"/>
              <w:bidi w:val="0"/>
              <w:adjustRightInd/>
              <w:snapToGrid/>
              <w:spacing w:line="240" w:lineRule="auto"/>
              <w:ind w:firstLine="0" w:firstLineChars="0"/>
              <w:jc w:val="left"/>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sym w:font="Wingdings 2" w:char="00A3"/>
            </w:r>
            <w:r>
              <w:rPr>
                <w:rFonts w:hint="default" w:ascii="Times New Roman" w:hAnsi="Times New Roman" w:cs="Times New Roman"/>
                <w:color w:val="000000" w:themeColor="text1"/>
                <w:sz w:val="24"/>
                <w:highlight w:val="none"/>
                <w14:textFill>
                  <w14:solidFill>
                    <w14:schemeClr w14:val="tx1"/>
                  </w14:solidFill>
                </w14:textFill>
              </w:rPr>
              <w:t>超五年重新审核项目</w:t>
            </w:r>
          </w:p>
          <w:p w14:paraId="2EEAB97A">
            <w:pPr>
              <w:keepLines w:val="0"/>
              <w:pageBreakBefore w:val="0"/>
              <w:widowControl w:val="0"/>
              <w:kinsoku/>
              <w:wordWrap/>
              <w:topLinePunct w:val="0"/>
              <w:bidi w:val="0"/>
              <w:adjustRightInd/>
              <w:snapToGrid/>
              <w:spacing w:line="240" w:lineRule="auto"/>
              <w:ind w:firstLine="0" w:firstLineChars="0"/>
              <w:jc w:val="left"/>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sym w:font="Wingdings 2" w:char="00A3"/>
            </w:r>
            <w:r>
              <w:rPr>
                <w:rFonts w:hint="default" w:ascii="Times New Roman" w:hAnsi="Times New Roman" w:cs="Times New Roman"/>
                <w:color w:val="000000" w:themeColor="text1"/>
                <w:sz w:val="24"/>
                <w:highlight w:val="none"/>
                <w14:textFill>
                  <w14:solidFill>
                    <w14:schemeClr w14:val="tx1"/>
                  </w14:solidFill>
                </w14:textFill>
              </w:rPr>
              <w:t>重大变动重新报批项目</w:t>
            </w:r>
          </w:p>
        </w:tc>
      </w:tr>
      <w:tr w14:paraId="0ADAF2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41" w:type="pct"/>
            <w:noWrap w:val="0"/>
            <w:tcMar>
              <w:top w:w="16" w:type="dxa"/>
              <w:left w:w="16" w:type="dxa"/>
              <w:right w:w="16" w:type="dxa"/>
            </w:tcMar>
            <w:vAlign w:val="center"/>
          </w:tcPr>
          <w:p w14:paraId="7EEE6964">
            <w:pPr>
              <w:keepLines w:val="0"/>
              <w:pageBreakBefore w:val="0"/>
              <w:widowControl w:val="0"/>
              <w:kinsoku/>
              <w:wordWrap/>
              <w:topLinePunct w:val="0"/>
              <w:bidi w:val="0"/>
              <w:adjustRightInd/>
              <w:snapToGrid/>
              <w:spacing w:line="240" w:lineRule="auto"/>
              <w:ind w:firstLine="0" w:firstLineChars="0"/>
              <w:jc w:val="center"/>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项目审批(核准/备案)部门(选填)</w:t>
            </w:r>
          </w:p>
        </w:tc>
        <w:tc>
          <w:tcPr>
            <w:tcW w:w="1328" w:type="pct"/>
            <w:gridSpan w:val="2"/>
            <w:noWrap w:val="0"/>
            <w:vAlign w:val="center"/>
          </w:tcPr>
          <w:p w14:paraId="7BE077FD">
            <w:pPr>
              <w:keepLines w:val="0"/>
              <w:pageBreakBefore w:val="0"/>
              <w:widowControl w:val="0"/>
              <w:kinsoku/>
              <w:wordWrap/>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永安市发展和改革局</w:t>
            </w:r>
          </w:p>
        </w:tc>
        <w:tc>
          <w:tcPr>
            <w:tcW w:w="1219" w:type="pct"/>
            <w:gridSpan w:val="2"/>
            <w:noWrap w:val="0"/>
            <w:vAlign w:val="center"/>
          </w:tcPr>
          <w:p w14:paraId="2F9E85A7">
            <w:pPr>
              <w:keepLines w:val="0"/>
              <w:pageBreakBefore w:val="0"/>
              <w:widowControl w:val="0"/>
              <w:kinsoku/>
              <w:wordWrap/>
              <w:topLinePunct w:val="0"/>
              <w:bidi w:val="0"/>
              <w:adjustRightInd/>
              <w:snapToGrid/>
              <w:spacing w:line="240" w:lineRule="auto"/>
              <w:ind w:firstLine="0" w:firstLineChars="0"/>
              <w:jc w:val="center"/>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项目审批(核准/</w:t>
            </w:r>
          </w:p>
          <w:p w14:paraId="6F80D68A">
            <w:pPr>
              <w:keepLines w:val="0"/>
              <w:pageBreakBefore w:val="0"/>
              <w:widowControl w:val="0"/>
              <w:kinsoku/>
              <w:wordWrap/>
              <w:topLinePunct w:val="0"/>
              <w:bidi w:val="0"/>
              <w:adjustRightInd/>
              <w:snapToGrid/>
              <w:spacing w:line="240" w:lineRule="auto"/>
              <w:ind w:firstLine="0" w:firstLineChars="0"/>
              <w:jc w:val="center"/>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备案)文号(选填)</w:t>
            </w:r>
          </w:p>
        </w:tc>
        <w:tc>
          <w:tcPr>
            <w:tcW w:w="1710" w:type="pct"/>
            <w:noWrap w:val="0"/>
            <w:vAlign w:val="center"/>
          </w:tcPr>
          <w:p w14:paraId="1E53F4F8">
            <w:pPr>
              <w:keepLines w:val="0"/>
              <w:pageBreakBefore w:val="0"/>
              <w:widowControl w:val="0"/>
              <w:kinsoku/>
              <w:wordWrap/>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闽发改备[2025]G030021号</w:t>
            </w:r>
          </w:p>
        </w:tc>
      </w:tr>
      <w:tr w14:paraId="3A00C5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41" w:type="pct"/>
            <w:noWrap w:val="0"/>
            <w:tcMar>
              <w:top w:w="16" w:type="dxa"/>
              <w:left w:w="16" w:type="dxa"/>
              <w:right w:w="16" w:type="dxa"/>
            </w:tcMar>
            <w:vAlign w:val="center"/>
          </w:tcPr>
          <w:p w14:paraId="65566980">
            <w:pPr>
              <w:keepLines w:val="0"/>
              <w:pageBreakBefore w:val="0"/>
              <w:widowControl w:val="0"/>
              <w:kinsoku/>
              <w:wordWrap/>
              <w:topLinePunct w:val="0"/>
              <w:bidi w:val="0"/>
              <w:adjustRightInd/>
              <w:snapToGrid/>
              <w:spacing w:line="240" w:lineRule="auto"/>
              <w:ind w:firstLine="0" w:firstLineChars="0"/>
              <w:jc w:val="center"/>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总投资(万元)</w:t>
            </w:r>
          </w:p>
        </w:tc>
        <w:tc>
          <w:tcPr>
            <w:tcW w:w="1328" w:type="pct"/>
            <w:gridSpan w:val="2"/>
            <w:noWrap w:val="0"/>
            <w:vAlign w:val="center"/>
          </w:tcPr>
          <w:p w14:paraId="716D8E97">
            <w:pPr>
              <w:keepLines w:val="0"/>
              <w:pageBreakBefore w:val="0"/>
              <w:widowControl w:val="0"/>
              <w:kinsoku/>
              <w:wordWrap/>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35000</w:t>
            </w:r>
          </w:p>
        </w:tc>
        <w:tc>
          <w:tcPr>
            <w:tcW w:w="1219" w:type="pct"/>
            <w:gridSpan w:val="2"/>
            <w:noWrap w:val="0"/>
            <w:tcMar>
              <w:top w:w="16" w:type="dxa"/>
              <w:left w:w="16" w:type="dxa"/>
              <w:right w:w="16" w:type="dxa"/>
            </w:tcMar>
            <w:vAlign w:val="center"/>
          </w:tcPr>
          <w:p w14:paraId="17BB95BB">
            <w:pPr>
              <w:keepLines w:val="0"/>
              <w:pageBreakBefore w:val="0"/>
              <w:widowControl w:val="0"/>
              <w:kinsoku/>
              <w:wordWrap/>
              <w:topLinePunct w:val="0"/>
              <w:bidi w:val="0"/>
              <w:adjustRightInd/>
              <w:snapToGrid/>
              <w:spacing w:line="240" w:lineRule="auto"/>
              <w:ind w:firstLine="0" w:firstLineChars="0"/>
              <w:jc w:val="center"/>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环保投资(万元)</w:t>
            </w:r>
          </w:p>
        </w:tc>
        <w:tc>
          <w:tcPr>
            <w:tcW w:w="1710" w:type="pct"/>
            <w:noWrap w:val="0"/>
            <w:vAlign w:val="center"/>
          </w:tcPr>
          <w:p w14:paraId="3DE4ED81">
            <w:pPr>
              <w:keepLines w:val="0"/>
              <w:pageBreakBefore w:val="0"/>
              <w:widowControl w:val="0"/>
              <w:kinsoku/>
              <w:wordWrap/>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360</w:t>
            </w:r>
          </w:p>
        </w:tc>
      </w:tr>
      <w:tr w14:paraId="476077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41" w:type="pct"/>
            <w:noWrap w:val="0"/>
            <w:tcMar>
              <w:top w:w="16" w:type="dxa"/>
              <w:left w:w="16" w:type="dxa"/>
              <w:right w:w="16" w:type="dxa"/>
            </w:tcMar>
            <w:vAlign w:val="center"/>
          </w:tcPr>
          <w:p w14:paraId="473475EF">
            <w:pPr>
              <w:keepLines w:val="0"/>
              <w:pageBreakBefore w:val="0"/>
              <w:widowControl w:val="0"/>
              <w:kinsoku/>
              <w:wordWrap/>
              <w:topLinePunct w:val="0"/>
              <w:bidi w:val="0"/>
              <w:adjustRightInd/>
              <w:snapToGrid/>
              <w:spacing w:line="240" w:lineRule="auto"/>
              <w:ind w:firstLine="0" w:firstLineChars="0"/>
              <w:jc w:val="center"/>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环保投资占比(%)</w:t>
            </w:r>
          </w:p>
        </w:tc>
        <w:tc>
          <w:tcPr>
            <w:tcW w:w="1328" w:type="pct"/>
            <w:gridSpan w:val="2"/>
            <w:noWrap w:val="0"/>
            <w:vAlign w:val="center"/>
          </w:tcPr>
          <w:p w14:paraId="0F746D9F">
            <w:pPr>
              <w:keepLines w:val="0"/>
              <w:pageBreakBefore w:val="0"/>
              <w:widowControl w:val="0"/>
              <w:kinsoku/>
              <w:wordWrap/>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1.03</w:t>
            </w:r>
          </w:p>
        </w:tc>
        <w:tc>
          <w:tcPr>
            <w:tcW w:w="1219" w:type="pct"/>
            <w:gridSpan w:val="2"/>
            <w:noWrap w:val="0"/>
            <w:tcMar>
              <w:top w:w="16" w:type="dxa"/>
              <w:left w:w="16" w:type="dxa"/>
              <w:right w:w="16" w:type="dxa"/>
            </w:tcMar>
            <w:vAlign w:val="center"/>
          </w:tcPr>
          <w:p w14:paraId="75975A32">
            <w:pPr>
              <w:keepLines w:val="0"/>
              <w:pageBreakBefore w:val="0"/>
              <w:widowControl w:val="0"/>
              <w:kinsoku/>
              <w:wordWrap/>
              <w:topLinePunct w:val="0"/>
              <w:bidi w:val="0"/>
              <w:adjustRightInd/>
              <w:snapToGrid/>
              <w:spacing w:line="240" w:lineRule="auto"/>
              <w:ind w:firstLine="0" w:firstLineChars="0"/>
              <w:jc w:val="center"/>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施工工期</w:t>
            </w:r>
          </w:p>
        </w:tc>
        <w:tc>
          <w:tcPr>
            <w:tcW w:w="1710" w:type="pct"/>
            <w:noWrap w:val="0"/>
            <w:vAlign w:val="center"/>
          </w:tcPr>
          <w:p w14:paraId="3E818AAE">
            <w:pPr>
              <w:keepLines w:val="0"/>
              <w:pageBreakBefore w:val="0"/>
              <w:widowControl w:val="0"/>
              <w:kinsoku/>
              <w:wordWrap/>
              <w:topLinePunct w:val="0"/>
              <w:bidi w:val="0"/>
              <w:adjustRightInd/>
              <w:snapToGrid/>
              <w:spacing w:line="240" w:lineRule="auto"/>
              <w:ind w:firstLine="0" w:firstLineChars="0"/>
              <w:jc w:val="center"/>
              <w:textAlignment w:val="auto"/>
              <w:rPr>
                <w:rFonts w:hint="default" w:ascii="Times New Roman" w:hAnsi="Times New Roman" w:cs="Times New Roman"/>
                <w:color w:val="000000" w:themeColor="text1"/>
                <w:sz w:val="24"/>
                <w:highlight w:val="none"/>
                <w:lang w:val="en-US"/>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2年</w:t>
            </w:r>
          </w:p>
        </w:tc>
      </w:tr>
      <w:tr w14:paraId="3AF383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41" w:type="pct"/>
            <w:noWrap w:val="0"/>
            <w:tcMar>
              <w:top w:w="16" w:type="dxa"/>
              <w:left w:w="16" w:type="dxa"/>
              <w:right w:w="16" w:type="dxa"/>
            </w:tcMar>
            <w:vAlign w:val="center"/>
          </w:tcPr>
          <w:p w14:paraId="0CA6CDD5">
            <w:pPr>
              <w:keepLines w:val="0"/>
              <w:pageBreakBefore w:val="0"/>
              <w:widowControl w:val="0"/>
              <w:kinsoku/>
              <w:wordWrap/>
              <w:topLinePunct w:val="0"/>
              <w:bidi w:val="0"/>
              <w:adjustRightInd/>
              <w:snapToGrid/>
              <w:spacing w:line="240" w:lineRule="auto"/>
              <w:ind w:firstLine="0" w:firstLineChars="0"/>
              <w:jc w:val="center"/>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是否开工建设</w:t>
            </w:r>
          </w:p>
        </w:tc>
        <w:tc>
          <w:tcPr>
            <w:tcW w:w="1328" w:type="pct"/>
            <w:gridSpan w:val="2"/>
            <w:noWrap w:val="0"/>
            <w:vAlign w:val="center"/>
          </w:tcPr>
          <w:p w14:paraId="43362258">
            <w:pPr>
              <w:keepLines w:val="0"/>
              <w:pageBreakBefore w:val="0"/>
              <w:widowControl w:val="0"/>
              <w:kinsoku/>
              <w:wordWrap/>
              <w:topLinePunct w:val="0"/>
              <w:bidi w:val="0"/>
              <w:adjustRightInd/>
              <w:snapToGrid/>
              <w:spacing w:line="240" w:lineRule="auto"/>
              <w:ind w:firstLine="0" w:firstLineChars="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sym w:font="Wingdings 2" w:char="0052"/>
            </w:r>
            <w:r>
              <w:rPr>
                <w:rFonts w:hint="default" w:ascii="Times New Roman" w:hAnsi="Times New Roman" w:cs="Times New Roman"/>
                <w:color w:val="000000" w:themeColor="text1"/>
                <w:sz w:val="24"/>
                <w:highlight w:val="none"/>
                <w14:textFill>
                  <w14:solidFill>
                    <w14:schemeClr w14:val="tx1"/>
                  </w14:solidFill>
                </w14:textFill>
              </w:rPr>
              <w:t>否</w:t>
            </w:r>
          </w:p>
          <w:p w14:paraId="7131B79E">
            <w:pPr>
              <w:keepLines w:val="0"/>
              <w:pageBreakBefore w:val="0"/>
              <w:widowControl w:val="0"/>
              <w:kinsoku/>
              <w:wordWrap/>
              <w:topLinePunct w:val="0"/>
              <w:bidi w:val="0"/>
              <w:adjustRightInd/>
              <w:snapToGrid/>
              <w:spacing w:line="240" w:lineRule="auto"/>
              <w:ind w:firstLine="0" w:firstLineChars="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sym w:font="Wingdings 2" w:char="00A3"/>
            </w:r>
            <w:r>
              <w:rPr>
                <w:rFonts w:hint="default" w:ascii="Times New Roman" w:hAnsi="Times New Roman" w:cs="Times New Roman"/>
                <w:color w:val="000000" w:themeColor="text1"/>
                <w:sz w:val="24"/>
                <w:highlight w:val="none"/>
                <w14:textFill>
                  <w14:solidFill>
                    <w14:schemeClr w14:val="tx1"/>
                  </w14:solidFill>
                </w14:textFill>
              </w:rPr>
              <w:t>是：</w:t>
            </w:r>
            <w:r>
              <w:rPr>
                <w:rFonts w:hint="default" w:ascii="Times New Roman" w:hAnsi="Times New Roman" w:cs="Times New Roman"/>
                <w:color w:val="000000" w:themeColor="text1"/>
                <w:sz w:val="24"/>
                <w:highlight w:val="none"/>
                <w:u w:val="single"/>
                <w14:textFill>
                  <w14:solidFill>
                    <w14:schemeClr w14:val="tx1"/>
                  </w14:solidFill>
                </w14:textFill>
              </w:rPr>
              <w:t xml:space="preserve"> </w:t>
            </w:r>
            <w:r>
              <w:rPr>
                <w:rFonts w:hint="eastAsia" w:cs="Times New Roman"/>
                <w:color w:val="000000" w:themeColor="text1"/>
                <w:sz w:val="24"/>
                <w:highlight w:val="none"/>
                <w:u w:val="single"/>
                <w:lang w:val="en-US" w:eastAsia="zh-CN"/>
                <w14:textFill>
                  <w14:solidFill>
                    <w14:schemeClr w14:val="tx1"/>
                  </w14:solidFill>
                </w14:textFill>
              </w:rPr>
              <w:t xml:space="preserve">        </w:t>
            </w:r>
            <w:r>
              <w:rPr>
                <w:rFonts w:hint="default" w:ascii="Times New Roman" w:hAnsi="Times New Roman" w:cs="Times New Roman"/>
                <w:color w:val="000000" w:themeColor="text1"/>
                <w:sz w:val="24"/>
                <w:highlight w:val="none"/>
                <w:u w:val="single"/>
                <w14:textFill>
                  <w14:solidFill>
                    <w14:schemeClr w14:val="tx1"/>
                  </w14:solidFill>
                </w14:textFill>
              </w:rPr>
              <w:t xml:space="preserve"> </w:t>
            </w:r>
          </w:p>
        </w:tc>
        <w:tc>
          <w:tcPr>
            <w:tcW w:w="1219" w:type="pct"/>
            <w:gridSpan w:val="2"/>
            <w:noWrap w:val="0"/>
            <w:tcMar>
              <w:top w:w="16" w:type="dxa"/>
              <w:left w:w="16" w:type="dxa"/>
              <w:right w:w="16" w:type="dxa"/>
            </w:tcMar>
            <w:vAlign w:val="center"/>
          </w:tcPr>
          <w:p w14:paraId="3EF59FD1">
            <w:pPr>
              <w:keepLines w:val="0"/>
              <w:pageBreakBefore w:val="0"/>
              <w:widowControl w:val="0"/>
              <w:kinsoku/>
              <w:wordWrap/>
              <w:topLinePunct w:val="0"/>
              <w:bidi w:val="0"/>
              <w:adjustRightInd/>
              <w:snapToGrid/>
              <w:spacing w:line="240" w:lineRule="auto"/>
              <w:ind w:firstLine="0" w:firstLineChars="0"/>
              <w:jc w:val="center"/>
              <w:textAlignment w:val="auto"/>
              <w:rPr>
                <w:rFonts w:hint="default" w:ascii="Times New Roman" w:hAnsi="Times New Roman" w:cs="Times New Roman"/>
                <w:color w:val="000000" w:themeColor="text1"/>
                <w:spacing w:val="-6"/>
                <w:sz w:val="24"/>
                <w:highlight w:val="none"/>
                <w14:textFill>
                  <w14:solidFill>
                    <w14:schemeClr w14:val="tx1"/>
                  </w14:solidFill>
                </w14:textFill>
              </w:rPr>
            </w:pPr>
            <w:r>
              <w:rPr>
                <w:rFonts w:hint="default" w:ascii="Times New Roman" w:hAnsi="Times New Roman" w:cs="Times New Roman"/>
                <w:color w:val="000000" w:themeColor="text1"/>
                <w:spacing w:val="-6"/>
                <w:sz w:val="24"/>
                <w:highlight w:val="none"/>
                <w14:textFill>
                  <w14:solidFill>
                    <w14:schemeClr w14:val="tx1"/>
                  </w14:solidFill>
                </w14:textFill>
              </w:rPr>
              <w:t>用地(用海)</w:t>
            </w:r>
          </w:p>
          <w:p w14:paraId="7FF9C3C9">
            <w:pPr>
              <w:keepLines w:val="0"/>
              <w:pageBreakBefore w:val="0"/>
              <w:widowControl w:val="0"/>
              <w:kinsoku/>
              <w:wordWrap/>
              <w:topLinePunct w:val="0"/>
              <w:bidi w:val="0"/>
              <w:adjustRightInd/>
              <w:snapToGrid/>
              <w:spacing w:line="240" w:lineRule="auto"/>
              <w:ind w:firstLine="0" w:firstLineChars="0"/>
              <w:jc w:val="center"/>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pacing w:val="-6"/>
                <w:sz w:val="24"/>
                <w:highlight w:val="none"/>
                <w14:textFill>
                  <w14:solidFill>
                    <w14:schemeClr w14:val="tx1"/>
                  </w14:solidFill>
                </w14:textFill>
              </w:rPr>
              <w:t>面积(m</w:t>
            </w:r>
            <w:r>
              <w:rPr>
                <w:rFonts w:hint="default" w:ascii="Times New Roman" w:hAnsi="Times New Roman" w:cs="Times New Roman"/>
                <w:color w:val="000000" w:themeColor="text1"/>
                <w:spacing w:val="-6"/>
                <w:sz w:val="24"/>
                <w:highlight w:val="none"/>
                <w:vertAlign w:val="superscript"/>
                <w14:textFill>
                  <w14:solidFill>
                    <w14:schemeClr w14:val="tx1"/>
                  </w14:solidFill>
                </w14:textFill>
              </w:rPr>
              <w:t>2</w:t>
            </w:r>
            <w:r>
              <w:rPr>
                <w:rFonts w:hint="default" w:ascii="Times New Roman" w:hAnsi="Times New Roman" w:cs="Times New Roman"/>
                <w:color w:val="000000" w:themeColor="text1"/>
                <w:spacing w:val="-6"/>
                <w:sz w:val="24"/>
                <w:highlight w:val="none"/>
                <w14:textFill>
                  <w14:solidFill>
                    <w14:schemeClr w14:val="tx1"/>
                  </w14:solidFill>
                </w14:textFill>
              </w:rPr>
              <w:t>)</w:t>
            </w:r>
          </w:p>
        </w:tc>
        <w:tc>
          <w:tcPr>
            <w:tcW w:w="1710" w:type="pct"/>
            <w:noWrap w:val="0"/>
            <w:vAlign w:val="center"/>
          </w:tcPr>
          <w:p w14:paraId="05F17A33">
            <w:pPr>
              <w:keepLines w:val="0"/>
              <w:pageBreakBefore w:val="0"/>
              <w:widowControl w:val="0"/>
              <w:kinsoku/>
              <w:wordWrap/>
              <w:topLinePunct w:val="0"/>
              <w:bidi w:val="0"/>
              <w:adjustRightInd/>
              <w:snapToGrid/>
              <w:spacing w:line="240" w:lineRule="auto"/>
              <w:ind w:firstLine="0" w:firstLineChars="0"/>
              <w:jc w:val="center"/>
              <w:textAlignment w:val="auto"/>
              <w:rPr>
                <w:rFonts w:hint="default" w:ascii="Times New Roman" w:hAnsi="Times New Roman" w:cs="Times New Roman"/>
                <w:color w:val="000000" w:themeColor="text1"/>
                <w:sz w:val="24"/>
                <w:highlight w:val="none"/>
                <w:lang w:val="en-US"/>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4850（实际租用面积）</w:t>
            </w:r>
          </w:p>
        </w:tc>
      </w:tr>
      <w:tr w14:paraId="0B8A69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741" w:type="pct"/>
            <w:vMerge w:val="restart"/>
            <w:noWrap w:val="0"/>
            <w:vAlign w:val="center"/>
          </w:tcPr>
          <w:p w14:paraId="4DE56FCB">
            <w:pPr>
              <w:keepLines w:val="0"/>
              <w:pageBreakBefore w:val="0"/>
              <w:widowControl w:val="0"/>
              <w:kinsoku/>
              <w:wordWrap/>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专项评价设置情况</w:t>
            </w:r>
          </w:p>
        </w:tc>
        <w:tc>
          <w:tcPr>
            <w:tcW w:w="958" w:type="pct"/>
            <w:noWrap w:val="0"/>
            <w:vAlign w:val="center"/>
          </w:tcPr>
          <w:p w14:paraId="6C5F18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专项类别</w:t>
            </w:r>
          </w:p>
        </w:tc>
        <w:tc>
          <w:tcPr>
            <w:tcW w:w="1044" w:type="pct"/>
            <w:gridSpan w:val="2"/>
            <w:noWrap w:val="0"/>
            <w:vAlign w:val="center"/>
          </w:tcPr>
          <w:p w14:paraId="2E78EF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是否设置专项</w:t>
            </w:r>
          </w:p>
        </w:tc>
        <w:tc>
          <w:tcPr>
            <w:tcW w:w="2255" w:type="pct"/>
            <w:gridSpan w:val="2"/>
            <w:noWrap w:val="0"/>
            <w:vAlign w:val="center"/>
          </w:tcPr>
          <w:p w14:paraId="2F2E13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设置说明</w:t>
            </w:r>
          </w:p>
        </w:tc>
      </w:tr>
      <w:tr w14:paraId="564C92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741" w:type="pct"/>
            <w:vMerge w:val="continue"/>
            <w:noWrap w:val="0"/>
            <w:vAlign w:val="center"/>
          </w:tcPr>
          <w:p w14:paraId="3B603ED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color w:val="000000" w:themeColor="text1"/>
                <w:highlight w:val="none"/>
                <w14:textFill>
                  <w14:solidFill>
                    <w14:schemeClr w14:val="tx1"/>
                  </w14:solidFill>
                </w14:textFill>
              </w:rPr>
            </w:pPr>
          </w:p>
        </w:tc>
        <w:tc>
          <w:tcPr>
            <w:tcW w:w="958" w:type="pct"/>
            <w:noWrap w:val="0"/>
            <w:vAlign w:val="center"/>
          </w:tcPr>
          <w:p w14:paraId="2BC87A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大气</w:t>
            </w:r>
          </w:p>
        </w:tc>
        <w:tc>
          <w:tcPr>
            <w:tcW w:w="1044" w:type="pct"/>
            <w:gridSpan w:val="2"/>
            <w:noWrap w:val="0"/>
            <w:vAlign w:val="center"/>
          </w:tcPr>
          <w:p w14:paraId="6242A5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否</w:t>
            </w:r>
          </w:p>
        </w:tc>
        <w:tc>
          <w:tcPr>
            <w:tcW w:w="2255" w:type="pct"/>
            <w:gridSpan w:val="2"/>
            <w:noWrap w:val="0"/>
            <w:vAlign w:val="center"/>
          </w:tcPr>
          <w:p w14:paraId="5820472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color w:val="000000" w:themeColor="text1"/>
                <w:sz w:val="24"/>
                <w:szCs w:val="24"/>
                <w:highlight w:val="none"/>
                <w14:textFill>
                  <w14:solidFill>
                    <w14:schemeClr w14:val="tx1"/>
                  </w14:solidFill>
                </w14:textFill>
              </w:rPr>
              <w:t>本项目排放的废气涉及苯并[a]芘</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但厂界外500米范围内无环境空气敏感目标（井岗村五组大坪头已拆迁，拆迁证明见附件8）</w:t>
            </w:r>
          </w:p>
        </w:tc>
      </w:tr>
      <w:tr w14:paraId="6BFC0C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741" w:type="pct"/>
            <w:vMerge w:val="continue"/>
            <w:noWrap w:val="0"/>
            <w:vAlign w:val="center"/>
          </w:tcPr>
          <w:p w14:paraId="738A36B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color w:val="000000" w:themeColor="text1"/>
                <w:highlight w:val="none"/>
                <w14:textFill>
                  <w14:solidFill>
                    <w14:schemeClr w14:val="tx1"/>
                  </w14:solidFill>
                </w14:textFill>
              </w:rPr>
            </w:pPr>
          </w:p>
        </w:tc>
        <w:tc>
          <w:tcPr>
            <w:tcW w:w="958" w:type="pct"/>
            <w:noWrap w:val="0"/>
            <w:vAlign w:val="center"/>
          </w:tcPr>
          <w:p w14:paraId="04AE21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地表水</w:t>
            </w:r>
          </w:p>
        </w:tc>
        <w:tc>
          <w:tcPr>
            <w:tcW w:w="1044" w:type="pct"/>
            <w:gridSpan w:val="2"/>
            <w:noWrap w:val="0"/>
            <w:vAlign w:val="center"/>
          </w:tcPr>
          <w:p w14:paraId="250772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否</w:t>
            </w:r>
          </w:p>
        </w:tc>
        <w:tc>
          <w:tcPr>
            <w:tcW w:w="2255" w:type="pct"/>
            <w:gridSpan w:val="2"/>
            <w:noWrap w:val="0"/>
            <w:vAlign w:val="center"/>
          </w:tcPr>
          <w:p w14:paraId="6565FF78">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本项目</w:t>
            </w:r>
            <w:r>
              <w:rPr>
                <w:rFonts w:hint="eastAsia" w:cs="Times New Roman"/>
                <w:color w:val="000000" w:themeColor="text1"/>
                <w:sz w:val="24"/>
                <w:szCs w:val="24"/>
                <w:highlight w:val="none"/>
                <w:lang w:val="en-US" w:eastAsia="zh-CN"/>
                <w14:textFill>
                  <w14:solidFill>
                    <w14:schemeClr w14:val="tx1"/>
                  </w14:solidFill>
                </w14:textFill>
              </w:rPr>
              <w:t>产生的生活污水经化粪池处理后排入园区污水管网，进入永安市贡川产业园水东工业集中区污水处理厂深度处理；无生产废水外排</w:t>
            </w:r>
          </w:p>
        </w:tc>
      </w:tr>
      <w:tr w14:paraId="3E6778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741" w:type="pct"/>
            <w:vMerge w:val="continue"/>
            <w:noWrap w:val="0"/>
            <w:vAlign w:val="center"/>
          </w:tcPr>
          <w:p w14:paraId="7DF0F4E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16.13</w:t>
            </w:r>
          </w:p>
        </w:tc>
        <w:tc>
          <w:tcPr>
            <w:tcW w:w="958" w:type="pct"/>
            <w:noWrap w:val="0"/>
            <w:vAlign w:val="center"/>
          </w:tcPr>
          <w:p w14:paraId="5AA45E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环境风险</w:t>
            </w:r>
          </w:p>
        </w:tc>
        <w:tc>
          <w:tcPr>
            <w:tcW w:w="1044" w:type="pct"/>
            <w:gridSpan w:val="2"/>
            <w:noWrap w:val="0"/>
            <w:vAlign w:val="center"/>
          </w:tcPr>
          <w:p w14:paraId="56DD07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否</w:t>
            </w:r>
          </w:p>
        </w:tc>
        <w:tc>
          <w:tcPr>
            <w:tcW w:w="2255" w:type="pct"/>
            <w:gridSpan w:val="2"/>
            <w:noWrap w:val="0"/>
            <w:vAlign w:val="center"/>
          </w:tcPr>
          <w:p w14:paraId="18B98F4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14:textFill>
                  <w14:solidFill>
                    <w14:schemeClr w14:val="tx1"/>
                  </w14:solidFill>
                </w14:textFill>
              </w:rPr>
              <w:t>本项目有毒有害和易燃易爆</w:t>
            </w:r>
            <w:r>
              <w:rPr>
                <w:color w:val="000000" w:themeColor="text1"/>
                <w:sz w:val="24"/>
                <w:szCs w:val="24"/>
                <w:highlight w:val="none"/>
                <w14:textFill>
                  <w14:solidFill>
                    <w14:schemeClr w14:val="tx1"/>
                  </w14:solidFill>
                </w14:textFill>
              </w:rPr>
              <w:t>风险物质存储量</w:t>
            </w:r>
            <w:r>
              <w:rPr>
                <w:rFonts w:hint="eastAsia"/>
                <w:color w:val="000000" w:themeColor="text1"/>
                <w:sz w:val="24"/>
                <w:szCs w:val="24"/>
                <w:highlight w:val="none"/>
                <w14:textFill>
                  <w14:solidFill>
                    <w14:schemeClr w14:val="tx1"/>
                  </w14:solidFill>
                </w14:textFill>
              </w:rPr>
              <w:t>未</w:t>
            </w:r>
            <w:r>
              <w:rPr>
                <w:color w:val="000000" w:themeColor="text1"/>
                <w:sz w:val="24"/>
                <w:szCs w:val="24"/>
                <w:highlight w:val="none"/>
                <w14:textFill>
                  <w14:solidFill>
                    <w14:schemeClr w14:val="tx1"/>
                  </w14:solidFill>
                </w14:textFill>
              </w:rPr>
              <w:t>超过其临界量</w:t>
            </w:r>
          </w:p>
        </w:tc>
      </w:tr>
      <w:tr w14:paraId="1D16ED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741" w:type="pct"/>
            <w:vMerge w:val="continue"/>
            <w:noWrap w:val="0"/>
            <w:vAlign w:val="center"/>
          </w:tcPr>
          <w:p w14:paraId="0B3A187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color w:val="000000" w:themeColor="text1"/>
                <w:highlight w:val="none"/>
                <w14:textFill>
                  <w14:solidFill>
                    <w14:schemeClr w14:val="tx1"/>
                  </w14:solidFill>
                </w14:textFill>
              </w:rPr>
            </w:pPr>
          </w:p>
        </w:tc>
        <w:tc>
          <w:tcPr>
            <w:tcW w:w="958" w:type="pct"/>
            <w:noWrap w:val="0"/>
            <w:vAlign w:val="center"/>
          </w:tcPr>
          <w:p w14:paraId="273C47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生态</w:t>
            </w:r>
          </w:p>
        </w:tc>
        <w:tc>
          <w:tcPr>
            <w:tcW w:w="1044" w:type="pct"/>
            <w:gridSpan w:val="2"/>
            <w:noWrap w:val="0"/>
            <w:vAlign w:val="center"/>
          </w:tcPr>
          <w:p w14:paraId="46A63B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否</w:t>
            </w:r>
          </w:p>
        </w:tc>
        <w:tc>
          <w:tcPr>
            <w:tcW w:w="2255" w:type="pct"/>
            <w:gridSpan w:val="2"/>
            <w:noWrap w:val="0"/>
            <w:vAlign w:val="center"/>
          </w:tcPr>
          <w:p w14:paraId="2E1EEAC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color w:val="000000" w:themeColor="text1"/>
                <w:sz w:val="24"/>
                <w:szCs w:val="24"/>
                <w:highlight w:val="none"/>
                <w14:textFill>
                  <w14:solidFill>
                    <w14:schemeClr w14:val="tx1"/>
                  </w14:solidFill>
                </w14:textFill>
              </w:rPr>
              <w:t>本项目用水来自市政自来水管网供水</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，不属于新增河道取水的污染类建设项目</w:t>
            </w:r>
          </w:p>
        </w:tc>
      </w:tr>
      <w:tr w14:paraId="6973A1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741" w:type="pct"/>
            <w:vMerge w:val="continue"/>
            <w:noWrap w:val="0"/>
            <w:vAlign w:val="center"/>
          </w:tcPr>
          <w:p w14:paraId="4C4C267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color w:val="000000" w:themeColor="text1"/>
                <w:highlight w:val="none"/>
                <w14:textFill>
                  <w14:solidFill>
                    <w14:schemeClr w14:val="tx1"/>
                  </w14:solidFill>
                </w14:textFill>
              </w:rPr>
            </w:pPr>
          </w:p>
        </w:tc>
        <w:tc>
          <w:tcPr>
            <w:tcW w:w="958" w:type="pct"/>
            <w:noWrap w:val="0"/>
            <w:vAlign w:val="center"/>
          </w:tcPr>
          <w:p w14:paraId="24BB3B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海洋</w:t>
            </w:r>
          </w:p>
        </w:tc>
        <w:tc>
          <w:tcPr>
            <w:tcW w:w="1044" w:type="pct"/>
            <w:gridSpan w:val="2"/>
            <w:noWrap w:val="0"/>
            <w:vAlign w:val="center"/>
          </w:tcPr>
          <w:p w14:paraId="42A4B0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否</w:t>
            </w:r>
          </w:p>
        </w:tc>
        <w:tc>
          <w:tcPr>
            <w:tcW w:w="2255" w:type="pct"/>
            <w:gridSpan w:val="2"/>
            <w:noWrap w:val="0"/>
            <w:vAlign w:val="center"/>
          </w:tcPr>
          <w:p w14:paraId="6035D0B3">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本项目不属于海洋工程建设项目</w:t>
            </w:r>
          </w:p>
        </w:tc>
      </w:tr>
      <w:tr w14:paraId="3182B9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pct"/>
            <w:noWrap w:val="0"/>
            <w:vAlign w:val="center"/>
          </w:tcPr>
          <w:p w14:paraId="7ADDA253">
            <w:pPr>
              <w:keepLines w:val="0"/>
              <w:pageBreakBefore w:val="0"/>
              <w:widowControl w:val="0"/>
              <w:kinsoku/>
              <w:wordWrap/>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规划情况</w:t>
            </w:r>
          </w:p>
        </w:tc>
        <w:tc>
          <w:tcPr>
            <w:tcW w:w="4258" w:type="pct"/>
            <w:gridSpan w:val="5"/>
            <w:noWrap w:val="0"/>
            <w:vAlign w:val="center"/>
          </w:tcPr>
          <w:p w14:paraId="13314EF4">
            <w:pPr>
              <w:keepLines w:val="0"/>
              <w:pageBreakBefore w:val="0"/>
              <w:widowControl w:val="0"/>
              <w:kinsoku/>
              <w:wordWrap/>
              <w:topLinePunct w:val="0"/>
              <w:bidi w:val="0"/>
              <w:adjustRightInd/>
              <w:snapToGrid/>
              <w:spacing w:line="360" w:lineRule="auto"/>
              <w:ind w:firstLine="0" w:firstLineChars="0"/>
              <w:jc w:val="left"/>
              <w:textAlignment w:val="auto"/>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规划名称：《三明经济开发区贡川园扩区总体规划》</w:t>
            </w:r>
          </w:p>
          <w:p w14:paraId="54F55626">
            <w:pPr>
              <w:keepLines w:val="0"/>
              <w:pageBreakBefore w:val="0"/>
              <w:widowControl w:val="0"/>
              <w:kinsoku/>
              <w:wordWrap/>
              <w:topLinePunct w:val="0"/>
              <w:bidi w:val="0"/>
              <w:adjustRightInd/>
              <w:snapToGrid/>
              <w:spacing w:line="360" w:lineRule="auto"/>
              <w:ind w:firstLine="0" w:firstLineChars="0"/>
              <w:jc w:val="left"/>
              <w:textAlignment w:val="auto"/>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审批机关：福建省人民政府</w:t>
            </w:r>
          </w:p>
          <w:p w14:paraId="253A15CB">
            <w:pPr>
              <w:keepLines w:val="0"/>
              <w:pageBreakBefore w:val="0"/>
              <w:widowControl w:val="0"/>
              <w:kinsoku/>
              <w:wordWrap/>
              <w:topLinePunct w:val="0"/>
              <w:bidi w:val="0"/>
              <w:adjustRightInd/>
              <w:snapToGrid/>
              <w:spacing w:line="360" w:lineRule="auto"/>
              <w:ind w:firstLine="0" w:firstLineChars="0"/>
              <w:jc w:val="left"/>
              <w:textAlignment w:val="auto"/>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审批文件及文号：福建省人民政府关于同意三明经济开发区贡川园扩区的批复（闽政文〔2016〕2号）</w:t>
            </w:r>
          </w:p>
          <w:p w14:paraId="7F722FDE">
            <w:pPr>
              <w:keepLines w:val="0"/>
              <w:pageBreakBefore w:val="0"/>
              <w:widowControl w:val="0"/>
              <w:kinsoku/>
              <w:wordWrap/>
              <w:topLinePunct w:val="0"/>
              <w:bidi w:val="0"/>
              <w:adjustRightInd/>
              <w:snapToGrid/>
              <w:spacing w:line="360" w:lineRule="auto"/>
              <w:ind w:firstLine="0" w:firstLineChars="0"/>
              <w:jc w:val="left"/>
              <w:textAlignment w:val="auto"/>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规划名称：《三明经济开发区贡川园（永安市石墨和石墨烯产业园）控制性详细规划（修编）》</w:t>
            </w:r>
          </w:p>
          <w:p w14:paraId="07FDD1E7">
            <w:pPr>
              <w:keepLines w:val="0"/>
              <w:pageBreakBefore w:val="0"/>
              <w:widowControl w:val="0"/>
              <w:kinsoku/>
              <w:wordWrap/>
              <w:topLinePunct w:val="0"/>
              <w:bidi w:val="0"/>
              <w:adjustRightInd/>
              <w:snapToGrid/>
              <w:spacing w:line="360" w:lineRule="auto"/>
              <w:ind w:firstLine="0" w:firstLineChars="0"/>
              <w:jc w:val="left"/>
              <w:textAlignment w:val="auto"/>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审批机关：永安市人民政府</w:t>
            </w:r>
          </w:p>
          <w:p w14:paraId="017416C8">
            <w:pPr>
              <w:keepLines w:val="0"/>
              <w:pageBreakBefore w:val="0"/>
              <w:widowControl w:val="0"/>
              <w:kinsoku/>
              <w:wordWrap/>
              <w:topLinePunct w:val="0"/>
              <w:bidi w:val="0"/>
              <w:adjustRightInd/>
              <w:snapToGrid/>
              <w:spacing w:line="360" w:lineRule="auto"/>
              <w:ind w:firstLine="0" w:firstLineChars="0"/>
              <w:jc w:val="left"/>
              <w:textAlignment w:val="auto"/>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审批文件及文号：关于《三明经济开发区贡川园（永安市石墨和石墨烯产业园）控制性详细规划（修编）》的批复（永政文〔2020〕62号）</w:t>
            </w:r>
          </w:p>
        </w:tc>
      </w:tr>
      <w:tr w14:paraId="1E4CB4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41" w:type="pct"/>
            <w:noWrap w:val="0"/>
            <w:vAlign w:val="center"/>
          </w:tcPr>
          <w:p w14:paraId="6A944A0F">
            <w:pPr>
              <w:keepLines w:val="0"/>
              <w:pageBreakBefore w:val="0"/>
              <w:widowControl w:val="0"/>
              <w:kinsoku/>
              <w:wordWrap/>
              <w:topLinePunct w:val="0"/>
              <w:bidi w:val="0"/>
              <w:adjustRightInd/>
              <w:snapToGrid/>
              <w:spacing w:line="360" w:lineRule="auto"/>
              <w:ind w:firstLine="0" w:firstLineChars="0"/>
              <w:jc w:val="center"/>
              <w:textAlignment w:val="auto"/>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规划环境影响评价情况</w:t>
            </w:r>
          </w:p>
        </w:tc>
        <w:tc>
          <w:tcPr>
            <w:tcW w:w="4258" w:type="pct"/>
            <w:gridSpan w:val="5"/>
            <w:noWrap w:val="0"/>
            <w:vAlign w:val="center"/>
          </w:tcPr>
          <w:p w14:paraId="4A0D374D">
            <w:pPr>
              <w:keepNext w:val="0"/>
              <w:keepLines w:val="0"/>
              <w:suppressLineNumbers w:val="0"/>
              <w:tabs>
                <w:tab w:val="left" w:pos="0"/>
              </w:tabs>
              <w:spacing w:before="0" w:beforeAutospacing="0" w:after="0" w:afterAutospacing="0" w:line="360" w:lineRule="auto"/>
              <w:ind w:left="0" w:right="0" w:firstLine="0" w:firstLineChars="0"/>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规划环评名称：《三明经济开发区贡川园扩区总体规划环境影响报告书》</w:t>
            </w:r>
          </w:p>
          <w:p w14:paraId="1B5ED863">
            <w:pPr>
              <w:keepNext w:val="0"/>
              <w:keepLines w:val="0"/>
              <w:suppressLineNumbers w:val="0"/>
              <w:tabs>
                <w:tab w:val="left" w:pos="0"/>
              </w:tabs>
              <w:spacing w:before="0" w:beforeAutospacing="0" w:after="0" w:afterAutospacing="0" w:line="360" w:lineRule="auto"/>
              <w:ind w:left="0" w:right="0" w:firstLine="0" w:firstLineChars="0"/>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审批机关：福建省生态环境厅</w:t>
            </w: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原福建省环保厅</w:t>
            </w: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p>
          <w:p w14:paraId="3AAC81EC">
            <w:pPr>
              <w:keepNext w:val="0"/>
              <w:keepLines w:val="0"/>
              <w:suppressLineNumbers w:val="0"/>
              <w:tabs>
                <w:tab w:val="left" w:pos="0"/>
              </w:tabs>
              <w:spacing w:before="0" w:beforeAutospacing="0" w:after="0" w:afterAutospacing="0" w:line="360" w:lineRule="auto"/>
              <w:ind w:left="0" w:right="0" w:firstLine="0" w:firstLineChars="0"/>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审批文件及文号：《福建省环保厅关于三明经济开发区贡川园扩区总体规划环境影响报告书的审查意见》（闽环保评[2016]16号）</w:t>
            </w:r>
          </w:p>
        </w:tc>
      </w:tr>
      <w:tr w14:paraId="6D076E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741" w:type="pct"/>
            <w:noWrap w:val="0"/>
            <w:vAlign w:val="center"/>
          </w:tcPr>
          <w:p w14:paraId="65A7C46B">
            <w:pPr>
              <w:keepLines w:val="0"/>
              <w:pageBreakBefore w:val="0"/>
              <w:widowControl w:val="0"/>
              <w:kinsoku/>
              <w:wordWrap/>
              <w:topLinePunct w:val="0"/>
              <w:autoSpaceDE w:val="0"/>
              <w:autoSpaceDN w:val="0"/>
              <w:bidi w:val="0"/>
              <w:adjustRightInd/>
              <w:snapToGrid/>
              <w:spacing w:line="360" w:lineRule="auto"/>
              <w:ind w:firstLine="0" w:firstLineChars="0"/>
              <w:jc w:val="center"/>
              <w:textAlignment w:val="auto"/>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规划及规划环境影响评价符合性分析</w:t>
            </w:r>
          </w:p>
        </w:tc>
        <w:tc>
          <w:tcPr>
            <w:tcW w:w="4258" w:type="pct"/>
            <w:gridSpan w:val="5"/>
            <w:noWrap w:val="0"/>
            <w:vAlign w:val="center"/>
          </w:tcPr>
          <w:p w14:paraId="29D61656">
            <w:pPr>
              <w:pStyle w:val="2"/>
              <w:bidi w:val="0"/>
              <w:rPr>
                <w:rFonts w:hint="default" w:ascii="Times New Roman" w:hAnsi="Times New Roman" w:eastAsia="宋体" w:cs="Times New Roman"/>
                <w:b/>
                <w:bCs/>
                <w:color w:val="000000" w:themeColor="text1"/>
                <w:highlight w:val="none"/>
                <w14:textFill>
                  <w14:solidFill>
                    <w14:schemeClr w14:val="tx1"/>
                  </w14:solidFill>
                </w14:textFill>
              </w:rPr>
            </w:pPr>
            <w:bookmarkStart w:id="25" w:name="_Toc20688"/>
            <w:bookmarkStart w:id="26" w:name="_Toc24060"/>
            <w:bookmarkStart w:id="27" w:name="_Toc31333"/>
            <w:bookmarkStart w:id="28" w:name="_Toc4992"/>
            <w:bookmarkStart w:id="29" w:name="_Toc8300"/>
            <w:r>
              <w:rPr>
                <w:rFonts w:hint="default" w:ascii="Times New Roman" w:hAnsi="Times New Roman" w:cs="Times New Roman"/>
                <w:color w:val="000000" w:themeColor="text1"/>
                <w:highlight w:val="none"/>
                <w14:textFill>
                  <w14:solidFill>
                    <w14:schemeClr w14:val="tx1"/>
                  </w14:solidFill>
                </w14:textFill>
              </w:rPr>
              <w:t>与</w:t>
            </w:r>
            <w:bookmarkEnd w:id="25"/>
            <w:r>
              <w:rPr>
                <w:rFonts w:hint="default"/>
                <w:color w:val="000000" w:themeColor="text1"/>
                <w:highlight w:val="none"/>
                <w14:textFill>
                  <w14:solidFill>
                    <w14:schemeClr w14:val="tx1"/>
                  </w14:solidFill>
                </w14:textFill>
              </w:rPr>
              <w:t>《三明经济开发区贡川园（永安市石墨和石墨烯产业园）控制性详细规划（修编）》符合性分析</w:t>
            </w:r>
            <w:bookmarkEnd w:id="26"/>
          </w:p>
          <w:p w14:paraId="2D22390F">
            <w:pP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根据《三明经济开发区贡川园（永安市石墨和石墨烯产业园）控制性详细规划（修编）》：“贡川园水东片区的产业定位及发展方向为木竹、机械、纺织电子信息产业以及石墨和石墨烯产业”。</w:t>
            </w:r>
          </w:p>
          <w:p w14:paraId="333D18FB">
            <w:pPr>
              <w:rPr>
                <w:rFonts w:hint="default"/>
                <w:color w:val="000000" w:themeColor="text1"/>
                <w:highlight w:val="none"/>
                <w14:textFill>
                  <w14:solidFill>
                    <w14:schemeClr w14:val="tx1"/>
                  </w14:solidFill>
                </w14:textFill>
              </w:rPr>
            </w:pPr>
            <w:r>
              <w:rPr>
                <w:rFonts w:hint="default"/>
                <w:b/>
                <w:bCs/>
                <w:color w:val="000000" w:themeColor="text1"/>
                <w:highlight w:val="none"/>
                <w14:textFill>
                  <w14:solidFill>
                    <w14:schemeClr w14:val="tx1"/>
                  </w14:solidFill>
                </w14:textFill>
              </w:rPr>
              <w:t>符合性分析：</w:t>
            </w:r>
            <w:r>
              <w:rPr>
                <w:rFonts w:hint="default"/>
                <w:color w:val="000000" w:themeColor="text1"/>
                <w:highlight w:val="none"/>
                <w14:textFill>
                  <w14:solidFill>
                    <w14:schemeClr w14:val="tx1"/>
                  </w14:solidFill>
                </w14:textFill>
              </w:rPr>
              <w:t>本项目位于福建省三明市永安市贡川镇水东园区</w:t>
            </w:r>
            <w:r>
              <w:rPr>
                <w:rFonts w:hint="eastAsia"/>
                <w:color w:val="000000" w:themeColor="text1"/>
                <w:highlight w:val="none"/>
                <w:lang w:val="en-US" w:eastAsia="zh-CN"/>
                <w14:textFill>
                  <w14:solidFill>
                    <w14:schemeClr w14:val="tx1"/>
                  </w14:solidFill>
                </w14:textFill>
              </w:rPr>
              <w:t>56号</w:t>
            </w:r>
            <w:r>
              <w:rPr>
                <w:rFonts w:hint="default"/>
                <w:color w:val="000000" w:themeColor="text1"/>
                <w:highlight w:val="none"/>
                <w14:textFill>
                  <w14:solidFill>
                    <w14:schemeClr w14:val="tx1"/>
                  </w14:solidFill>
                </w14:textFill>
              </w:rPr>
              <w:t>，主要从事</w:t>
            </w:r>
            <w:r>
              <w:rPr>
                <w:rFonts w:hint="eastAsia"/>
                <w:color w:val="000000" w:themeColor="text1"/>
                <w:highlight w:val="none"/>
                <w:lang w:val="en-US" w:eastAsia="zh-CN"/>
                <w14:textFill>
                  <w14:solidFill>
                    <w14:schemeClr w14:val="tx1"/>
                  </w14:solidFill>
                </w14:textFill>
              </w:rPr>
              <w:t>单壁碳纳米管</w:t>
            </w:r>
            <w:r>
              <w:rPr>
                <w:rFonts w:hint="default"/>
                <w:color w:val="000000" w:themeColor="text1"/>
                <w:highlight w:val="none"/>
                <w14:textFill>
                  <w14:solidFill>
                    <w14:schemeClr w14:val="tx1"/>
                  </w14:solidFill>
                </w14:textFill>
              </w:rPr>
              <w:t>生产</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行业类别为</w:t>
            </w:r>
            <w:r>
              <w:rPr>
                <w:rFonts w:hint="default"/>
                <w:color w:val="000000" w:themeColor="text1"/>
                <w:highlight w:val="none"/>
                <w14:textFill>
                  <w14:solidFill>
                    <w14:schemeClr w14:val="tx1"/>
                  </w14:solidFill>
                </w14:textFill>
              </w:rPr>
              <w:t>C309石墨及其他非金属矿物制品制造</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以及硅碳负极材料生产（行业类别为C398电子专用材料制造）</w:t>
            </w:r>
            <w:r>
              <w:rPr>
                <w:rFonts w:hint="default"/>
                <w:color w:val="000000" w:themeColor="text1"/>
                <w:highlight w:val="none"/>
                <w14:textFill>
                  <w14:solidFill>
                    <w14:schemeClr w14:val="tx1"/>
                  </w14:solidFill>
                </w14:textFill>
              </w:rPr>
              <w:t>，属于“石墨和石墨烯产业”</w:t>
            </w:r>
            <w:r>
              <w:rPr>
                <w:rFonts w:hint="eastAsia"/>
                <w:color w:val="000000" w:themeColor="text1"/>
                <w:highlight w:val="none"/>
                <w:lang w:val="en-US" w:eastAsia="zh-CN"/>
                <w14:textFill>
                  <w14:solidFill>
                    <w14:schemeClr w14:val="tx1"/>
                  </w14:solidFill>
                </w14:textFill>
              </w:rPr>
              <w:t>和“电子信息产业”</w:t>
            </w:r>
            <w:r>
              <w:rPr>
                <w:rFonts w:hint="default"/>
                <w:color w:val="000000" w:themeColor="text1"/>
                <w:highlight w:val="none"/>
                <w14:textFill>
                  <w14:solidFill>
                    <w14:schemeClr w14:val="tx1"/>
                  </w14:solidFill>
                </w14:textFill>
              </w:rPr>
              <w:t>，符合《三明经济开发区贡川园（永安市石墨和石墨烯产业园）控制性详细规划（修编）》</w:t>
            </w:r>
            <w:r>
              <w:rPr>
                <w:rFonts w:hint="eastAsia"/>
                <w:color w:val="000000" w:themeColor="text1"/>
                <w:highlight w:val="none"/>
                <w:lang w:val="en-US" w:eastAsia="zh-CN"/>
                <w14:textFill>
                  <w14:solidFill>
                    <w14:schemeClr w14:val="tx1"/>
                  </w14:solidFill>
                </w14:textFill>
              </w:rPr>
              <w:t>的产业定位</w:t>
            </w:r>
            <w:r>
              <w:rPr>
                <w:rFonts w:hint="default"/>
                <w:color w:val="000000" w:themeColor="text1"/>
                <w:highlight w:val="none"/>
                <w14:textFill>
                  <w14:solidFill>
                    <w14:schemeClr w14:val="tx1"/>
                  </w14:solidFill>
                </w14:textFill>
              </w:rPr>
              <w:t>。</w:t>
            </w:r>
          </w:p>
          <w:p w14:paraId="4168100C">
            <w:pPr>
              <w:pStyle w:val="2"/>
              <w:bidi w:val="0"/>
              <w:rPr>
                <w:rFonts w:hint="default" w:ascii="Times New Roman" w:hAnsi="Times New Roman" w:cs="Times New Roman"/>
                <w:color w:val="000000" w:themeColor="text1"/>
                <w:highlight w:val="none"/>
                <w14:textFill>
                  <w14:solidFill>
                    <w14:schemeClr w14:val="tx1"/>
                  </w14:solidFill>
                </w14:textFill>
              </w:rPr>
            </w:pPr>
            <w:bookmarkStart w:id="30" w:name="_Toc23146"/>
            <w:bookmarkStart w:id="31" w:name="_Toc24019"/>
            <w:r>
              <w:rPr>
                <w:rFonts w:hint="eastAsia" w:ascii="Times New Roman" w:hAnsi="Times New Roman" w:cs="Times New Roman"/>
                <w:color w:val="000000" w:themeColor="text1"/>
                <w:highlight w:val="none"/>
                <w:lang w:val="en-US" w:eastAsia="zh-CN"/>
                <w14:textFill>
                  <w14:solidFill>
                    <w14:schemeClr w14:val="tx1"/>
                  </w14:solidFill>
                </w14:textFill>
              </w:rPr>
              <w:t>与《三明市经济开发区贡川园扩区总体规划》、规划环评及其审查意见符合性分析</w:t>
            </w:r>
            <w:bookmarkEnd w:id="30"/>
          </w:p>
          <w:bookmarkEnd w:id="27"/>
          <w:bookmarkEnd w:id="28"/>
          <w:bookmarkEnd w:id="29"/>
          <w:bookmarkEnd w:id="31"/>
          <w:p w14:paraId="60A3C95B">
            <w:pPr>
              <w:bidi w:val="0"/>
              <w:rPr>
                <w:rFonts w:hint="eastAsia" w:eastAsia="宋体"/>
                <w:color w:val="000000" w:themeColor="text1"/>
                <w:highlight w:val="none"/>
                <w:lang w:val="en-US" w:eastAsia="zh-CN"/>
                <w14:textFill>
                  <w14:solidFill>
                    <w14:schemeClr w14:val="tx1"/>
                  </w14:solidFill>
                </w14:textFill>
              </w:rPr>
            </w:pPr>
            <w:r>
              <w:rPr>
                <w:rFonts w:hint="default"/>
                <w:color w:val="000000" w:themeColor="text1"/>
                <w:highlight w:val="none"/>
                <w:lang w:val="en-US"/>
                <w14:textFill>
                  <w14:solidFill>
                    <w14:schemeClr w14:val="tx1"/>
                  </w14:solidFill>
                </w14:textFill>
              </w:rPr>
              <w:t>根据《三明经济开发区贡川园总体规划修编环境影响报告书》中基于各行业的产排污特征及周边环境的制约因素的分析，规划环评对入区项目提出如下要求</w:t>
            </w:r>
            <w:r>
              <w:rPr>
                <w:rFonts w:hint="eastAsia"/>
                <w:color w:val="000000" w:themeColor="text1"/>
                <w:highlight w:val="none"/>
                <w:lang w:val="en-US" w:eastAsia="zh-CN"/>
                <w14:textFill>
                  <w14:solidFill>
                    <w14:schemeClr w14:val="tx1"/>
                  </w14:solidFill>
                </w14:textFill>
              </w:rPr>
              <w:t>：</w:t>
            </w:r>
          </w:p>
          <w:p w14:paraId="4D1BDAFA">
            <w:pPr>
              <w:bidi w:val="0"/>
              <w:rPr>
                <w:rFonts w:hint="default"/>
                <w:color w:val="000000" w:themeColor="text1"/>
                <w:highlight w:val="none"/>
                <w:lang w:val="en-US"/>
                <w14:textFill>
                  <w14:solidFill>
                    <w14:schemeClr w14:val="tx1"/>
                  </w14:solidFill>
                </w14:textFill>
              </w:rPr>
            </w:pPr>
            <w:r>
              <w:rPr>
                <w:rFonts w:hint="default"/>
                <w:color w:val="000000" w:themeColor="text1"/>
                <w:highlight w:val="none"/>
                <w:lang w:val="en-US"/>
                <w14:textFill>
                  <w14:solidFill>
                    <w14:schemeClr w14:val="tx1"/>
                  </w14:solidFill>
                </w14:textFill>
              </w:rPr>
              <w:t>①严格环境准入，被列入《产业结构调整指导目录》</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14:textFill>
                  <w14:solidFill>
                    <w14:schemeClr w14:val="tx1"/>
                  </w14:solidFill>
                </w14:textFill>
              </w:rPr>
              <w:t>2019年本</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14:textFill>
                  <w14:solidFill>
                    <w14:schemeClr w14:val="tx1"/>
                  </w14:solidFill>
                </w14:textFill>
              </w:rPr>
              <w:t>修订本中限制类和淘汰类的生产工艺和设备、《部分工业行业淘汰落后生产工艺装备和产品指导目录</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14:textFill>
                  <w14:solidFill>
                    <w14:schemeClr w14:val="tx1"/>
                  </w14:solidFill>
                </w14:textFill>
              </w:rPr>
              <w:t>2010年本</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14:textFill>
                  <w14:solidFill>
                    <w14:schemeClr w14:val="tx1"/>
                  </w14:solidFill>
                </w14:textFill>
              </w:rPr>
              <w:t>》中的行业、工艺、产品的项目不得入区。</w:t>
            </w:r>
          </w:p>
          <w:p w14:paraId="6A8B2983">
            <w:pPr>
              <w:bidi w:val="0"/>
              <w:rPr>
                <w:rFonts w:hint="default"/>
                <w:color w:val="000000" w:themeColor="text1"/>
                <w:highlight w:val="none"/>
                <w:lang w:val="en-US"/>
                <w14:textFill>
                  <w14:solidFill>
                    <w14:schemeClr w14:val="tx1"/>
                  </w14:solidFill>
                </w14:textFill>
              </w:rPr>
            </w:pPr>
            <w:r>
              <w:rPr>
                <w:rFonts w:hint="default"/>
                <w:color w:val="000000" w:themeColor="text1"/>
                <w:highlight w:val="none"/>
                <w:lang w:val="en-US"/>
                <w14:textFill>
                  <w14:solidFill>
                    <w14:schemeClr w14:val="tx1"/>
                  </w14:solidFill>
                </w14:textFill>
              </w:rPr>
              <w:t>②目前，生产高端石墨的原料主要有石油焦和天然石墨</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14:textFill>
                  <w14:solidFill>
                    <w14:schemeClr w14:val="tx1"/>
                  </w14:solidFill>
                </w14:textFill>
              </w:rPr>
              <w:t>由于永安市地处沙溪上游，所处流域较为敏感，且区内有丰富的天然石墨资源，而煅烧石油焦生产石墨项目属于石油化工类项目，排放污染物的类型多，涉及多种危化品，因此，本环评建议贡川园采用天然石墨为原料进行生产高端石墨。</w:t>
            </w:r>
          </w:p>
          <w:p w14:paraId="54DF5CFC">
            <w:pPr>
              <w:bidi w:val="0"/>
              <w:rPr>
                <w:rFonts w:hint="default"/>
                <w:color w:val="000000" w:themeColor="text1"/>
                <w:highlight w:val="none"/>
                <w:lang w:val="en-US"/>
                <w14:textFill>
                  <w14:solidFill>
                    <w14:schemeClr w14:val="tx1"/>
                  </w14:solidFill>
                </w14:textFill>
              </w:rPr>
            </w:pPr>
            <w:r>
              <w:rPr>
                <w:rFonts w:hint="default"/>
                <w:color w:val="000000" w:themeColor="text1"/>
                <w:highlight w:val="none"/>
                <w:lang w:val="en-US"/>
                <w14:textFill>
                  <w14:solidFill>
                    <w14:schemeClr w14:val="tx1"/>
                  </w14:solidFill>
                </w14:textFill>
              </w:rPr>
              <w:t>③区内机械行业中的禁止引进电镀项目，生产工序中涉及电镀工序应外协，机械制造行业禁止铅蓄电池制造，禁止新建普通锻铸件项目。竹木加工行业禁止引进采用传统酸碱法的竹、木纤维业，禁止新、扩建利用天然阔叶林为原料的木材加工的项目，限制竹炭制造热解项目。</w:t>
            </w:r>
          </w:p>
          <w:p w14:paraId="67687D5B">
            <w:pPr>
              <w:bidi w:val="0"/>
              <w:rPr>
                <w:rFonts w:hint="default"/>
                <w:color w:val="000000" w:themeColor="text1"/>
                <w:highlight w:val="none"/>
                <w:lang w:val="en-US"/>
                <w14:textFill>
                  <w14:solidFill>
                    <w14:schemeClr w14:val="tx1"/>
                  </w14:solidFill>
                </w14:textFill>
              </w:rPr>
            </w:pPr>
            <w:r>
              <w:rPr>
                <w:rFonts w:hint="default"/>
                <w:color w:val="000000" w:themeColor="text1"/>
                <w:highlight w:val="none"/>
                <w:lang w:val="en-US"/>
                <w14:textFill>
                  <w14:solidFill>
                    <w14:schemeClr w14:val="tx1"/>
                  </w14:solidFill>
                </w14:textFill>
              </w:rPr>
              <w:t>④金属表面处理产生的铬、镉、汞、砷、铅、铊等六类重点重金属</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14:textFill>
                  <w14:solidFill>
                    <w14:schemeClr w14:val="tx1"/>
                  </w14:solidFill>
                </w14:textFill>
              </w:rPr>
              <w:t>氨氮、总磷应从严排放限值，执行特别排放标准限值。涉及重金属污染物排放量执行区域“等量置换”原则，实现区域重金属排放零增长。应在本行政区域内有明确具体的重金属污染物排放总量来源</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14:textFill>
                  <w14:solidFill>
                    <w14:schemeClr w14:val="tx1"/>
                  </w14:solidFill>
                </w14:textFill>
              </w:rPr>
              <w:t>无明确具体总量来源的，不得批准相关环境影响评价文件。</w:t>
            </w:r>
          </w:p>
          <w:p w14:paraId="62E95F0C">
            <w:pPr>
              <w:bidi w:val="0"/>
              <w:rPr>
                <w:rFonts w:hint="default"/>
                <w:color w:val="000000" w:themeColor="text1"/>
                <w:highlight w:val="none"/>
                <w:lang w:val="en-US"/>
                <w14:textFill>
                  <w14:solidFill>
                    <w14:schemeClr w14:val="tx1"/>
                  </w14:solidFill>
                </w14:textFill>
              </w:rPr>
            </w:pPr>
            <w:r>
              <w:rPr>
                <w:rFonts w:hint="default"/>
                <w:color w:val="000000" w:themeColor="text1"/>
                <w:highlight w:val="none"/>
                <w:lang w:val="en-US"/>
                <w14:textFill>
                  <w14:solidFill>
                    <w14:schemeClr w14:val="tx1"/>
                  </w14:solidFill>
                </w14:textFill>
              </w:rPr>
              <w:t>⑤禁止本园区内的印染企业使用含铬染料及其助剂或在印花工序采用感光制网工艺。</w:t>
            </w:r>
          </w:p>
          <w:p w14:paraId="6B350E05">
            <w:pPr>
              <w:bidi w:val="0"/>
              <w:rPr>
                <w:rFonts w:hint="default"/>
                <w:color w:val="000000" w:themeColor="text1"/>
                <w:highlight w:val="none"/>
                <w:lang w:val="en-US"/>
                <w14:textFill>
                  <w14:solidFill>
                    <w14:schemeClr w14:val="tx1"/>
                  </w14:solidFill>
                </w14:textFill>
              </w:rPr>
            </w:pPr>
            <w:r>
              <w:rPr>
                <w:rFonts w:hint="default"/>
                <w:color w:val="000000" w:themeColor="text1"/>
                <w:highlight w:val="none"/>
                <w:lang w:val="en-US"/>
                <w14:textFill>
                  <w14:solidFill>
                    <w14:schemeClr w14:val="tx1"/>
                  </w14:solidFill>
                </w14:textFill>
              </w:rPr>
              <w:t>⑥机械制造、纺织印染、石墨烯加工、竹木加工部分生产工序产生VOCs、酸碱废气，应尽可能的在密闭空间或设备中实施，VOCs收集率应达到80%以上。污染物排放浓度及排放速率不达标的，应采用高效的处理净化设施，净化效率应达到95%以上。</w:t>
            </w:r>
          </w:p>
          <w:p w14:paraId="007DF43D">
            <w:pPr>
              <w:bidi w:val="0"/>
              <w:rPr>
                <w:rFonts w:hint="default"/>
                <w:color w:val="000000" w:themeColor="text1"/>
                <w:highlight w:val="none"/>
                <w:lang w:val="en-US"/>
                <w14:textFill>
                  <w14:solidFill>
                    <w14:schemeClr w14:val="tx1"/>
                  </w14:solidFill>
                </w14:textFill>
              </w:rPr>
            </w:pPr>
            <w:r>
              <w:rPr>
                <w:rFonts w:hint="default"/>
                <w:color w:val="000000" w:themeColor="text1"/>
                <w:highlight w:val="none"/>
                <w:lang w:val="en-US"/>
                <w14:textFill>
                  <w14:solidFill>
                    <w14:schemeClr w14:val="tx1"/>
                  </w14:solidFill>
                </w14:textFill>
              </w:rPr>
              <w:t>⑦园区应采用清洁燃料</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14:textFill>
                  <w14:solidFill>
                    <w14:schemeClr w14:val="tx1"/>
                  </w14:solidFill>
                </w14:textFill>
              </w:rPr>
              <w:t>如液化气、天然气、电能等</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14:textFill>
                  <w14:solidFill>
                    <w14:schemeClr w14:val="tx1"/>
                  </w14:solidFill>
                </w14:textFill>
              </w:rPr>
              <w:t>，尽快对园区推行集中供热，从源头减少二氧化硫和烟尘排放对环境的影响。</w:t>
            </w:r>
          </w:p>
          <w:p w14:paraId="0F3A1242">
            <w:pPr>
              <w:bidi w:val="0"/>
              <w:rPr>
                <w:rFonts w:hint="eastAsia"/>
                <w:color w:val="000000" w:themeColor="text1"/>
                <w:highlight w:val="none"/>
                <w:lang w:val="en-US" w:eastAsia="zh-CN"/>
                <w14:textFill>
                  <w14:solidFill>
                    <w14:schemeClr w14:val="tx1"/>
                  </w14:solidFill>
                </w14:textFill>
              </w:rPr>
            </w:pPr>
            <w:r>
              <w:rPr>
                <w:rFonts w:hint="default"/>
                <w:color w:val="000000" w:themeColor="text1"/>
                <w:highlight w:val="none"/>
                <w:lang w:val="en-US"/>
                <w14:textFill>
                  <w14:solidFill>
                    <w14:schemeClr w14:val="tx1"/>
                  </w14:solidFill>
                </w14:textFill>
              </w:rPr>
              <w:t>根据《福建省环保厅关于三明经济开发区贡川园扩区总体规划环境影响报告书》</w:t>
            </w:r>
            <w:r>
              <w:rPr>
                <w:rFonts w:hint="eastAsia"/>
                <w:color w:val="000000" w:themeColor="text1"/>
                <w:highlight w:val="none"/>
                <w:lang w:val="en-US" w:eastAsia="zh-CN"/>
                <w14:textFill>
                  <w14:solidFill>
                    <w14:schemeClr w14:val="tx1"/>
                  </w14:solidFill>
                </w14:textFill>
              </w:rPr>
              <w:t>及其</w:t>
            </w:r>
            <w:r>
              <w:rPr>
                <w:rFonts w:hint="default"/>
                <w:color w:val="000000" w:themeColor="text1"/>
                <w:highlight w:val="none"/>
                <w:lang w:val="en-US"/>
                <w14:textFill>
                  <w14:solidFill>
                    <w14:schemeClr w14:val="tx1"/>
                  </w14:solidFill>
                </w14:textFill>
              </w:rPr>
              <w:t>审查意见</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14:textFill>
                  <w14:solidFill>
                    <w14:schemeClr w14:val="tx1"/>
                  </w14:solidFill>
                </w14:textFill>
              </w:rPr>
              <w:t>闽环保评[2016]16号</w:t>
            </w:r>
            <w:r>
              <w:rPr>
                <w:rFonts w:hint="eastAsia"/>
                <w:color w:val="000000" w:themeColor="text1"/>
                <w:highlight w:val="none"/>
                <w:lang w:val="en-US" w:eastAsia="zh-CN"/>
                <w14:textFill>
                  <w14:solidFill>
                    <w14:schemeClr w14:val="tx1"/>
                  </w14:solidFill>
                </w14:textFill>
              </w:rPr>
              <w:t>），本项目与规划环评生态环境准入清单的符合性分析详见</w:t>
            </w:r>
            <w:r>
              <w:rPr>
                <w:rFonts w:hint="eastAsia"/>
                <w:color w:val="000000" w:themeColor="text1"/>
                <w:highlight w:val="none"/>
                <w:lang w:val="en-US" w:eastAsia="zh-CN"/>
                <w14:textFill>
                  <w14:solidFill>
                    <w14:schemeClr w14:val="tx1"/>
                  </w14:solidFill>
                </w14:textFill>
              </w:rPr>
              <w:fldChar w:fldCharType="begin"/>
            </w:r>
            <w:r>
              <w:rPr>
                <w:rFonts w:hint="eastAsia"/>
                <w:color w:val="000000" w:themeColor="text1"/>
                <w:highlight w:val="none"/>
                <w:lang w:val="en-US" w:eastAsia="zh-CN"/>
                <w14:textFill>
                  <w14:solidFill>
                    <w14:schemeClr w14:val="tx1"/>
                  </w14:solidFill>
                </w14:textFill>
              </w:rPr>
              <w:instrText xml:space="preserve"> REF _Ref13450 \n \h </w:instrText>
            </w:r>
            <w:r>
              <w:rPr>
                <w:rFonts w:hint="eastAsia"/>
                <w:color w:val="000000" w:themeColor="text1"/>
                <w:highlight w:val="none"/>
                <w:lang w:val="en-US" w:eastAsia="zh-CN"/>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表1.2-1</w:t>
            </w:r>
            <w:r>
              <w:rPr>
                <w:rFonts w:hint="eastAsia"/>
                <w:color w:val="000000" w:themeColor="text1"/>
                <w:highlight w:val="none"/>
                <w:lang w:val="en-US" w:eastAsia="zh-CN"/>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w:t>
            </w:r>
          </w:p>
          <w:p w14:paraId="079DEC7F">
            <w:pPr>
              <w:pStyle w:val="30"/>
              <w:bidi w:val="0"/>
              <w:rPr>
                <w:rFonts w:hint="default"/>
                <w:color w:val="000000" w:themeColor="text1"/>
                <w:highlight w:val="none"/>
                <w:lang w:val="en-US" w:eastAsia="zh-CN"/>
                <w14:textFill>
                  <w14:solidFill>
                    <w14:schemeClr w14:val="tx1"/>
                  </w14:solidFill>
                </w14:textFill>
              </w:rPr>
            </w:pPr>
            <w:bookmarkStart w:id="32" w:name="_Ref13450"/>
            <w:r>
              <w:rPr>
                <w:rFonts w:hint="eastAsia"/>
                <w:color w:val="000000" w:themeColor="text1"/>
                <w:highlight w:val="none"/>
                <w:lang w:val="en-US" w:eastAsia="zh-CN"/>
                <w14:textFill>
                  <w14:solidFill>
                    <w14:schemeClr w14:val="tx1"/>
                  </w14:solidFill>
                </w14:textFill>
              </w:rPr>
              <w:t>与规划环评生态环境准入清单的符合性</w:t>
            </w:r>
            <w:bookmarkEnd w:id="32"/>
          </w:p>
          <w:tbl>
            <w:tblPr>
              <w:tblStyle w:val="18"/>
              <w:tblW w:w="7032"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5"/>
              <w:gridCol w:w="1350"/>
              <w:gridCol w:w="3645"/>
              <w:gridCol w:w="645"/>
              <w:gridCol w:w="927"/>
            </w:tblGrid>
            <w:tr w14:paraId="3A9D9F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15" w:type="dxa"/>
                  <w:gridSpan w:val="2"/>
                  <w:tcBorders>
                    <w:tl2br w:val="nil"/>
                    <w:tr2bl w:val="nil"/>
                  </w:tcBorders>
                  <w:noWrap w:val="0"/>
                  <w:vAlign w:val="center"/>
                </w:tcPr>
                <w:p w14:paraId="55CE4413">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产业</w:t>
                  </w:r>
                </w:p>
              </w:tc>
              <w:tc>
                <w:tcPr>
                  <w:tcW w:w="3645" w:type="dxa"/>
                  <w:tcBorders>
                    <w:tl2br w:val="nil"/>
                    <w:tr2bl w:val="nil"/>
                  </w:tcBorders>
                  <w:noWrap w:val="0"/>
                  <w:vAlign w:val="center"/>
                </w:tcPr>
                <w:p w14:paraId="02F224DE">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禁止</w:t>
                  </w:r>
                </w:p>
              </w:tc>
              <w:tc>
                <w:tcPr>
                  <w:tcW w:w="645" w:type="dxa"/>
                  <w:tcBorders>
                    <w:tl2br w:val="nil"/>
                    <w:tr2bl w:val="nil"/>
                  </w:tcBorders>
                  <w:noWrap w:val="0"/>
                  <w:vAlign w:val="center"/>
                </w:tcPr>
                <w:p w14:paraId="0535C66B">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限制</w:t>
                  </w:r>
                </w:p>
              </w:tc>
              <w:tc>
                <w:tcPr>
                  <w:tcW w:w="927" w:type="dxa"/>
                  <w:tcBorders>
                    <w:tl2br w:val="nil"/>
                    <w:tr2bl w:val="nil"/>
                  </w:tcBorders>
                  <w:noWrap w:val="0"/>
                  <w:vAlign w:val="center"/>
                </w:tcPr>
                <w:p w14:paraId="41BFA830">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本项目</w:t>
                  </w:r>
                </w:p>
              </w:tc>
            </w:tr>
            <w:tr w14:paraId="683BC8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dxa"/>
                  <w:vMerge w:val="restart"/>
                  <w:tcBorders>
                    <w:tl2br w:val="nil"/>
                    <w:tr2bl w:val="nil"/>
                  </w:tcBorders>
                  <w:noWrap w:val="0"/>
                  <w:vAlign w:val="center"/>
                </w:tcPr>
                <w:p w14:paraId="616C2ABC">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石墨及石墨烯产业</w:t>
                  </w:r>
                </w:p>
              </w:tc>
              <w:tc>
                <w:tcPr>
                  <w:tcW w:w="1350" w:type="dxa"/>
                  <w:tcBorders>
                    <w:tl2br w:val="nil"/>
                    <w:tr2bl w:val="nil"/>
                  </w:tcBorders>
                  <w:noWrap w:val="0"/>
                  <w:vAlign w:val="center"/>
                </w:tcPr>
                <w:p w14:paraId="020D4A43">
                  <w:pPr>
                    <w:pStyle w:val="26"/>
                    <w:bidi w:val="0"/>
                    <w:jc w:val="both"/>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C264 涂料、油墨、颜料及类似产品制造；C265 合成材料制造</w:t>
                  </w:r>
                </w:p>
              </w:tc>
              <w:tc>
                <w:tcPr>
                  <w:tcW w:w="3645" w:type="dxa"/>
                  <w:vMerge w:val="restart"/>
                  <w:tcBorders>
                    <w:tl2br w:val="nil"/>
                    <w:tr2bl w:val="nil"/>
                  </w:tcBorders>
                  <w:noWrap w:val="0"/>
                  <w:vAlign w:val="center"/>
                </w:tcPr>
                <w:p w14:paraId="2C21B32D">
                  <w:pPr>
                    <w:pStyle w:val="26"/>
                    <w:bidi w:val="0"/>
                    <w:jc w:val="both"/>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1.禁止煅烧石油焦生产石墨原料，要求采用天然石墨为原料进行生产高端石墨。</w:t>
                  </w:r>
                </w:p>
                <w:p w14:paraId="79514D86">
                  <w:pPr>
                    <w:pStyle w:val="26"/>
                    <w:bidi w:val="0"/>
                    <w:jc w:val="both"/>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2.禁止采用电解氧化工艺或强酸浸渍工艺路线。</w:t>
                  </w:r>
                </w:p>
                <w:p w14:paraId="750D48D5">
                  <w:pPr>
                    <w:pStyle w:val="26"/>
                    <w:bidi w:val="0"/>
                    <w:jc w:val="both"/>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3.禁止再生橡胶制造。</w:t>
                  </w:r>
                </w:p>
                <w:p w14:paraId="71D2C092">
                  <w:pPr>
                    <w:pStyle w:val="26"/>
                    <w:bidi w:val="0"/>
                    <w:jc w:val="both"/>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4.禁止引入塑料人造革、合成革制造类企业。</w:t>
                  </w:r>
                </w:p>
                <w:p w14:paraId="6FD24CC7">
                  <w:pPr>
                    <w:pStyle w:val="26"/>
                    <w:bidi w:val="0"/>
                    <w:jc w:val="both"/>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5.禁止铅蓄电池制造。</w:t>
                  </w:r>
                </w:p>
                <w:p w14:paraId="3AD95E04">
                  <w:pPr>
                    <w:pStyle w:val="26"/>
                    <w:bidi w:val="0"/>
                    <w:jc w:val="both"/>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6.禁止普通电子元件器件项目、普通印刷线路板等。</w:t>
                  </w:r>
                </w:p>
                <w:p w14:paraId="783FFD72">
                  <w:pPr>
                    <w:pStyle w:val="26"/>
                    <w:bidi w:val="0"/>
                    <w:jc w:val="both"/>
                    <w:rPr>
                      <w:rFonts w:hint="eastAsia" w:eastAsia="宋体"/>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7.禁止废旧电器、电子产品拆解回收类，禁止引入向河流排放铅、汞、镉、六价铬、砷和铊等重金属或持久性有机污染物的项目。</w:t>
                  </w:r>
                </w:p>
                <w:p w14:paraId="038FAAA3">
                  <w:pPr>
                    <w:pStyle w:val="26"/>
                    <w:bidi w:val="0"/>
                    <w:jc w:val="both"/>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8.禁止引入清洁生产达不到国内先进水平的生产项目。</w:t>
                  </w:r>
                </w:p>
                <w:p w14:paraId="34D70C29">
                  <w:pPr>
                    <w:pStyle w:val="26"/>
                    <w:bidi w:val="0"/>
                    <w:jc w:val="both"/>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9.禁止引入不符合《福建省石墨烯产业发展规划（2017—2025年）》《永安市石墨烯产业发展规划（2017-2025年）》的项目</w:t>
                  </w:r>
                </w:p>
                <w:p w14:paraId="7F3A029B">
                  <w:pPr>
                    <w:pStyle w:val="26"/>
                    <w:bidi w:val="0"/>
                    <w:jc w:val="both"/>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10.禁止引入废水含难降解的有机污染物、“三致”污染物及含盐量较高的项目；废水经预处理达不到污水处理厂接管标准的项目；在区内不能满足环评测算出的卫生防护距离的项目，以及环评事故风险防范和应急措施难以落实到位的企业。</w:t>
                  </w:r>
                </w:p>
              </w:tc>
              <w:tc>
                <w:tcPr>
                  <w:tcW w:w="645" w:type="dxa"/>
                  <w:vMerge w:val="restart"/>
                  <w:tcBorders>
                    <w:tl2br w:val="nil"/>
                    <w:tr2bl w:val="nil"/>
                  </w:tcBorders>
                  <w:noWrap w:val="0"/>
                  <w:vAlign w:val="center"/>
                </w:tcPr>
                <w:p w14:paraId="4A9B515C">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生产紧密配套电镀工艺</w:t>
                  </w:r>
                </w:p>
              </w:tc>
              <w:tc>
                <w:tcPr>
                  <w:tcW w:w="927" w:type="dxa"/>
                  <w:vMerge w:val="restart"/>
                  <w:tcBorders>
                    <w:tl2br w:val="nil"/>
                    <w:tr2bl w:val="nil"/>
                  </w:tcBorders>
                  <w:noWrap w:val="0"/>
                  <w:vAlign w:val="center"/>
                </w:tcPr>
                <w:p w14:paraId="71E52E7C">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本项目属于C309石墨及其他非金属矿物制品制造</w:t>
                  </w:r>
                  <w:r>
                    <w:rPr>
                      <w:rFonts w:hint="eastAsia"/>
                      <w:color w:val="000000" w:themeColor="text1"/>
                      <w:highlight w:val="none"/>
                      <w:lang w:val="en-US" w:eastAsia="zh-CN" w:bidi="ar-SA"/>
                      <w14:textFill>
                        <w14:solidFill>
                          <w14:schemeClr w14:val="tx1"/>
                        </w14:solidFill>
                      </w14:textFill>
                    </w:rPr>
                    <w:t>和</w:t>
                  </w:r>
                  <w:r>
                    <w:rPr>
                      <w:rFonts w:hint="default"/>
                      <w:color w:val="000000" w:themeColor="text1"/>
                      <w:highlight w:val="none"/>
                      <w:lang w:val="en-US" w:eastAsia="zh-CN" w:bidi="ar-SA"/>
                      <w14:textFill>
                        <w14:solidFill>
                          <w14:schemeClr w14:val="tx1"/>
                        </w14:solidFill>
                      </w14:textFill>
                    </w:rPr>
                    <w:t>C398电子元件及电子专用材料制造，不属于园区负面清单中禁止和限制产业。</w:t>
                  </w:r>
                </w:p>
              </w:tc>
            </w:tr>
            <w:tr w14:paraId="27C746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dxa"/>
                  <w:vMerge w:val="continue"/>
                  <w:tcBorders>
                    <w:tl2br w:val="nil"/>
                    <w:tr2bl w:val="nil"/>
                  </w:tcBorders>
                  <w:noWrap w:val="0"/>
                  <w:vAlign w:val="center"/>
                </w:tcPr>
                <w:p w14:paraId="6E676783">
                  <w:pPr>
                    <w:pStyle w:val="26"/>
                    <w:bidi w:val="0"/>
                    <w:jc w:val="center"/>
                    <w:rPr>
                      <w:rFonts w:hint="default"/>
                      <w:color w:val="000000" w:themeColor="text1"/>
                      <w:highlight w:val="none"/>
                      <w:lang w:val="en-US" w:eastAsia="zh-CN" w:bidi="ar-SA"/>
                      <w14:textFill>
                        <w14:solidFill>
                          <w14:schemeClr w14:val="tx1"/>
                        </w14:solidFill>
                      </w14:textFill>
                    </w:rPr>
                  </w:pPr>
                </w:p>
              </w:tc>
              <w:tc>
                <w:tcPr>
                  <w:tcW w:w="1350" w:type="dxa"/>
                  <w:tcBorders>
                    <w:tl2br w:val="nil"/>
                    <w:tr2bl w:val="nil"/>
                  </w:tcBorders>
                  <w:noWrap w:val="0"/>
                  <w:vAlign w:val="center"/>
                </w:tcPr>
                <w:p w14:paraId="7B078F8F">
                  <w:pPr>
                    <w:pStyle w:val="26"/>
                    <w:bidi w:val="0"/>
                    <w:jc w:val="both"/>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C29 橡胶和塑料制品业</w:t>
                  </w:r>
                </w:p>
              </w:tc>
              <w:tc>
                <w:tcPr>
                  <w:tcW w:w="3645" w:type="dxa"/>
                  <w:vMerge w:val="continue"/>
                  <w:tcBorders>
                    <w:tl2br w:val="nil"/>
                    <w:tr2bl w:val="nil"/>
                  </w:tcBorders>
                  <w:noWrap w:val="0"/>
                  <w:vAlign w:val="center"/>
                </w:tcPr>
                <w:p w14:paraId="14628F86">
                  <w:pPr>
                    <w:pStyle w:val="26"/>
                    <w:bidi w:val="0"/>
                    <w:jc w:val="center"/>
                    <w:rPr>
                      <w:rFonts w:hint="default"/>
                      <w:color w:val="000000" w:themeColor="text1"/>
                      <w:highlight w:val="none"/>
                      <w:lang w:val="en-US" w:eastAsia="zh-CN" w:bidi="ar-SA"/>
                      <w14:textFill>
                        <w14:solidFill>
                          <w14:schemeClr w14:val="tx1"/>
                        </w14:solidFill>
                      </w14:textFill>
                    </w:rPr>
                  </w:pPr>
                </w:p>
              </w:tc>
              <w:tc>
                <w:tcPr>
                  <w:tcW w:w="645" w:type="dxa"/>
                  <w:vMerge w:val="continue"/>
                  <w:tcBorders>
                    <w:tl2br w:val="nil"/>
                    <w:tr2bl w:val="nil"/>
                  </w:tcBorders>
                  <w:noWrap w:val="0"/>
                  <w:vAlign w:val="center"/>
                </w:tcPr>
                <w:p w14:paraId="1B229D26">
                  <w:pPr>
                    <w:pStyle w:val="26"/>
                    <w:bidi w:val="0"/>
                    <w:jc w:val="center"/>
                    <w:rPr>
                      <w:rFonts w:hint="default"/>
                      <w:color w:val="000000" w:themeColor="text1"/>
                      <w:highlight w:val="none"/>
                      <w:lang w:val="en-US" w:eastAsia="zh-CN" w:bidi="ar-SA"/>
                      <w14:textFill>
                        <w14:solidFill>
                          <w14:schemeClr w14:val="tx1"/>
                        </w14:solidFill>
                      </w14:textFill>
                    </w:rPr>
                  </w:pPr>
                </w:p>
              </w:tc>
              <w:tc>
                <w:tcPr>
                  <w:tcW w:w="927" w:type="dxa"/>
                  <w:vMerge w:val="continue"/>
                  <w:tcBorders>
                    <w:tl2br w:val="nil"/>
                    <w:tr2bl w:val="nil"/>
                  </w:tcBorders>
                  <w:noWrap w:val="0"/>
                  <w:vAlign w:val="center"/>
                </w:tcPr>
                <w:p w14:paraId="72F1F7F6">
                  <w:pPr>
                    <w:pStyle w:val="26"/>
                    <w:bidi w:val="0"/>
                    <w:jc w:val="center"/>
                    <w:rPr>
                      <w:rFonts w:hint="default"/>
                      <w:color w:val="000000" w:themeColor="text1"/>
                      <w:highlight w:val="none"/>
                      <w:lang w:val="en-US" w:eastAsia="zh-CN" w:bidi="ar-SA"/>
                      <w14:textFill>
                        <w14:solidFill>
                          <w14:schemeClr w14:val="tx1"/>
                        </w14:solidFill>
                      </w14:textFill>
                    </w:rPr>
                  </w:pPr>
                </w:p>
              </w:tc>
            </w:tr>
            <w:tr w14:paraId="227763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dxa"/>
                  <w:vMerge w:val="continue"/>
                  <w:tcBorders>
                    <w:tl2br w:val="nil"/>
                    <w:tr2bl w:val="nil"/>
                  </w:tcBorders>
                  <w:noWrap w:val="0"/>
                  <w:vAlign w:val="center"/>
                </w:tcPr>
                <w:p w14:paraId="63EFA0C2">
                  <w:pPr>
                    <w:pStyle w:val="26"/>
                    <w:bidi w:val="0"/>
                    <w:jc w:val="center"/>
                    <w:rPr>
                      <w:rFonts w:hint="default"/>
                      <w:color w:val="000000" w:themeColor="text1"/>
                      <w:highlight w:val="none"/>
                      <w:lang w:val="en-US" w:eastAsia="zh-CN" w:bidi="ar-SA"/>
                      <w14:textFill>
                        <w14:solidFill>
                          <w14:schemeClr w14:val="tx1"/>
                        </w14:solidFill>
                      </w14:textFill>
                    </w:rPr>
                  </w:pPr>
                </w:p>
              </w:tc>
              <w:tc>
                <w:tcPr>
                  <w:tcW w:w="1350" w:type="dxa"/>
                  <w:tcBorders>
                    <w:tl2br w:val="nil"/>
                    <w:tr2bl w:val="nil"/>
                  </w:tcBorders>
                  <w:noWrap w:val="0"/>
                  <w:vAlign w:val="center"/>
                </w:tcPr>
                <w:p w14:paraId="08090D33">
                  <w:pPr>
                    <w:pStyle w:val="26"/>
                    <w:bidi w:val="0"/>
                    <w:jc w:val="both"/>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C309 石墨及其他非金属矿物制品制造</w:t>
                  </w:r>
                </w:p>
              </w:tc>
              <w:tc>
                <w:tcPr>
                  <w:tcW w:w="3645" w:type="dxa"/>
                  <w:vMerge w:val="continue"/>
                  <w:tcBorders>
                    <w:tl2br w:val="nil"/>
                    <w:tr2bl w:val="nil"/>
                  </w:tcBorders>
                  <w:noWrap w:val="0"/>
                  <w:vAlign w:val="center"/>
                </w:tcPr>
                <w:p w14:paraId="4753B153">
                  <w:pPr>
                    <w:pStyle w:val="26"/>
                    <w:bidi w:val="0"/>
                    <w:jc w:val="center"/>
                    <w:rPr>
                      <w:rFonts w:hint="default"/>
                      <w:color w:val="000000" w:themeColor="text1"/>
                      <w:highlight w:val="none"/>
                      <w:lang w:val="en-US" w:eastAsia="zh-CN" w:bidi="ar-SA"/>
                      <w14:textFill>
                        <w14:solidFill>
                          <w14:schemeClr w14:val="tx1"/>
                        </w14:solidFill>
                      </w14:textFill>
                    </w:rPr>
                  </w:pPr>
                </w:p>
              </w:tc>
              <w:tc>
                <w:tcPr>
                  <w:tcW w:w="645" w:type="dxa"/>
                  <w:vMerge w:val="continue"/>
                  <w:tcBorders>
                    <w:tl2br w:val="nil"/>
                    <w:tr2bl w:val="nil"/>
                  </w:tcBorders>
                  <w:noWrap w:val="0"/>
                  <w:vAlign w:val="center"/>
                </w:tcPr>
                <w:p w14:paraId="00E8ED85">
                  <w:pPr>
                    <w:pStyle w:val="26"/>
                    <w:bidi w:val="0"/>
                    <w:jc w:val="center"/>
                    <w:rPr>
                      <w:rFonts w:hint="default"/>
                      <w:color w:val="000000" w:themeColor="text1"/>
                      <w:highlight w:val="none"/>
                      <w:lang w:val="en-US" w:eastAsia="zh-CN" w:bidi="ar-SA"/>
                      <w14:textFill>
                        <w14:solidFill>
                          <w14:schemeClr w14:val="tx1"/>
                        </w14:solidFill>
                      </w14:textFill>
                    </w:rPr>
                  </w:pPr>
                </w:p>
              </w:tc>
              <w:tc>
                <w:tcPr>
                  <w:tcW w:w="927" w:type="dxa"/>
                  <w:vMerge w:val="continue"/>
                  <w:tcBorders>
                    <w:tl2br w:val="nil"/>
                    <w:tr2bl w:val="nil"/>
                  </w:tcBorders>
                  <w:noWrap w:val="0"/>
                  <w:vAlign w:val="center"/>
                </w:tcPr>
                <w:p w14:paraId="25650286">
                  <w:pPr>
                    <w:pStyle w:val="26"/>
                    <w:bidi w:val="0"/>
                    <w:jc w:val="center"/>
                    <w:rPr>
                      <w:rFonts w:hint="default"/>
                      <w:color w:val="000000" w:themeColor="text1"/>
                      <w:highlight w:val="none"/>
                      <w:lang w:val="en-US" w:eastAsia="zh-CN" w:bidi="ar-SA"/>
                      <w14:textFill>
                        <w14:solidFill>
                          <w14:schemeClr w14:val="tx1"/>
                        </w14:solidFill>
                      </w14:textFill>
                    </w:rPr>
                  </w:pPr>
                </w:p>
              </w:tc>
            </w:tr>
            <w:tr w14:paraId="3D3349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465" w:type="dxa"/>
                  <w:vMerge w:val="continue"/>
                  <w:tcBorders>
                    <w:tl2br w:val="nil"/>
                    <w:tr2bl w:val="nil"/>
                  </w:tcBorders>
                  <w:noWrap w:val="0"/>
                  <w:vAlign w:val="center"/>
                </w:tcPr>
                <w:p w14:paraId="2C641038">
                  <w:pPr>
                    <w:pStyle w:val="26"/>
                    <w:bidi w:val="0"/>
                    <w:jc w:val="center"/>
                    <w:rPr>
                      <w:rFonts w:hint="default"/>
                      <w:color w:val="000000" w:themeColor="text1"/>
                      <w:highlight w:val="none"/>
                      <w:lang w:val="en-US" w:eastAsia="zh-CN" w:bidi="ar-SA"/>
                      <w14:textFill>
                        <w14:solidFill>
                          <w14:schemeClr w14:val="tx1"/>
                        </w14:solidFill>
                      </w14:textFill>
                    </w:rPr>
                  </w:pPr>
                </w:p>
              </w:tc>
              <w:tc>
                <w:tcPr>
                  <w:tcW w:w="1350" w:type="dxa"/>
                  <w:tcBorders>
                    <w:tl2br w:val="nil"/>
                    <w:tr2bl w:val="nil"/>
                  </w:tcBorders>
                  <w:noWrap w:val="0"/>
                  <w:vAlign w:val="center"/>
                </w:tcPr>
                <w:p w14:paraId="5058B00C">
                  <w:pPr>
                    <w:pStyle w:val="26"/>
                    <w:bidi w:val="0"/>
                    <w:jc w:val="both"/>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C384 电池制造</w:t>
                  </w:r>
                </w:p>
              </w:tc>
              <w:tc>
                <w:tcPr>
                  <w:tcW w:w="3645" w:type="dxa"/>
                  <w:vMerge w:val="continue"/>
                  <w:tcBorders>
                    <w:tl2br w:val="nil"/>
                    <w:tr2bl w:val="nil"/>
                  </w:tcBorders>
                  <w:noWrap w:val="0"/>
                  <w:vAlign w:val="center"/>
                </w:tcPr>
                <w:p w14:paraId="5B5B6F1F">
                  <w:pPr>
                    <w:pStyle w:val="26"/>
                    <w:bidi w:val="0"/>
                    <w:jc w:val="center"/>
                    <w:rPr>
                      <w:rFonts w:hint="default"/>
                      <w:color w:val="000000" w:themeColor="text1"/>
                      <w:highlight w:val="none"/>
                      <w:lang w:val="en-US" w:eastAsia="zh-CN" w:bidi="ar-SA"/>
                      <w14:textFill>
                        <w14:solidFill>
                          <w14:schemeClr w14:val="tx1"/>
                        </w14:solidFill>
                      </w14:textFill>
                    </w:rPr>
                  </w:pPr>
                </w:p>
              </w:tc>
              <w:tc>
                <w:tcPr>
                  <w:tcW w:w="645" w:type="dxa"/>
                  <w:vMerge w:val="continue"/>
                  <w:tcBorders>
                    <w:tl2br w:val="nil"/>
                    <w:tr2bl w:val="nil"/>
                  </w:tcBorders>
                  <w:noWrap w:val="0"/>
                  <w:vAlign w:val="center"/>
                </w:tcPr>
                <w:p w14:paraId="56174837">
                  <w:pPr>
                    <w:pStyle w:val="26"/>
                    <w:bidi w:val="0"/>
                    <w:jc w:val="center"/>
                    <w:rPr>
                      <w:rFonts w:hint="default"/>
                      <w:color w:val="000000" w:themeColor="text1"/>
                      <w:highlight w:val="none"/>
                      <w:lang w:val="en-US" w:eastAsia="zh-CN" w:bidi="ar-SA"/>
                      <w14:textFill>
                        <w14:solidFill>
                          <w14:schemeClr w14:val="tx1"/>
                        </w14:solidFill>
                      </w14:textFill>
                    </w:rPr>
                  </w:pPr>
                </w:p>
              </w:tc>
              <w:tc>
                <w:tcPr>
                  <w:tcW w:w="927" w:type="dxa"/>
                  <w:vMerge w:val="continue"/>
                  <w:tcBorders>
                    <w:tl2br w:val="nil"/>
                    <w:tr2bl w:val="nil"/>
                  </w:tcBorders>
                  <w:noWrap w:val="0"/>
                  <w:vAlign w:val="center"/>
                </w:tcPr>
                <w:p w14:paraId="116B944C">
                  <w:pPr>
                    <w:pStyle w:val="26"/>
                    <w:bidi w:val="0"/>
                    <w:jc w:val="center"/>
                    <w:rPr>
                      <w:rFonts w:hint="default"/>
                      <w:color w:val="000000" w:themeColor="text1"/>
                      <w:highlight w:val="none"/>
                      <w:lang w:val="en-US" w:eastAsia="zh-CN" w:bidi="ar-SA"/>
                      <w14:textFill>
                        <w14:solidFill>
                          <w14:schemeClr w14:val="tx1"/>
                        </w14:solidFill>
                      </w14:textFill>
                    </w:rPr>
                  </w:pPr>
                </w:p>
              </w:tc>
            </w:tr>
            <w:tr w14:paraId="1F8C45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dxa"/>
                  <w:vMerge w:val="continue"/>
                  <w:tcBorders>
                    <w:tl2br w:val="nil"/>
                    <w:tr2bl w:val="nil"/>
                  </w:tcBorders>
                  <w:noWrap w:val="0"/>
                  <w:vAlign w:val="center"/>
                </w:tcPr>
                <w:p w14:paraId="241F4767">
                  <w:pPr>
                    <w:pStyle w:val="26"/>
                    <w:bidi w:val="0"/>
                    <w:jc w:val="center"/>
                    <w:rPr>
                      <w:rFonts w:hint="default"/>
                      <w:color w:val="000000" w:themeColor="text1"/>
                      <w:highlight w:val="none"/>
                      <w:lang w:val="en-US" w:eastAsia="zh-CN" w:bidi="ar-SA"/>
                      <w14:textFill>
                        <w14:solidFill>
                          <w14:schemeClr w14:val="tx1"/>
                        </w14:solidFill>
                      </w14:textFill>
                    </w:rPr>
                  </w:pPr>
                </w:p>
              </w:tc>
              <w:tc>
                <w:tcPr>
                  <w:tcW w:w="1350" w:type="dxa"/>
                  <w:tcBorders>
                    <w:tl2br w:val="nil"/>
                    <w:tr2bl w:val="nil"/>
                  </w:tcBorders>
                  <w:noWrap w:val="0"/>
                  <w:vAlign w:val="center"/>
                </w:tcPr>
                <w:p w14:paraId="25868D9D">
                  <w:pPr>
                    <w:pStyle w:val="26"/>
                    <w:bidi w:val="0"/>
                    <w:jc w:val="both"/>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C398 电子元件及电子专用材料制造</w:t>
                  </w:r>
                </w:p>
              </w:tc>
              <w:tc>
                <w:tcPr>
                  <w:tcW w:w="3645" w:type="dxa"/>
                  <w:vMerge w:val="continue"/>
                  <w:tcBorders>
                    <w:tl2br w:val="nil"/>
                    <w:tr2bl w:val="nil"/>
                  </w:tcBorders>
                  <w:noWrap w:val="0"/>
                  <w:vAlign w:val="center"/>
                </w:tcPr>
                <w:p w14:paraId="5D7D6FEA">
                  <w:pPr>
                    <w:pStyle w:val="26"/>
                    <w:bidi w:val="0"/>
                    <w:jc w:val="center"/>
                    <w:rPr>
                      <w:rFonts w:hint="default"/>
                      <w:color w:val="000000" w:themeColor="text1"/>
                      <w:highlight w:val="none"/>
                      <w:lang w:val="en-US" w:eastAsia="zh-CN" w:bidi="ar-SA"/>
                      <w14:textFill>
                        <w14:solidFill>
                          <w14:schemeClr w14:val="tx1"/>
                        </w14:solidFill>
                      </w14:textFill>
                    </w:rPr>
                  </w:pPr>
                </w:p>
              </w:tc>
              <w:tc>
                <w:tcPr>
                  <w:tcW w:w="645" w:type="dxa"/>
                  <w:vMerge w:val="continue"/>
                  <w:tcBorders>
                    <w:tl2br w:val="nil"/>
                    <w:tr2bl w:val="nil"/>
                  </w:tcBorders>
                  <w:noWrap w:val="0"/>
                  <w:vAlign w:val="center"/>
                </w:tcPr>
                <w:p w14:paraId="1903C40E">
                  <w:pPr>
                    <w:pStyle w:val="26"/>
                    <w:bidi w:val="0"/>
                    <w:jc w:val="center"/>
                    <w:rPr>
                      <w:rFonts w:hint="default"/>
                      <w:color w:val="000000" w:themeColor="text1"/>
                      <w:highlight w:val="none"/>
                      <w:lang w:val="en-US" w:eastAsia="zh-CN" w:bidi="ar-SA"/>
                      <w14:textFill>
                        <w14:solidFill>
                          <w14:schemeClr w14:val="tx1"/>
                        </w14:solidFill>
                      </w14:textFill>
                    </w:rPr>
                  </w:pPr>
                </w:p>
              </w:tc>
              <w:tc>
                <w:tcPr>
                  <w:tcW w:w="927" w:type="dxa"/>
                  <w:vMerge w:val="continue"/>
                  <w:tcBorders>
                    <w:tl2br w:val="nil"/>
                    <w:tr2bl w:val="nil"/>
                  </w:tcBorders>
                  <w:noWrap w:val="0"/>
                  <w:vAlign w:val="center"/>
                </w:tcPr>
                <w:p w14:paraId="06E8EB1D">
                  <w:pPr>
                    <w:pStyle w:val="26"/>
                    <w:bidi w:val="0"/>
                    <w:jc w:val="center"/>
                    <w:rPr>
                      <w:rFonts w:hint="default"/>
                      <w:color w:val="000000" w:themeColor="text1"/>
                      <w:highlight w:val="none"/>
                      <w:lang w:val="en-US" w:eastAsia="zh-CN" w:bidi="ar-SA"/>
                      <w14:textFill>
                        <w14:solidFill>
                          <w14:schemeClr w14:val="tx1"/>
                        </w14:solidFill>
                      </w14:textFill>
                    </w:rPr>
                  </w:pPr>
                </w:p>
              </w:tc>
            </w:tr>
            <w:tr w14:paraId="6A0628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dxa"/>
                  <w:vMerge w:val="continue"/>
                  <w:tcBorders>
                    <w:tl2br w:val="nil"/>
                    <w:tr2bl w:val="nil"/>
                  </w:tcBorders>
                  <w:noWrap w:val="0"/>
                  <w:vAlign w:val="center"/>
                </w:tcPr>
                <w:p w14:paraId="74020AD9">
                  <w:pPr>
                    <w:pStyle w:val="26"/>
                    <w:bidi w:val="0"/>
                    <w:jc w:val="center"/>
                    <w:rPr>
                      <w:rFonts w:hint="default"/>
                      <w:color w:val="000000" w:themeColor="text1"/>
                      <w:highlight w:val="none"/>
                      <w:lang w:val="en-US" w:eastAsia="zh-CN" w:bidi="ar-SA"/>
                      <w14:textFill>
                        <w14:solidFill>
                          <w14:schemeClr w14:val="tx1"/>
                        </w14:solidFill>
                      </w14:textFill>
                    </w:rPr>
                  </w:pPr>
                </w:p>
              </w:tc>
              <w:tc>
                <w:tcPr>
                  <w:tcW w:w="1350" w:type="dxa"/>
                  <w:tcBorders>
                    <w:tl2br w:val="nil"/>
                    <w:tr2bl w:val="nil"/>
                  </w:tcBorders>
                  <w:noWrap w:val="0"/>
                  <w:vAlign w:val="center"/>
                </w:tcPr>
                <w:p w14:paraId="05C2B1B0">
                  <w:pPr>
                    <w:pStyle w:val="26"/>
                    <w:bidi w:val="0"/>
                    <w:jc w:val="both"/>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C422 非金属废料和碎屑加工</w:t>
                  </w:r>
                </w:p>
              </w:tc>
              <w:tc>
                <w:tcPr>
                  <w:tcW w:w="3645" w:type="dxa"/>
                  <w:vMerge w:val="continue"/>
                  <w:tcBorders>
                    <w:tl2br w:val="nil"/>
                    <w:tr2bl w:val="nil"/>
                  </w:tcBorders>
                  <w:noWrap w:val="0"/>
                  <w:vAlign w:val="center"/>
                </w:tcPr>
                <w:p w14:paraId="506F36F6">
                  <w:pPr>
                    <w:pStyle w:val="26"/>
                    <w:bidi w:val="0"/>
                    <w:jc w:val="center"/>
                    <w:rPr>
                      <w:rFonts w:hint="default"/>
                      <w:color w:val="000000" w:themeColor="text1"/>
                      <w:highlight w:val="none"/>
                      <w:lang w:val="en-US" w:eastAsia="zh-CN" w:bidi="ar-SA"/>
                      <w14:textFill>
                        <w14:solidFill>
                          <w14:schemeClr w14:val="tx1"/>
                        </w14:solidFill>
                      </w14:textFill>
                    </w:rPr>
                  </w:pPr>
                </w:p>
              </w:tc>
              <w:tc>
                <w:tcPr>
                  <w:tcW w:w="645" w:type="dxa"/>
                  <w:vMerge w:val="continue"/>
                  <w:tcBorders>
                    <w:tl2br w:val="nil"/>
                    <w:tr2bl w:val="nil"/>
                  </w:tcBorders>
                  <w:noWrap w:val="0"/>
                  <w:vAlign w:val="center"/>
                </w:tcPr>
                <w:p w14:paraId="175F4CE7">
                  <w:pPr>
                    <w:pStyle w:val="26"/>
                    <w:bidi w:val="0"/>
                    <w:jc w:val="center"/>
                    <w:rPr>
                      <w:rFonts w:hint="default"/>
                      <w:color w:val="000000" w:themeColor="text1"/>
                      <w:highlight w:val="none"/>
                      <w:lang w:val="en-US" w:eastAsia="zh-CN" w:bidi="ar-SA"/>
                      <w14:textFill>
                        <w14:solidFill>
                          <w14:schemeClr w14:val="tx1"/>
                        </w14:solidFill>
                      </w14:textFill>
                    </w:rPr>
                  </w:pPr>
                </w:p>
              </w:tc>
              <w:tc>
                <w:tcPr>
                  <w:tcW w:w="927" w:type="dxa"/>
                  <w:vMerge w:val="continue"/>
                  <w:tcBorders>
                    <w:tl2br w:val="nil"/>
                    <w:tr2bl w:val="nil"/>
                  </w:tcBorders>
                  <w:noWrap w:val="0"/>
                  <w:vAlign w:val="center"/>
                </w:tcPr>
                <w:p w14:paraId="3593C660">
                  <w:pPr>
                    <w:pStyle w:val="26"/>
                    <w:bidi w:val="0"/>
                    <w:jc w:val="center"/>
                    <w:rPr>
                      <w:rFonts w:hint="default"/>
                      <w:color w:val="000000" w:themeColor="text1"/>
                      <w:highlight w:val="none"/>
                      <w:lang w:val="en-US" w:eastAsia="zh-CN" w:bidi="ar-SA"/>
                      <w14:textFill>
                        <w14:solidFill>
                          <w14:schemeClr w14:val="tx1"/>
                        </w14:solidFill>
                      </w14:textFill>
                    </w:rPr>
                  </w:pPr>
                </w:p>
              </w:tc>
            </w:tr>
          </w:tbl>
          <w:p w14:paraId="4C73D6AB">
            <w:pPr>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综上所述，本项目</w:t>
            </w:r>
            <w:r>
              <w:rPr>
                <w:rFonts w:hint="default"/>
                <w:color w:val="000000" w:themeColor="text1"/>
                <w:highlight w:val="none"/>
                <w:lang w:val="en-US"/>
                <w14:textFill>
                  <w14:solidFill>
                    <w14:schemeClr w14:val="tx1"/>
                  </w14:solidFill>
                </w14:textFill>
              </w:rPr>
              <w:t>不属于以上要求中提及的排放重金属和持久性有机污染物的产业、带有化工性质的林加工产业、表面处理的电镀、合成革产业</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14:textFill>
                  <w14:solidFill>
                    <w14:schemeClr w14:val="tx1"/>
                  </w14:solidFill>
                </w14:textFill>
              </w:rPr>
              <w:t>项目VOCs收集率可达80%以上，经废气处理设施处理后可达标排放。</w:t>
            </w:r>
            <w:r>
              <w:rPr>
                <w:rFonts w:hint="eastAsia"/>
                <w:color w:val="000000" w:themeColor="text1"/>
                <w:highlight w:val="none"/>
                <w:lang w:val="en-US" w:eastAsia="zh-CN"/>
                <w14:textFill>
                  <w14:solidFill>
                    <w14:schemeClr w14:val="tx1"/>
                  </w14:solidFill>
                </w14:textFill>
              </w:rPr>
              <w:t>因此，</w:t>
            </w:r>
            <w:r>
              <w:rPr>
                <w:rFonts w:hint="default"/>
                <w:color w:val="000000" w:themeColor="text1"/>
                <w:highlight w:val="none"/>
                <w:lang w:val="en-US"/>
                <w14:textFill>
                  <w14:solidFill>
                    <w14:schemeClr w14:val="tx1"/>
                  </w14:solidFill>
                </w14:textFill>
              </w:rPr>
              <w:t>项目建设符合《三明市经济开发区贡川园扩区总体规划》、规划环评及其审查意见。</w:t>
            </w:r>
          </w:p>
        </w:tc>
      </w:tr>
      <w:tr w14:paraId="02527A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pct"/>
            <w:noWrap w:val="0"/>
            <w:vAlign w:val="center"/>
          </w:tcPr>
          <w:p w14:paraId="4F77F21D">
            <w:pPr>
              <w:keepLines w:val="0"/>
              <w:pageBreakBefore w:val="0"/>
              <w:widowControl w:val="0"/>
              <w:kinsoku/>
              <w:wordWrap/>
              <w:topLinePunct w:val="0"/>
              <w:autoSpaceDE w:val="0"/>
              <w:autoSpaceDN w:val="0"/>
              <w:bidi w:val="0"/>
              <w:adjustRightInd/>
              <w:snapToGrid/>
              <w:spacing w:line="360" w:lineRule="auto"/>
              <w:ind w:firstLine="0" w:firstLineChars="0"/>
              <w:jc w:val="center"/>
              <w:textAlignment w:val="auto"/>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其他符合性分析</w:t>
            </w:r>
          </w:p>
        </w:tc>
        <w:tc>
          <w:tcPr>
            <w:tcW w:w="4258" w:type="pct"/>
            <w:gridSpan w:val="5"/>
            <w:noWrap w:val="0"/>
            <w:vAlign w:val="center"/>
          </w:tcPr>
          <w:p w14:paraId="7BA6CC31">
            <w:pPr>
              <w:pStyle w:val="2"/>
              <w:bidi w:val="0"/>
              <w:rPr>
                <w:rFonts w:hint="default" w:ascii="Times New Roman" w:hAnsi="Times New Roman" w:cs="Times New Roman"/>
                <w:color w:val="000000" w:themeColor="text1"/>
                <w:highlight w:val="none"/>
                <w14:textFill>
                  <w14:solidFill>
                    <w14:schemeClr w14:val="tx1"/>
                  </w14:solidFill>
                </w14:textFill>
              </w:rPr>
            </w:pPr>
            <w:bookmarkStart w:id="33" w:name="_Toc6689"/>
            <w:bookmarkStart w:id="34" w:name="_Toc1133"/>
            <w:bookmarkStart w:id="35" w:name="_Toc23537"/>
            <w:bookmarkStart w:id="36" w:name="_Toc4612"/>
            <w:bookmarkStart w:id="37" w:name="_Toc4762"/>
            <w:bookmarkStart w:id="38" w:name="_Toc31321"/>
            <w:r>
              <w:rPr>
                <w:rFonts w:hint="eastAsia" w:ascii="Times New Roman" w:hAnsi="Times New Roman" w:cs="Times New Roman"/>
                <w:color w:val="000000" w:themeColor="text1"/>
                <w:highlight w:val="none"/>
                <w:lang w:val="en-US" w:eastAsia="zh-CN"/>
                <w14:textFill>
                  <w14:solidFill>
                    <w14:schemeClr w14:val="tx1"/>
                  </w14:solidFill>
                </w14:textFill>
              </w:rPr>
              <w:t>生态环境分区管控要求</w:t>
            </w:r>
            <w:r>
              <w:rPr>
                <w:rFonts w:hint="default" w:ascii="Times New Roman" w:hAnsi="Times New Roman" w:cs="Times New Roman"/>
                <w:color w:val="000000" w:themeColor="text1"/>
                <w:highlight w:val="none"/>
                <w14:textFill>
                  <w14:solidFill>
                    <w14:schemeClr w14:val="tx1"/>
                  </w14:solidFill>
                </w14:textFill>
              </w:rPr>
              <w:t>符合性分析</w:t>
            </w:r>
            <w:bookmarkEnd w:id="33"/>
            <w:bookmarkEnd w:id="34"/>
            <w:bookmarkEnd w:id="35"/>
            <w:bookmarkEnd w:id="36"/>
            <w:bookmarkEnd w:id="37"/>
            <w:bookmarkEnd w:id="38"/>
          </w:p>
          <w:p w14:paraId="0049D4DC">
            <w:pPr>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对照</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三明市生态环境局关于发布三明市2023年生态环境分区管控动态更新成果的通知</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（明环规〔2024〕2号）中永安市生态环境准入清单，项目位于永安市贡川镇水东园区，属于“三明经济开发区贡川园</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永安市石墨和石墨烯产业园</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重点管控单元</w:t>
            </w: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环境管控单元</w:t>
            </w:r>
            <w:r>
              <w:rPr>
                <w:rFonts w:hint="eastAsia" w:ascii="Times New Roman" w:hAnsi="Times New Roman" w:cs="Times New Roman"/>
                <w:color w:val="000000" w:themeColor="text1"/>
                <w:highlight w:val="none"/>
                <w:lang w:val="en-US" w:eastAsia="zh-CN"/>
                <w14:textFill>
                  <w14:solidFill>
                    <w14:schemeClr w14:val="tx1"/>
                  </w14:solidFill>
                </w14:textFill>
              </w:rPr>
              <w:t>编码：</w:t>
            </w:r>
            <w:r>
              <w:rPr>
                <w:rFonts w:hint="default" w:ascii="Times New Roman" w:hAnsi="Times New Roman" w:cs="Times New Roman"/>
                <w:color w:val="000000" w:themeColor="text1"/>
                <w:highlight w:val="none"/>
                <w:lang w:val="en-US" w:eastAsia="zh-CN"/>
                <w14:textFill>
                  <w14:solidFill>
                    <w14:schemeClr w14:val="tx1"/>
                  </w14:solidFill>
                </w14:textFill>
              </w:rPr>
              <w:t>ZH35048120003</w:t>
            </w: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”，相关符合性分析如下</w:t>
            </w:r>
            <w:r>
              <w:rPr>
                <w:rFonts w:hint="eastAsia" w:ascii="Times New Roman" w:hAnsi="Times New Roman" w:cs="Times New Roman"/>
                <w:color w:val="000000" w:themeColor="text1"/>
                <w:highlight w:val="none"/>
                <w:lang w:val="en-US" w:eastAsia="zh-CN"/>
                <w14:textFill>
                  <w14:solidFill>
                    <w14:schemeClr w14:val="tx1"/>
                  </w14:solidFill>
                </w14:textFill>
              </w:rPr>
              <w:t>：</w:t>
            </w:r>
          </w:p>
          <w:p w14:paraId="6D6203CE">
            <w:pPr>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lang w:val="en-US" w:eastAsia="zh-CN"/>
                <w14:textFill>
                  <w14:solidFill>
                    <w14:schemeClr w14:val="tx1"/>
                  </w14:solidFill>
                </w14:textFill>
              </w:rPr>
              <w:t>生态</w:t>
            </w:r>
            <w:r>
              <w:rPr>
                <w:rFonts w:hint="eastAsia" w:ascii="Times New Roman" w:hAnsi="Times New Roman" w:cs="Times New Roman"/>
                <w:color w:val="000000" w:themeColor="text1"/>
                <w:highlight w:val="none"/>
                <w:lang w:val="en-US" w:eastAsia="zh-CN"/>
                <w14:textFill>
                  <w14:solidFill>
                    <w14:schemeClr w14:val="tx1"/>
                  </w14:solidFill>
                </w14:textFill>
              </w:rPr>
              <w:t>保护</w:t>
            </w:r>
            <w:r>
              <w:rPr>
                <w:rFonts w:hint="default" w:ascii="Times New Roman" w:hAnsi="Times New Roman" w:cs="Times New Roman"/>
                <w:color w:val="000000" w:themeColor="text1"/>
                <w:highlight w:val="none"/>
                <w:lang w:val="en-US" w:eastAsia="zh-CN"/>
                <w14:textFill>
                  <w14:solidFill>
                    <w14:schemeClr w14:val="tx1"/>
                  </w14:solidFill>
                </w14:textFill>
              </w:rPr>
              <w:t>红线</w:t>
            </w:r>
          </w:p>
          <w:p w14:paraId="4002A4BA">
            <w:pPr>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根据三明市“三线一单”，三明市生态空间</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生态保护红线+一般生态空间</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总面积为11873.73</w:t>
            </w:r>
            <w:r>
              <w:rPr>
                <w:rFonts w:hint="eastAsia" w:ascii="Times New Roman" w:hAnsi="Times New Roman" w:cs="Times New Roman"/>
                <w:color w:val="000000" w:themeColor="text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highlight w:val="none"/>
                <w:lang w:val="en-US" w:eastAsia="zh-CN"/>
                <w14:textFill>
                  <w14:solidFill>
                    <w14:schemeClr w14:val="tx1"/>
                  </w14:solidFill>
                </w14:textFill>
              </w:rPr>
              <w:t>km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，占全市国土面积的51.61%。其中，生态保护红线面积6557.50</w:t>
            </w:r>
            <w:r>
              <w:rPr>
                <w:rFonts w:hint="eastAsia" w:ascii="Times New Roman" w:hAnsi="Times New Roman" w:cs="Times New Roman"/>
                <w:color w:val="000000" w:themeColor="text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highlight w:val="none"/>
                <w:lang w:val="en-US" w:eastAsia="zh-CN"/>
                <w14:textFill>
                  <w14:solidFill>
                    <w14:schemeClr w14:val="tx1"/>
                  </w14:solidFill>
                </w14:textFill>
              </w:rPr>
              <w:t>km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，占全市国土面积约28.50%</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一般生态空间划定面积为5316.23</w:t>
            </w:r>
            <w:r>
              <w:rPr>
                <w:rFonts w:hint="eastAsia" w:ascii="Times New Roman" w:hAnsi="Times New Roman" w:cs="Times New Roman"/>
                <w:color w:val="000000" w:themeColor="text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highlight w:val="none"/>
                <w:lang w:val="en-US" w:eastAsia="zh-CN"/>
                <w14:textFill>
                  <w14:solidFill>
                    <w14:schemeClr w14:val="tx1"/>
                  </w14:solidFill>
                </w14:textFill>
              </w:rPr>
              <w:t>km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，占全市陆域国土面积的23.11%。</w:t>
            </w:r>
          </w:p>
          <w:p w14:paraId="5041D2D6">
            <w:pPr>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永安市的生态空间</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生态保护红线和一般生态空间</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总面积为1692.47</w:t>
            </w:r>
            <w:r>
              <w:rPr>
                <w:rFonts w:hint="eastAsia" w:ascii="Times New Roman" w:hAnsi="Times New Roman" w:cs="Times New Roman"/>
                <w:color w:val="000000" w:themeColor="text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highlight w:val="none"/>
                <w:lang w:val="en-US" w:eastAsia="zh-CN"/>
                <w14:textFill>
                  <w14:solidFill>
                    <w14:schemeClr w14:val="tx1"/>
                  </w14:solidFill>
                </w14:textFill>
              </w:rPr>
              <w:t>km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，占全市陆域国土面积的58.39%</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其中永安市的生态保护红线划定面积为769.62</w:t>
            </w:r>
            <w:r>
              <w:rPr>
                <w:rFonts w:hint="eastAsia" w:ascii="Times New Roman" w:hAnsi="Times New Roman" w:cs="Times New Roman"/>
                <w:color w:val="000000" w:themeColor="text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highlight w:val="none"/>
                <w:lang w:val="en-US" w:eastAsia="zh-CN"/>
                <w14:textFill>
                  <w14:solidFill>
                    <w14:schemeClr w14:val="tx1"/>
                  </w14:solidFill>
                </w14:textFill>
              </w:rPr>
              <w:t>km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，占全市陆域国土面积的26.21%，其功能为水源涵养</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永安市的一般生态空间面积922.85km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，占陆域国土面积的31.43%。本项目位于永安市贡川水东工业园，不在自然保护区、风景名胜区、饮用水源保护</w:t>
            </w:r>
            <w:r>
              <w:rPr>
                <w:rFonts w:hint="eastAsia" w:cs="Times New Roman"/>
                <w:color w:val="000000" w:themeColor="text1"/>
                <w:highlight w:val="none"/>
                <w:lang w:val="en-US" w:eastAsia="zh-CN"/>
                <w14:textFill>
                  <w14:solidFill>
                    <w14:schemeClr w14:val="tx1"/>
                  </w14:solidFill>
                </w14:textFill>
              </w:rPr>
              <w:t>区</w:t>
            </w:r>
            <w:r>
              <w:rPr>
                <w:rFonts w:hint="default" w:ascii="Times New Roman" w:hAnsi="Times New Roman" w:cs="Times New Roman"/>
                <w:color w:val="000000" w:themeColor="text1"/>
                <w:highlight w:val="none"/>
                <w:lang w:val="en-US" w:eastAsia="zh-CN"/>
                <w14:textFill>
                  <w14:solidFill>
                    <w14:schemeClr w14:val="tx1"/>
                  </w14:solidFill>
                </w14:textFill>
              </w:rPr>
              <w:t>和其他需要特别保护等法律法规禁止开发建设的区域。因此，项目建设符合生态红线控制要求。</w:t>
            </w:r>
          </w:p>
          <w:p w14:paraId="3898CB88">
            <w:pPr>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环境质量底线</w:t>
            </w:r>
          </w:p>
          <w:p w14:paraId="04409161">
            <w:pPr>
              <w:bidi w:val="0"/>
              <w:rPr>
                <w:rFonts w:hint="eastAsia"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项目所在区域的环境质量底线为</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大气环境质量目标为《环境空气质量标准》</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GB3095-2012</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及其修改单中二级标准</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地表水环境目标为《地表水环境质量标准》</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GB3838-2002</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中Ⅲ类水质标准</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声环境质量目标为《声环境质量标准》</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GB3096-2008</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3类区标准</w:t>
            </w:r>
            <w:r>
              <w:rPr>
                <w:rFonts w:hint="eastAsia" w:ascii="Times New Roman" w:hAnsi="Times New Roman" w:cs="Times New Roman"/>
                <w:color w:val="000000" w:themeColor="text1"/>
                <w:highlight w:val="none"/>
                <w:lang w:val="en-US" w:eastAsia="zh-CN"/>
                <w14:textFill>
                  <w14:solidFill>
                    <w14:schemeClr w14:val="tx1"/>
                  </w14:solidFill>
                </w14:textFill>
              </w:rPr>
              <w:t>。根据项目所在地环境质量现状调查和污染排放影响预测可知，本项目运营后对区域内环境影响较小，环境质量可以保持现有水平，不会对区域环境质量底线造成冲击。</w:t>
            </w:r>
          </w:p>
          <w:p w14:paraId="47F2D5D7">
            <w:pPr>
              <w:bidi w:val="0"/>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①水环境质量底线</w:t>
            </w:r>
          </w:p>
          <w:p w14:paraId="0984D912">
            <w:pPr>
              <w:bidi w:val="0"/>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项目所在区域属于三明市生态环境分区管控动态更新结果中划定的水环境一般管控区。</w:t>
            </w:r>
          </w:p>
          <w:p w14:paraId="46B78D16">
            <w:pPr>
              <w:bidi w:val="0"/>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水环境一般管控区要维护地区水质和水生态现状的底线，推动区域水质整体巩固提升，具体而言，水环境一般管控区以维持区域水质和水生态现状为基本目标，限制新建、扩建污染严重工业项目，引导工业企业向工业园区集聚发展。落实普适性治理要求，确保污染达标排放。</w:t>
            </w:r>
          </w:p>
          <w:p w14:paraId="4A7711F8">
            <w:pPr>
              <w:bidi w:val="0"/>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本项目主要从事</w:t>
            </w:r>
            <w:r>
              <w:rPr>
                <w:rFonts w:hint="eastAsia"/>
                <w:color w:val="000000" w:themeColor="text1"/>
                <w:highlight w:val="none"/>
                <w:lang w:val="en-US" w:eastAsia="zh-CN"/>
                <w14:textFill>
                  <w14:solidFill>
                    <w14:schemeClr w14:val="tx1"/>
                  </w14:solidFill>
                </w14:textFill>
              </w:rPr>
              <w:t>单壁碳纳米管和硅碳负极材料生产</w:t>
            </w:r>
            <w:r>
              <w:rPr>
                <w:rFonts w:hint="eastAsia" w:ascii="Times New Roman" w:hAnsi="Times New Roman" w:cs="Times New Roman"/>
                <w:color w:val="000000" w:themeColor="text1"/>
                <w:highlight w:val="none"/>
                <w:lang w:val="en-US" w:eastAsia="zh-CN"/>
                <w14:textFill>
                  <w14:solidFill>
                    <w14:schemeClr w14:val="tx1"/>
                  </w14:solidFill>
                </w14:textFill>
              </w:rPr>
              <w:t>，项目无生产废水外排，生活污水经化粪池处理后通过市政污水管网排入</w:t>
            </w:r>
            <w:r>
              <w:rPr>
                <w:rFonts w:hint="eastAsia" w:cs="Times New Roman"/>
                <w:color w:val="000000" w:themeColor="text1"/>
                <w:sz w:val="24"/>
                <w:szCs w:val="24"/>
                <w:highlight w:val="none"/>
                <w:lang w:val="en-US" w:eastAsia="zh-CN"/>
                <w14:textFill>
                  <w14:solidFill>
                    <w14:schemeClr w14:val="tx1"/>
                  </w14:solidFill>
                </w14:textFill>
              </w:rPr>
              <w:t>永安市贡川产业园水东工业集中区污水处理厂深度处理</w:t>
            </w:r>
            <w:r>
              <w:rPr>
                <w:rFonts w:hint="eastAsia" w:ascii="Times New Roman" w:hAnsi="Times New Roman" w:cs="Times New Roman"/>
                <w:color w:val="000000" w:themeColor="text1"/>
                <w:highlight w:val="none"/>
                <w:lang w:val="en-US" w:eastAsia="zh-CN"/>
                <w14:textFill>
                  <w14:solidFill>
                    <w14:schemeClr w14:val="tx1"/>
                  </w14:solidFill>
                </w14:textFill>
              </w:rPr>
              <w:t>，与水环境一般管控区管控要求不冲突。</w:t>
            </w:r>
          </w:p>
          <w:p w14:paraId="33C71B93">
            <w:pPr>
              <w:bidi w:val="0"/>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②大气环境质量底线</w:t>
            </w:r>
          </w:p>
          <w:p w14:paraId="6E1096E0">
            <w:pPr>
              <w:bidi w:val="0"/>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根据三明市生态环境分区管控动态更新结果，项目所在地为大气环境管控分区中的一般管控区。大气一般管控区以乡镇生活空间、农业空间为主，人口密度相对低于受体敏感区。其管控要求以产业转型、污染减排为主。从产业准入要求来看，不宜大规模进行工业项目的开发建设。</w:t>
            </w:r>
          </w:p>
          <w:p w14:paraId="015762E0">
            <w:pPr>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本项目位于永安市贡川水东工业园，项目主要从事</w:t>
            </w:r>
            <w:r>
              <w:rPr>
                <w:rFonts w:hint="eastAsia"/>
                <w:color w:val="000000" w:themeColor="text1"/>
                <w:highlight w:val="none"/>
                <w:lang w:val="en-US" w:eastAsia="zh-CN"/>
                <w14:textFill>
                  <w14:solidFill>
                    <w14:schemeClr w14:val="tx1"/>
                  </w14:solidFill>
                </w14:textFill>
              </w:rPr>
              <w:t>单壁碳纳米管和硅碳负极材料生产，不属于大规模建设的开发建设项目；</w:t>
            </w:r>
            <w:r>
              <w:rPr>
                <w:rFonts w:hint="eastAsia" w:ascii="Times New Roman" w:hAnsi="Times New Roman" w:cs="Times New Roman"/>
                <w:color w:val="000000" w:themeColor="text1"/>
                <w:highlight w:val="none"/>
                <w:lang w:val="en-US" w:eastAsia="zh-CN"/>
                <w14:textFill>
                  <w14:solidFill>
                    <w14:schemeClr w14:val="tx1"/>
                  </w14:solidFill>
                </w14:textFill>
              </w:rPr>
              <w:t>生产废气经处理后达标排放，与大气环境一般管控区管控要求不冲突。</w:t>
            </w:r>
          </w:p>
          <w:p w14:paraId="36BEB27C">
            <w:pPr>
              <w:bidi w:val="0"/>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③土壤环境质量底线</w:t>
            </w:r>
          </w:p>
          <w:p w14:paraId="2A27F891">
            <w:pPr>
              <w:bidi w:val="0"/>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三明市土壤环境风险管控分区为：农用地优先保护区面积为1406.07 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2</w:t>
            </w:r>
            <w:r>
              <w:rPr>
                <w:rFonts w:hint="eastAsia" w:ascii="Times New Roman" w:hAnsi="Times New Roman" w:cs="Times New Roman"/>
                <w:color w:val="000000" w:themeColor="text1"/>
                <w:highlight w:val="none"/>
                <w:lang w:val="en-US" w:eastAsia="zh-CN"/>
                <w14:textFill>
                  <w14:solidFill>
                    <w14:schemeClr w14:val="tx1"/>
                  </w14:solidFill>
                </w14:textFill>
              </w:rPr>
              <w:t>，占比6.12%；建设用地重点管控区面积为341.61 km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2</w:t>
            </w:r>
            <w:r>
              <w:rPr>
                <w:rFonts w:hint="eastAsia" w:ascii="Times New Roman" w:hAnsi="Times New Roman" w:cs="Times New Roman"/>
                <w:color w:val="000000" w:themeColor="text1"/>
                <w:highlight w:val="none"/>
                <w:lang w:val="en-US" w:eastAsia="zh-CN"/>
                <w14:textFill>
                  <w14:solidFill>
                    <w14:schemeClr w14:val="tx1"/>
                  </w14:solidFill>
                </w14:textFill>
              </w:rPr>
              <w:t>，占比1.49%；其他重点管控区面积为5523.19km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2</w:t>
            </w:r>
            <w:r>
              <w:rPr>
                <w:rFonts w:hint="eastAsia" w:ascii="Times New Roman" w:hAnsi="Times New Roman" w:cs="Times New Roman"/>
                <w:color w:val="000000" w:themeColor="text1"/>
                <w:highlight w:val="none"/>
                <w:lang w:val="en-US" w:eastAsia="zh-CN"/>
                <w14:textFill>
                  <w14:solidFill>
                    <w14:schemeClr w14:val="tx1"/>
                  </w14:solidFill>
                </w14:textFill>
              </w:rPr>
              <w:t>，占比24.05%；一般管控区面积为15693.90 km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2</w:t>
            </w:r>
            <w:r>
              <w:rPr>
                <w:rFonts w:hint="eastAsia" w:ascii="Times New Roman" w:hAnsi="Times New Roman" w:cs="Times New Roman"/>
                <w:color w:val="000000" w:themeColor="text1"/>
                <w:highlight w:val="none"/>
                <w:lang w:val="en-US" w:eastAsia="zh-CN"/>
                <w14:textFill>
                  <w14:solidFill>
                    <w14:schemeClr w14:val="tx1"/>
                  </w14:solidFill>
                </w14:textFill>
              </w:rPr>
              <w:t>，占比68.34%。</w:t>
            </w:r>
          </w:p>
          <w:p w14:paraId="7FD10508">
            <w:pPr>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项目位于土壤环境风险一般管控区。土壤环境风险一般管控区要求严格空间布局约束，加强土壤污染风险管控；禁止在居民区、学校、医院疗养院、养老院等单位周边新建、改建、扩建可能造成土壤污染的建设项目。加强未利用地开发管理，禁止向未利用地非法排放有毒有害物质等行为。矿山等矿产资源开采活动中，禁止实施影响周边未利用地的土壤生态环境的行为。</w:t>
            </w:r>
          </w:p>
          <w:p w14:paraId="4F0CD8C7">
            <w:pPr>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本项目用地为工业用地，符合三明市土壤环境风险一般管控区要求。</w:t>
            </w:r>
          </w:p>
          <w:p w14:paraId="0B1473F7">
            <w:pPr>
              <w:bidi w:val="0"/>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lang w:val="en-US" w:eastAsia="zh-CN"/>
                <w14:textFill>
                  <w14:solidFill>
                    <w14:schemeClr w14:val="tx1"/>
                  </w14:solidFill>
                </w14:textFill>
              </w:rPr>
              <w:t>资源利用上线</w:t>
            </w:r>
          </w:p>
          <w:p w14:paraId="6A8C5C71">
            <w:pPr>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①水资源利用上线</w:t>
            </w:r>
          </w:p>
          <w:p w14:paraId="3AA41755">
            <w:pPr>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根据《三明市人民政府关于下达“十三五”期间水资源管理“三条红线”各地控制目标的通知》</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明政文〔</w:t>
            </w:r>
            <w:r>
              <w:rPr>
                <w:rFonts w:hint="eastAsia" w:ascii="Times New Roman" w:hAnsi="Times New Roman" w:cs="Times New Roman"/>
                <w:color w:val="000000" w:themeColor="text1"/>
                <w:highlight w:val="none"/>
                <w:lang w:val="en-US" w:eastAsia="zh-CN"/>
                <w14:textFill>
                  <w14:solidFill>
                    <w14:schemeClr w14:val="tx1"/>
                  </w14:solidFill>
                </w14:textFill>
              </w:rPr>
              <w:t>2017</w:t>
            </w:r>
            <w:r>
              <w:rPr>
                <w:rFonts w:hint="default" w:ascii="Times New Roman" w:hAnsi="Times New Roman" w:cs="Times New Roman"/>
                <w:color w:val="000000" w:themeColor="text1"/>
                <w:highlight w:val="none"/>
                <w:lang w:val="en-US" w:eastAsia="zh-CN"/>
                <w14:textFill>
                  <w14:solidFill>
                    <w14:schemeClr w14:val="tx1"/>
                  </w14:solidFill>
                </w14:textFill>
              </w:rPr>
              <w:t>〕32号</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，永安市的用水总量上线为3.</w:t>
            </w:r>
            <w:r>
              <w:rPr>
                <w:rFonts w:hint="eastAsia" w:ascii="Times New Roman" w:hAnsi="Times New Roman" w:cs="Times New Roman"/>
                <w:color w:val="000000" w:themeColor="text1"/>
                <w:highlight w:val="none"/>
                <w:lang w:val="en-US" w:eastAsia="zh-CN"/>
                <w14:textFill>
                  <w14:solidFill>
                    <w14:schemeClr w14:val="tx1"/>
                  </w14:solidFill>
                </w14:textFill>
              </w:rPr>
              <w:t>48</w:t>
            </w:r>
            <w:r>
              <w:rPr>
                <w:rFonts w:hint="default" w:ascii="Times New Roman" w:hAnsi="Times New Roman" w:cs="Times New Roman"/>
                <w:color w:val="000000" w:themeColor="text1"/>
                <w:highlight w:val="none"/>
                <w:lang w:val="en-US" w:eastAsia="zh-CN"/>
                <w14:textFill>
                  <w14:solidFill>
                    <w14:schemeClr w14:val="tx1"/>
                  </w14:solidFill>
                </w14:textFill>
              </w:rPr>
              <w:t>×10</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8</w:t>
            </w:r>
            <w:r>
              <w:rPr>
                <w:rFonts w:hint="eastAsia" w:ascii="Times New Roman" w:hAnsi="Times New Roman" w:cs="Times New Roman"/>
                <w:color w:val="000000" w:themeColor="text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highlight w:val="none"/>
                <w:lang w:val="en-US" w:eastAsia="zh-CN"/>
                <w14:textFill>
                  <w14:solidFill>
                    <w14:schemeClr w14:val="tx1"/>
                  </w14:solidFill>
                </w14:textFill>
              </w:rPr>
              <w:t>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a</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由于三明市生态需水及地下水评价均满足要求</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因此</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未划定水资源管控分区。</w:t>
            </w:r>
          </w:p>
          <w:p w14:paraId="05AB9335">
            <w:pPr>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本项目用水来源于市政给水，用水量少，与三明市水资源利用上线管控要求相符。</w:t>
            </w:r>
          </w:p>
          <w:p w14:paraId="78B0E21F">
            <w:pPr>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②土地资源利用上线</w:t>
            </w:r>
          </w:p>
          <w:p w14:paraId="0802F3A3">
            <w:pPr>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根据</w:t>
            </w:r>
            <w:r>
              <w:rPr>
                <w:rFonts w:hint="eastAsia" w:ascii="Times New Roman" w:hAnsi="Times New Roman" w:cs="Times New Roman"/>
                <w:color w:val="000000" w:themeColor="text1"/>
                <w:highlight w:val="none"/>
                <w:lang w:val="en-US" w:eastAsia="zh-CN"/>
                <w14:textFill>
                  <w14:solidFill>
                    <w14:schemeClr w14:val="tx1"/>
                  </w14:solidFill>
                </w14:textFill>
              </w:rPr>
              <w:t>三明市生态环境分区管控动态更新结果</w:t>
            </w:r>
            <w:r>
              <w:rPr>
                <w:rFonts w:hint="default" w:ascii="Times New Roman" w:hAnsi="Times New Roman" w:cs="Times New Roman"/>
                <w:color w:val="000000" w:themeColor="text1"/>
                <w:highlight w:val="none"/>
                <w:lang w:val="en-US" w:eastAsia="zh-CN"/>
                <w14:textFill>
                  <w14:solidFill>
                    <w14:schemeClr w14:val="tx1"/>
                  </w14:solidFill>
                </w14:textFill>
              </w:rPr>
              <w:t>，三明市土地资源重点管控区集中分布于富屯溪流域和沙溪流域生物多样性维护与水源涵养生态保护红线范围内。三明市土地资源重点管控区面积为535054.24</w:t>
            </w:r>
            <w:r>
              <w:rPr>
                <w:rFonts w:hint="eastAsia" w:ascii="Times New Roman" w:hAnsi="Times New Roman" w:cs="Times New Roman"/>
                <w:color w:val="000000" w:themeColor="text1"/>
                <w:highlight w:val="none"/>
                <w:lang w:val="en-US" w:eastAsia="zh-CN"/>
                <w14:textFill>
                  <w14:solidFill>
                    <w14:schemeClr w14:val="tx1"/>
                  </w14:solidFill>
                </w14:textFill>
              </w:rPr>
              <w:t>公顷</w:t>
            </w:r>
            <w:r>
              <w:rPr>
                <w:rFonts w:hint="default" w:ascii="Times New Roman" w:hAnsi="Times New Roman" w:cs="Times New Roman"/>
                <w:color w:val="000000" w:themeColor="text1"/>
                <w:highlight w:val="none"/>
                <w:lang w:val="en-US" w:eastAsia="zh-CN"/>
                <w14:textFill>
                  <w14:solidFill>
                    <w14:schemeClr w14:val="tx1"/>
                  </w14:solidFill>
                </w14:textFill>
              </w:rPr>
              <w:t>，占国土总面积的23.30%，其中永安市土地资源重点管控区面积为62493.95</w:t>
            </w:r>
            <w:r>
              <w:rPr>
                <w:rFonts w:hint="eastAsia" w:ascii="Times New Roman" w:hAnsi="Times New Roman" w:cs="Times New Roman"/>
                <w:color w:val="000000" w:themeColor="text1"/>
                <w:highlight w:val="none"/>
                <w:lang w:val="en-US" w:eastAsia="zh-CN"/>
                <w14:textFill>
                  <w14:solidFill>
                    <w14:schemeClr w14:val="tx1"/>
                  </w14:solidFill>
                </w14:textFill>
              </w:rPr>
              <w:t>公顷</w:t>
            </w:r>
            <w:r>
              <w:rPr>
                <w:rFonts w:hint="default" w:ascii="Times New Roman" w:hAnsi="Times New Roman" w:cs="Times New Roman"/>
                <w:color w:val="000000" w:themeColor="text1"/>
                <w:highlight w:val="none"/>
                <w:lang w:val="en-US" w:eastAsia="zh-CN"/>
                <w14:textFill>
                  <w14:solidFill>
                    <w14:schemeClr w14:val="tx1"/>
                  </w14:solidFill>
                </w14:textFill>
              </w:rPr>
              <w:t>，占全市国土总面积的21.32%。</w:t>
            </w:r>
          </w:p>
          <w:p w14:paraId="55877C8F">
            <w:pPr>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项目占地位于永安市贡川水东工业园内，符合一般管控区要求，不会突破土地资源利用上线。</w:t>
            </w:r>
          </w:p>
          <w:p w14:paraId="3F12B1A3">
            <w:pPr>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③能源资源利用上线</w:t>
            </w:r>
          </w:p>
          <w:p w14:paraId="6A891072">
            <w:pPr>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根据</w:t>
            </w:r>
            <w:r>
              <w:rPr>
                <w:rFonts w:hint="eastAsia" w:ascii="Times New Roman" w:hAnsi="Times New Roman" w:cs="Times New Roman"/>
                <w:color w:val="000000" w:themeColor="text1"/>
                <w:highlight w:val="none"/>
                <w:lang w:val="en-US" w:eastAsia="zh-CN"/>
                <w14:textFill>
                  <w14:solidFill>
                    <w14:schemeClr w14:val="tx1"/>
                  </w14:solidFill>
                </w14:textFill>
              </w:rPr>
              <w:t>三明市生态环境分区管控动态更新结果</w:t>
            </w:r>
            <w:r>
              <w:rPr>
                <w:rFonts w:hint="default" w:ascii="Times New Roman" w:hAnsi="Times New Roman" w:cs="Times New Roman"/>
                <w:color w:val="000000" w:themeColor="text1"/>
                <w:highlight w:val="none"/>
                <w:lang w:val="en-US" w:eastAsia="zh-CN"/>
                <w14:textFill>
                  <w14:solidFill>
                    <w14:schemeClr w14:val="tx1"/>
                  </w14:solidFill>
                </w14:textFill>
              </w:rPr>
              <w:t>，项目所在地不属于成果报告中划定的高污染燃料禁燃区，且项目主要使用电作能源，项目未涉及高污染燃料，项目与三明市能源资源利用上线要求相符。</w:t>
            </w:r>
          </w:p>
          <w:p w14:paraId="5B6CA2E9">
            <w:pPr>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生态</w:t>
            </w:r>
            <w:r>
              <w:rPr>
                <w:rFonts w:hint="default" w:ascii="Times New Roman" w:hAnsi="Times New Roman" w:cs="Times New Roman"/>
                <w:color w:val="000000" w:themeColor="text1"/>
                <w:highlight w:val="none"/>
                <w14:textFill>
                  <w14:solidFill>
                    <w14:schemeClr w14:val="tx1"/>
                  </w14:solidFill>
                </w14:textFill>
              </w:rPr>
              <w:t>环境准入清单</w:t>
            </w:r>
          </w:p>
          <w:p w14:paraId="490AA0FD">
            <w:pPr>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根据《</w:t>
            </w:r>
            <w:r>
              <w:rPr>
                <w:rFonts w:hint="eastAsia" w:ascii="Times New Roman" w:hAnsi="Times New Roman" w:cs="Times New Roman"/>
                <w:color w:val="000000" w:themeColor="text1"/>
                <w:highlight w:val="none"/>
                <w:lang w:val="en-US" w:eastAsia="zh-CN"/>
                <w14:textFill>
                  <w14:solidFill>
                    <w14:schemeClr w14:val="tx1"/>
                  </w14:solidFill>
                </w14:textFill>
              </w:rPr>
              <w:t>三明市生态环境局关于发布三明市2023年生态环境分区管控动态更新成果的通知</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（明环规〔2024〕2号）</w:t>
            </w:r>
            <w:r>
              <w:rPr>
                <w:rFonts w:hint="default" w:ascii="Times New Roman" w:hAnsi="Times New Roman" w:cs="Times New Roman"/>
                <w:color w:val="000000" w:themeColor="text1"/>
                <w:highlight w:val="none"/>
                <w:lang w:val="en-US" w:eastAsia="zh-CN"/>
                <w14:textFill>
                  <w14:solidFill>
                    <w14:schemeClr w14:val="tx1"/>
                  </w14:solidFill>
                </w14:textFill>
              </w:rPr>
              <w:t>中</w:t>
            </w:r>
            <w:r>
              <w:rPr>
                <w:rFonts w:hint="eastAsia" w:ascii="Times New Roman" w:hAnsi="Times New Roman" w:cs="Times New Roman"/>
                <w:color w:val="000000" w:themeColor="text1"/>
                <w:highlight w:val="none"/>
                <w:lang w:val="en-US" w:eastAsia="zh-CN"/>
                <w14:textFill>
                  <w14:solidFill>
                    <w14:schemeClr w14:val="tx1"/>
                  </w14:solidFill>
                </w14:textFill>
              </w:rPr>
              <w:t>三明市生态环境总体准入要求、三明市</w:t>
            </w:r>
            <w:r>
              <w:rPr>
                <w:rFonts w:hint="default" w:ascii="Times New Roman" w:hAnsi="Times New Roman" w:cs="Times New Roman"/>
                <w:color w:val="000000" w:themeColor="text1"/>
                <w:highlight w:val="none"/>
                <w:lang w:val="en-US" w:eastAsia="zh-CN"/>
                <w14:textFill>
                  <w14:solidFill>
                    <w14:schemeClr w14:val="tx1"/>
                  </w14:solidFill>
                </w14:textFill>
              </w:rPr>
              <w:t>永安市生态环境准入清单以及</w:t>
            </w:r>
            <w:r>
              <w:rPr>
                <w:rFonts w:hint="eastAsia"/>
                <w:color w:val="000000" w:themeColor="text1"/>
                <w:highlight w:val="none"/>
                <w:lang w:val="en-US" w:eastAsia="zh-CN"/>
                <w14:textFill>
                  <w14:solidFill>
                    <w14:schemeClr w14:val="tx1"/>
                  </w14:solidFill>
                </w14:textFill>
              </w:rPr>
              <w:t>生态环境分区管控综合查询报告</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查询报告详见附件</w:t>
            </w:r>
            <w:r>
              <w:rPr>
                <w:rFonts w:hint="eastAsia" w:ascii="Times New Roman" w:hAnsi="Times New Roman" w:cs="Times New Roman"/>
                <w:color w:val="000000" w:themeColor="text1"/>
                <w:highlight w:val="none"/>
                <w:lang w:val="en-US" w:eastAsia="zh-CN"/>
                <w14:textFill>
                  <w14:solidFill>
                    <w14:schemeClr w14:val="tx1"/>
                  </w14:solidFill>
                </w14:textFill>
              </w:rPr>
              <w:t>7）</w:t>
            </w:r>
            <w:r>
              <w:rPr>
                <w:rFonts w:hint="default" w:ascii="Times New Roman" w:hAnsi="Times New Roman" w:cs="Times New Roman"/>
                <w:color w:val="000000" w:themeColor="text1"/>
                <w:highlight w:val="none"/>
                <w:lang w:val="en-US" w:eastAsia="zh-CN"/>
                <w14:textFill>
                  <w14:solidFill>
                    <w14:schemeClr w14:val="tx1"/>
                  </w14:solidFill>
                </w14:textFill>
              </w:rPr>
              <w:t>，本项目所在地属于永安市重点管控单元，环境管控单元</w:t>
            </w:r>
            <w:r>
              <w:rPr>
                <w:rFonts w:hint="eastAsia" w:ascii="Times New Roman" w:hAnsi="Times New Roman" w:cs="Times New Roman"/>
                <w:color w:val="000000" w:themeColor="text1"/>
                <w:highlight w:val="none"/>
                <w:lang w:val="en-US" w:eastAsia="zh-CN"/>
                <w14:textFill>
                  <w14:solidFill>
                    <w14:schemeClr w14:val="tx1"/>
                  </w14:solidFill>
                </w14:textFill>
              </w:rPr>
              <w:t>编码：</w:t>
            </w:r>
            <w:r>
              <w:rPr>
                <w:rFonts w:hint="default" w:ascii="Times New Roman" w:hAnsi="Times New Roman" w:cs="Times New Roman"/>
                <w:color w:val="000000" w:themeColor="text1"/>
                <w:highlight w:val="none"/>
                <w:lang w:val="en-US" w:eastAsia="zh-CN"/>
                <w14:textFill>
                  <w14:solidFill>
                    <w14:schemeClr w14:val="tx1"/>
                  </w14:solidFill>
                </w14:textFill>
              </w:rPr>
              <w:t>ZH35048120003，项目租赁</w:t>
            </w:r>
            <w:r>
              <w:rPr>
                <w:rFonts w:hint="eastAsia"/>
                <w:color w:val="000000" w:themeColor="text1"/>
                <w:highlight w:val="none"/>
                <w:lang w:val="en-US" w:eastAsia="zh-CN"/>
                <w14:textFill>
                  <w14:solidFill>
                    <w14:schemeClr w14:val="tx1"/>
                  </w14:solidFill>
                </w14:textFill>
              </w:rPr>
              <w:t>福建中禾新材料有限公司建设的厂房、综合楼</w:t>
            </w:r>
            <w:r>
              <w:rPr>
                <w:rFonts w:hint="default" w:ascii="Times New Roman" w:hAnsi="Times New Roman" w:cs="Times New Roman"/>
                <w:color w:val="000000" w:themeColor="text1"/>
                <w:highlight w:val="none"/>
                <w:lang w:val="en-US" w:eastAsia="zh-CN"/>
                <w14:textFill>
                  <w14:solidFill>
                    <w14:schemeClr w14:val="tx1"/>
                  </w14:solidFill>
                </w14:textFill>
              </w:rPr>
              <w:t>，不涉及新增用地，厂址不占用永久基本农田，不砍伐防风固沙林和农田保护林。本项目符合重点管控区生态环境保护的基本要求，其管控要求符合性对照详见</w:t>
            </w:r>
            <w:r>
              <w:rPr>
                <w:rFonts w:hint="eastAsia" w:ascii="Times New Roman" w:hAnsi="Times New Roman" w:cs="Times New Roman"/>
                <w:color w:val="000000" w:themeColor="text1"/>
                <w:highlight w:val="none"/>
                <w:lang w:val="en-US" w:eastAsia="zh-CN"/>
                <w14:textFill>
                  <w14:solidFill>
                    <w14:schemeClr w14:val="tx1"/>
                  </w14:solidFill>
                </w14:textFill>
              </w:rPr>
              <w:fldChar w:fldCharType="begin"/>
            </w:r>
            <w:r>
              <w:rPr>
                <w:rFonts w:hint="eastAsia" w:ascii="Times New Roman" w:hAnsi="Times New Roman" w:cs="Times New Roman"/>
                <w:color w:val="000000" w:themeColor="text1"/>
                <w:highlight w:val="none"/>
                <w:lang w:val="en-US" w:eastAsia="zh-CN"/>
                <w14:textFill>
                  <w14:solidFill>
                    <w14:schemeClr w14:val="tx1"/>
                  </w14:solidFill>
                </w14:textFill>
              </w:rPr>
              <w:instrText xml:space="preserve"> REF _Ref11405 \n \h </w:instrText>
            </w:r>
            <w:r>
              <w:rPr>
                <w:rFonts w:hint="eastAsia" w:ascii="Times New Roman" w:hAnsi="Times New Roman" w:cs="Times New Roman"/>
                <w:color w:val="000000" w:themeColor="text1"/>
                <w:highlight w:val="none"/>
                <w:lang w:val="en-US" w:eastAsia="zh-CN"/>
                <w14:textFill>
                  <w14:solidFill>
                    <w14:schemeClr w14:val="tx1"/>
                  </w14:solidFill>
                </w14:textFill>
              </w:rPr>
              <w:fldChar w:fldCharType="separate"/>
            </w:r>
            <w:r>
              <w:rPr>
                <w:rFonts w:hint="eastAsia" w:ascii="Times New Roman" w:hAnsi="Times New Roman" w:cs="Times New Roman"/>
                <w:color w:val="000000" w:themeColor="text1"/>
                <w:highlight w:val="none"/>
                <w:lang w:val="en-US" w:eastAsia="zh-CN"/>
                <w14:textFill>
                  <w14:solidFill>
                    <w14:schemeClr w14:val="tx1"/>
                  </w14:solidFill>
                </w14:textFill>
              </w:rPr>
              <w:t>表1.3-1</w:t>
            </w:r>
            <w:r>
              <w:rPr>
                <w:rFonts w:hint="eastAsia" w:ascii="Times New Roman" w:hAnsi="Times New Roman" w:cs="Times New Roman"/>
                <w:color w:val="000000" w:themeColor="text1"/>
                <w:highlight w:val="none"/>
                <w:lang w:val="en-US" w:eastAsia="zh-CN"/>
                <w14:textFill>
                  <w14:solidFill>
                    <w14:schemeClr w14:val="tx1"/>
                  </w14:solidFill>
                </w14:textFill>
              </w:rPr>
              <w:fldChar w:fldCharType="end"/>
            </w:r>
            <w:r>
              <w:rPr>
                <w:rFonts w:hint="eastAsia" w:ascii="Times New Roman" w:hAnsi="Times New Roman" w:cs="Times New Roman"/>
                <w:color w:val="000000" w:themeColor="text1"/>
                <w:highlight w:val="none"/>
                <w:lang w:val="en-US" w:eastAsia="zh-CN"/>
                <w14:textFill>
                  <w14:solidFill>
                    <w14:schemeClr w14:val="tx1"/>
                  </w14:solidFill>
                </w14:textFill>
              </w:rPr>
              <w:t>和</w:t>
            </w:r>
            <w:r>
              <w:rPr>
                <w:rFonts w:hint="eastAsia" w:ascii="Times New Roman" w:hAnsi="Times New Roman" w:cs="Times New Roman"/>
                <w:color w:val="000000" w:themeColor="text1"/>
                <w:highlight w:val="none"/>
                <w:lang w:val="en-US" w:eastAsia="zh-CN"/>
                <w14:textFill>
                  <w14:solidFill>
                    <w14:schemeClr w14:val="tx1"/>
                  </w14:solidFill>
                </w14:textFill>
              </w:rPr>
              <w:fldChar w:fldCharType="begin"/>
            </w:r>
            <w:r>
              <w:rPr>
                <w:rFonts w:hint="eastAsia" w:ascii="Times New Roman" w:hAnsi="Times New Roman" w:cs="Times New Roman"/>
                <w:color w:val="000000" w:themeColor="text1"/>
                <w:highlight w:val="none"/>
                <w:lang w:val="en-US" w:eastAsia="zh-CN"/>
                <w14:textFill>
                  <w14:solidFill>
                    <w14:schemeClr w14:val="tx1"/>
                  </w14:solidFill>
                </w14:textFill>
              </w:rPr>
              <w:instrText xml:space="preserve"> REF _Ref6922 \n \h </w:instrText>
            </w:r>
            <w:r>
              <w:rPr>
                <w:rFonts w:hint="eastAsia" w:ascii="Times New Roman" w:hAnsi="Times New Roman" w:cs="Times New Roman"/>
                <w:color w:val="000000" w:themeColor="text1"/>
                <w:highlight w:val="none"/>
                <w:lang w:val="en-US" w:eastAsia="zh-CN"/>
                <w14:textFill>
                  <w14:solidFill>
                    <w14:schemeClr w14:val="tx1"/>
                  </w14:solidFill>
                </w14:textFill>
              </w:rPr>
              <w:fldChar w:fldCharType="separate"/>
            </w:r>
            <w:r>
              <w:rPr>
                <w:rFonts w:hint="eastAsia" w:ascii="Times New Roman" w:hAnsi="Times New Roman" w:cs="Times New Roman"/>
                <w:color w:val="000000" w:themeColor="text1"/>
                <w:highlight w:val="none"/>
                <w:lang w:val="en-US" w:eastAsia="zh-CN"/>
                <w14:textFill>
                  <w14:solidFill>
                    <w14:schemeClr w14:val="tx1"/>
                  </w14:solidFill>
                </w14:textFill>
              </w:rPr>
              <w:t>表1.3-2</w:t>
            </w:r>
            <w:r>
              <w:rPr>
                <w:rFonts w:hint="eastAsia" w:ascii="Times New Roman" w:hAnsi="Times New Roman" w:cs="Times New Roman"/>
                <w:color w:val="000000" w:themeColor="text1"/>
                <w:highlight w:val="none"/>
                <w:lang w:val="en-US" w:eastAsia="zh-CN"/>
                <w14:textFill>
                  <w14:solidFill>
                    <w14:schemeClr w14:val="tx1"/>
                  </w14:solidFill>
                </w14:textFill>
              </w:rPr>
              <w:fldChar w:fldCharType="end"/>
            </w:r>
            <w:r>
              <w:rPr>
                <w:rFonts w:hint="eastAsia" w:ascii="Times New Roman" w:hAnsi="Times New Roman" w:cs="Times New Roman"/>
                <w:color w:val="000000" w:themeColor="text1"/>
                <w:highlight w:val="none"/>
                <w:lang w:val="en-US" w:eastAsia="zh-CN"/>
                <w14:textFill>
                  <w14:solidFill>
                    <w14:schemeClr w14:val="tx1"/>
                  </w14:solidFill>
                </w14:textFill>
              </w:rPr>
              <w:t>。</w:t>
            </w:r>
          </w:p>
          <w:p w14:paraId="576565D6">
            <w:pPr>
              <w:pStyle w:val="30"/>
              <w:bidi w:val="0"/>
              <w:rPr>
                <w:rFonts w:hint="default"/>
                <w:color w:val="000000" w:themeColor="text1"/>
                <w:highlight w:val="none"/>
                <w14:textFill>
                  <w14:solidFill>
                    <w14:schemeClr w14:val="tx1"/>
                  </w14:solidFill>
                </w14:textFill>
              </w:rPr>
            </w:pPr>
            <w:bookmarkStart w:id="39" w:name="_Ref11405"/>
            <w:r>
              <w:rPr>
                <w:rFonts w:hint="eastAsia" w:ascii="Times New Roman" w:hAnsi="Times New Roman" w:cs="Times New Roman"/>
                <w:b/>
                <w:bCs/>
                <w:color w:val="000000" w:themeColor="text1"/>
                <w:highlight w:val="none"/>
                <w:lang w:val="en-US" w:eastAsia="zh-CN"/>
                <w14:textFill>
                  <w14:solidFill>
                    <w14:schemeClr w14:val="tx1"/>
                  </w14:solidFill>
                </w14:textFill>
              </w:rPr>
              <w:t>三明市生态环境总体准入要求</w:t>
            </w:r>
            <w:bookmarkEnd w:id="39"/>
          </w:p>
          <w:tbl>
            <w:tblPr>
              <w:tblStyle w:val="18"/>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6"/>
              <w:gridCol w:w="638"/>
              <w:gridCol w:w="3271"/>
              <w:gridCol w:w="1650"/>
              <w:gridCol w:w="762"/>
            </w:tblGrid>
            <w:tr w14:paraId="687E31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2" w:type="pct"/>
                  <w:tcBorders>
                    <w:tl2br w:val="nil"/>
                    <w:tr2bl w:val="nil"/>
                  </w:tcBorders>
                  <w:noWrap w:val="0"/>
                  <w:vAlign w:val="center"/>
                </w:tcPr>
                <w:p w14:paraId="328CEBAC">
                  <w:pPr>
                    <w:pStyle w:val="26"/>
                    <w:keepNext w:val="0"/>
                    <w:keepLines w:val="0"/>
                    <w:suppressLineNumbers w:val="0"/>
                    <w:bidi w:val="0"/>
                    <w:spacing w:before="0" w:beforeAutospacing="0" w:after="0" w:afterAutospacing="0"/>
                    <w:ind w:right="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适用范围</w:t>
                  </w:r>
                </w:p>
              </w:tc>
              <w:tc>
                <w:tcPr>
                  <w:tcW w:w="453" w:type="pct"/>
                  <w:tcBorders>
                    <w:tl2br w:val="nil"/>
                    <w:tr2bl w:val="nil"/>
                  </w:tcBorders>
                  <w:noWrap w:val="0"/>
                  <w:vAlign w:val="center"/>
                </w:tcPr>
                <w:p w14:paraId="38F9C71A">
                  <w:pPr>
                    <w:pStyle w:val="26"/>
                    <w:keepNext w:val="0"/>
                    <w:keepLines w:val="0"/>
                    <w:suppressLineNumbers w:val="0"/>
                    <w:bidi w:val="0"/>
                    <w:spacing w:before="0" w:beforeAutospacing="0" w:after="0" w:afterAutospacing="0"/>
                    <w:ind w:right="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维度</w:t>
                  </w:r>
                </w:p>
              </w:tc>
              <w:tc>
                <w:tcPr>
                  <w:tcW w:w="2327" w:type="pct"/>
                  <w:tcBorders>
                    <w:tl2br w:val="nil"/>
                    <w:tr2bl w:val="nil"/>
                  </w:tcBorders>
                  <w:noWrap w:val="0"/>
                  <w:vAlign w:val="center"/>
                </w:tcPr>
                <w:p w14:paraId="32A3C70C">
                  <w:pPr>
                    <w:pStyle w:val="26"/>
                    <w:keepNext w:val="0"/>
                    <w:keepLines w:val="0"/>
                    <w:suppressLineNumbers w:val="0"/>
                    <w:bidi w:val="0"/>
                    <w:spacing w:before="0" w:beforeAutospacing="0" w:after="0" w:afterAutospacing="0"/>
                    <w:ind w:right="0"/>
                    <w:jc w:val="center"/>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准入要求</w:t>
                  </w:r>
                </w:p>
              </w:tc>
              <w:tc>
                <w:tcPr>
                  <w:tcW w:w="1174" w:type="pct"/>
                  <w:tcBorders>
                    <w:tl2br w:val="nil"/>
                    <w:tr2bl w:val="nil"/>
                  </w:tcBorders>
                  <w:noWrap w:val="0"/>
                  <w:vAlign w:val="center"/>
                </w:tcPr>
                <w:p w14:paraId="6A3BBFF1">
                  <w:pPr>
                    <w:pStyle w:val="26"/>
                    <w:keepNext w:val="0"/>
                    <w:keepLines w:val="0"/>
                    <w:suppressLineNumbers w:val="0"/>
                    <w:bidi w:val="0"/>
                    <w:spacing w:before="0" w:beforeAutospacing="0" w:after="0" w:afterAutospacing="0"/>
                    <w:ind w:right="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本项目</w:t>
                  </w:r>
                </w:p>
              </w:tc>
              <w:tc>
                <w:tcPr>
                  <w:tcW w:w="542" w:type="pct"/>
                  <w:tcBorders>
                    <w:tl2br w:val="nil"/>
                    <w:tr2bl w:val="nil"/>
                  </w:tcBorders>
                  <w:noWrap w:val="0"/>
                  <w:vAlign w:val="center"/>
                </w:tcPr>
                <w:p w14:paraId="56C4E5FB">
                  <w:pPr>
                    <w:pStyle w:val="26"/>
                    <w:keepNext w:val="0"/>
                    <w:keepLines w:val="0"/>
                    <w:suppressLineNumbers w:val="0"/>
                    <w:bidi w:val="0"/>
                    <w:spacing w:before="0" w:beforeAutospacing="0" w:after="0" w:afterAutospacing="0"/>
                    <w:ind w:right="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符合性</w:t>
                  </w:r>
                </w:p>
              </w:tc>
            </w:tr>
            <w:tr w14:paraId="4E8960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2" w:type="pct"/>
                  <w:vMerge w:val="restart"/>
                  <w:tcBorders>
                    <w:tl2br w:val="nil"/>
                    <w:tr2bl w:val="nil"/>
                  </w:tcBorders>
                  <w:noWrap w:val="0"/>
                  <w:vAlign w:val="center"/>
                </w:tcPr>
                <w:p w14:paraId="4DFEBAAC">
                  <w:pPr>
                    <w:pStyle w:val="26"/>
                    <w:keepNext w:val="0"/>
                    <w:keepLines w:val="0"/>
                    <w:suppressLineNumbers w:val="0"/>
                    <w:bidi w:val="0"/>
                    <w:spacing w:before="0" w:beforeAutospacing="0" w:after="0" w:afterAutospacing="0"/>
                    <w:ind w:right="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全市</w:t>
                  </w:r>
                </w:p>
              </w:tc>
              <w:tc>
                <w:tcPr>
                  <w:tcW w:w="453" w:type="pct"/>
                  <w:tcBorders>
                    <w:tl2br w:val="nil"/>
                    <w:tr2bl w:val="nil"/>
                  </w:tcBorders>
                  <w:noWrap w:val="0"/>
                  <w:vAlign w:val="center"/>
                </w:tcPr>
                <w:p w14:paraId="5BC3142E">
                  <w:pPr>
                    <w:pStyle w:val="26"/>
                    <w:keepNext w:val="0"/>
                    <w:keepLines w:val="0"/>
                    <w:suppressLineNumbers w:val="0"/>
                    <w:bidi w:val="0"/>
                    <w:spacing w:before="0" w:beforeAutospacing="0" w:after="0" w:afterAutospacing="0"/>
                    <w:ind w:right="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空间布局约束</w:t>
                  </w:r>
                </w:p>
              </w:tc>
              <w:tc>
                <w:tcPr>
                  <w:tcW w:w="2327" w:type="pct"/>
                  <w:tcBorders>
                    <w:tl2br w:val="nil"/>
                    <w:tr2bl w:val="nil"/>
                  </w:tcBorders>
                  <w:noWrap w:val="0"/>
                  <w:vAlign w:val="center"/>
                </w:tcPr>
                <w:p w14:paraId="1680426E">
                  <w:pPr>
                    <w:pStyle w:val="26"/>
                    <w:keepNext w:val="0"/>
                    <w:keepLines w:val="0"/>
                    <w:suppressLineNumbers w:val="0"/>
                    <w:bidi w:val="0"/>
                    <w:spacing w:before="0" w:beforeAutospacing="0" w:after="0" w:afterAutospacing="0"/>
                    <w:ind w:right="0"/>
                    <w:jc w:val="both"/>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1</w:t>
                  </w: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氟化工产业应集中布局在三明市吉口、黄砂、明溪、清流等符合产业布局的园区，在上述园区之外不再新建氟化工项目，园区之外现有氟化工项目不再扩大规模</w:t>
                  </w: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除已通过省级认定的化工园区外，不再新增化工园区</w:t>
                  </w: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未通过认定的化工园区，不得新建、改扩建化工项目</w:t>
                  </w: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安全、环保、节能和智能化改造项目除外</w:t>
                  </w: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w:t>
                  </w:r>
                </w:p>
                <w:p w14:paraId="5F60D9EF">
                  <w:pPr>
                    <w:pStyle w:val="26"/>
                    <w:keepNext w:val="0"/>
                    <w:keepLines w:val="0"/>
                    <w:suppressLineNumbers w:val="0"/>
                    <w:bidi w:val="0"/>
                    <w:spacing w:before="0" w:beforeAutospacing="0" w:after="0" w:afterAutospacing="0"/>
                    <w:ind w:right="0"/>
                    <w:jc w:val="both"/>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2.全市流域范围禁止新、扩建制革项目，严格控制新建、扩建钢铁、水泥、平板玻璃、有色金属冶炼、化工、植物制浆、印染等项目。</w:t>
                  </w:r>
                </w:p>
                <w:p w14:paraId="72D99324">
                  <w:pPr>
                    <w:pStyle w:val="26"/>
                    <w:keepNext w:val="0"/>
                    <w:keepLines w:val="0"/>
                    <w:suppressLineNumbers w:val="0"/>
                    <w:bidi w:val="0"/>
                    <w:spacing w:before="0" w:beforeAutospacing="0" w:after="0" w:afterAutospacing="0"/>
                    <w:ind w:right="0"/>
                    <w:jc w:val="both"/>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3.2024年底前，全市范围原则上不再新增自备燃煤机组，支持自备燃煤机组实施清洁能源替代。全市范围不再新上每小时35蒸吨以下燃煤锅炉，以及每小时10蒸吨及以下燃生物质和其他使用高污染燃料的锅炉</w:t>
                  </w: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集中供热管网覆盖范围内禁止新建、扩建分散燃煤、燃油等供热锅炉。</w:t>
                  </w:r>
                </w:p>
                <w:p w14:paraId="26ECB890">
                  <w:pPr>
                    <w:pStyle w:val="26"/>
                    <w:keepNext w:val="0"/>
                    <w:keepLines w:val="0"/>
                    <w:suppressLineNumbers w:val="0"/>
                    <w:bidi w:val="0"/>
                    <w:spacing w:before="0" w:beforeAutospacing="0" w:after="0" w:afterAutospacing="0"/>
                    <w:ind w:right="0"/>
                    <w:jc w:val="both"/>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4.继续推进城市建成区现有印染、原料药制造、化工等污染较重企业有序搬迁改造或依法关闭。</w:t>
                  </w:r>
                </w:p>
                <w:p w14:paraId="40D40055">
                  <w:pPr>
                    <w:pStyle w:val="26"/>
                    <w:keepNext w:val="0"/>
                    <w:keepLines w:val="0"/>
                    <w:suppressLineNumbers w:val="0"/>
                    <w:bidi w:val="0"/>
                    <w:spacing w:before="0" w:beforeAutospacing="0" w:after="0" w:afterAutospacing="0"/>
                    <w:ind w:right="0"/>
                    <w:jc w:val="both"/>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5.以印染、皮革、农药、医药、涂料等行业为重点，推进有毒有害化学物质替代。化工园区新建项目实施“禁限控”化学物质管控措施，项目在开展环境影响评价时应严格落实相关要求，严格涉新污染物建设项目源头防控和准入管理。</w:t>
                  </w:r>
                </w:p>
                <w:p w14:paraId="2F569896">
                  <w:pPr>
                    <w:pStyle w:val="26"/>
                    <w:keepNext w:val="0"/>
                    <w:keepLines w:val="0"/>
                    <w:suppressLineNumbers w:val="0"/>
                    <w:bidi w:val="0"/>
                    <w:spacing w:before="0" w:beforeAutospacing="0" w:after="0" w:afterAutospacing="0"/>
                    <w:ind w:right="0"/>
                    <w:jc w:val="both"/>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6.涉及永久基本农田的管控区域，应按照《基本农田保护条例》</w:t>
                  </w: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2011年修正</w:t>
                  </w: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《福建省基本农田保护条例》</w:t>
                  </w: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2010年修正</w:t>
                  </w: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《国土资源部关于全面实行永久基本农田特殊保护的通知》</w:t>
                  </w: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国土资规〔2018〕1号</w:t>
                  </w: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《中共中央国务院关于加强耕地保护和改进占补平衡的意见》</w:t>
                  </w: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2017年1月9日</w:t>
                  </w: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等相关文件要求进行严格管理。</w:t>
                  </w:r>
                </w:p>
              </w:tc>
              <w:tc>
                <w:tcPr>
                  <w:tcW w:w="1174" w:type="pct"/>
                  <w:tcBorders>
                    <w:tl2br w:val="nil"/>
                    <w:tr2bl w:val="nil"/>
                  </w:tcBorders>
                  <w:noWrap w:val="0"/>
                  <w:vAlign w:val="center"/>
                </w:tcPr>
                <w:p w14:paraId="6C74B895">
                  <w:pPr>
                    <w:pStyle w:val="26"/>
                    <w:keepNext w:val="0"/>
                    <w:keepLines w:val="0"/>
                    <w:suppressLineNumbers w:val="0"/>
                    <w:bidi w:val="0"/>
                    <w:spacing w:before="0" w:beforeAutospacing="0" w:after="0" w:afterAutospacing="0"/>
                    <w:ind w:right="0"/>
                    <w:jc w:val="left"/>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w:t>
                  </w:r>
                  <w:r>
                    <w:rPr>
                      <w:color w:val="000000" w:themeColor="text1"/>
                      <w:highlight w:val="none"/>
                      <w:lang w:val="en-US" w:eastAsia="zh-CN" w:bidi="ar-SA"/>
                      <w14:textFill>
                        <w14:solidFill>
                          <w14:schemeClr w14:val="tx1"/>
                        </w14:solidFill>
                      </w14:textFill>
                    </w:rPr>
                    <w:t>项目</w:t>
                  </w:r>
                  <w:r>
                    <w:rPr>
                      <w:rFonts w:hint="eastAsia"/>
                      <w:color w:val="000000" w:themeColor="text1"/>
                      <w:highlight w:val="none"/>
                      <w:lang w:val="en-US" w:eastAsia="zh-CN" w:bidi="ar-SA"/>
                      <w14:textFill>
                        <w14:solidFill>
                          <w14:schemeClr w14:val="tx1"/>
                        </w14:solidFill>
                      </w14:textFill>
                    </w:rPr>
                    <w:t>不属于化工项目。</w:t>
                  </w:r>
                </w:p>
                <w:p w14:paraId="5EA48ACB">
                  <w:pPr>
                    <w:pStyle w:val="26"/>
                    <w:keepNext w:val="0"/>
                    <w:keepLines w:val="0"/>
                    <w:suppressLineNumbers w:val="0"/>
                    <w:bidi w:val="0"/>
                    <w:spacing w:before="0" w:beforeAutospacing="0" w:after="0" w:afterAutospacing="0"/>
                    <w:ind w:right="0"/>
                    <w:jc w:val="left"/>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2.项目不属于制革、钢铁、水泥、平板玻璃、有色金属冶炼、化工、植物制浆、印染等项目。</w:t>
                  </w:r>
                </w:p>
                <w:p w14:paraId="67CE1186">
                  <w:pPr>
                    <w:pStyle w:val="26"/>
                    <w:keepNext w:val="0"/>
                    <w:keepLines w:val="0"/>
                    <w:suppressLineNumbers w:val="0"/>
                    <w:bidi w:val="0"/>
                    <w:spacing w:before="0" w:beforeAutospacing="0" w:after="0" w:afterAutospacing="0"/>
                    <w:ind w:right="0"/>
                    <w:jc w:val="left"/>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3.</w:t>
                  </w:r>
                  <w:r>
                    <w:rPr>
                      <w:color w:val="000000" w:themeColor="text1"/>
                      <w:highlight w:val="none"/>
                      <w:lang w:val="en-US" w:eastAsia="zh-CN" w:bidi="ar-SA"/>
                      <w14:textFill>
                        <w14:solidFill>
                          <w14:schemeClr w14:val="tx1"/>
                        </w14:solidFill>
                      </w14:textFill>
                    </w:rPr>
                    <w:t>项目</w:t>
                  </w:r>
                  <w:r>
                    <w:rPr>
                      <w:rFonts w:hint="eastAsia"/>
                      <w:color w:val="000000" w:themeColor="text1"/>
                      <w:highlight w:val="none"/>
                      <w:lang w:val="en-US" w:eastAsia="zh-CN" w:bidi="ar-SA"/>
                      <w14:textFill>
                        <w14:solidFill>
                          <w14:schemeClr w14:val="tx1"/>
                        </w14:solidFill>
                      </w14:textFill>
                    </w:rPr>
                    <w:t>供热采用电加热，不涉及燃煤、燃油等供热锅炉。</w:t>
                  </w:r>
                </w:p>
                <w:p w14:paraId="0701A482">
                  <w:pPr>
                    <w:pStyle w:val="26"/>
                    <w:keepNext w:val="0"/>
                    <w:keepLines w:val="0"/>
                    <w:suppressLineNumbers w:val="0"/>
                    <w:bidi w:val="0"/>
                    <w:spacing w:before="0" w:beforeAutospacing="0" w:after="0" w:afterAutospacing="0"/>
                    <w:ind w:right="0"/>
                    <w:jc w:val="left"/>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4.本项目不属于印染、原料药制造、化工等企业。</w:t>
                  </w:r>
                </w:p>
                <w:p w14:paraId="4C06035B">
                  <w:pPr>
                    <w:pStyle w:val="26"/>
                    <w:keepNext w:val="0"/>
                    <w:keepLines w:val="0"/>
                    <w:suppressLineNumbers w:val="0"/>
                    <w:bidi w:val="0"/>
                    <w:spacing w:before="0" w:beforeAutospacing="0" w:after="0" w:afterAutospacing="0"/>
                    <w:ind w:right="0"/>
                    <w:jc w:val="left"/>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5.本项目不属于</w:t>
                  </w: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印染、皮革、农药、医药、涂料等行业</w:t>
                  </w:r>
                  <w:r>
                    <w:rPr>
                      <w:rFonts w:hint="eastAsia"/>
                      <w:color w:val="000000" w:themeColor="text1"/>
                      <w:highlight w:val="none"/>
                      <w:lang w:val="en-US" w:eastAsia="zh-CN" w:bidi="ar-SA"/>
                      <w14:textFill>
                        <w14:solidFill>
                          <w14:schemeClr w14:val="tx1"/>
                        </w14:solidFill>
                      </w14:textFill>
                    </w:rPr>
                    <w:t>。</w:t>
                  </w:r>
                </w:p>
                <w:p w14:paraId="46CA40D9">
                  <w:pPr>
                    <w:pStyle w:val="26"/>
                    <w:bidi w:val="0"/>
                    <w:jc w:val="left"/>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6.本项目位于</w:t>
                  </w:r>
                  <w:r>
                    <w:rPr>
                      <w:rFonts w:hint="default"/>
                      <w:color w:val="000000" w:themeColor="text1"/>
                      <w:highlight w:val="none"/>
                      <w:lang w:val="en-US" w:eastAsia="zh-CN" w:bidi="ar-SA"/>
                      <w14:textFill>
                        <w14:solidFill>
                          <w14:schemeClr w14:val="tx1"/>
                        </w14:solidFill>
                      </w14:textFill>
                    </w:rPr>
                    <w:t>永安市贡川水东工业园</w:t>
                  </w:r>
                  <w:r>
                    <w:rPr>
                      <w:rFonts w:hint="eastAsia"/>
                      <w:color w:val="000000" w:themeColor="text1"/>
                      <w:highlight w:val="none"/>
                      <w:lang w:val="en-US" w:eastAsia="zh-CN" w:bidi="ar-SA"/>
                      <w14:textFill>
                        <w14:solidFill>
                          <w14:schemeClr w14:val="tx1"/>
                        </w14:solidFill>
                      </w14:textFill>
                    </w:rPr>
                    <w:t>内，用地范围不涉及基本农田。</w:t>
                  </w:r>
                </w:p>
              </w:tc>
              <w:tc>
                <w:tcPr>
                  <w:tcW w:w="542" w:type="pct"/>
                  <w:tcBorders>
                    <w:tl2br w:val="nil"/>
                    <w:tr2bl w:val="nil"/>
                  </w:tcBorders>
                  <w:noWrap w:val="0"/>
                  <w:vAlign w:val="center"/>
                </w:tcPr>
                <w:p w14:paraId="65BB7020">
                  <w:pPr>
                    <w:pStyle w:val="26"/>
                    <w:keepNext w:val="0"/>
                    <w:keepLines w:val="0"/>
                    <w:suppressLineNumbers w:val="0"/>
                    <w:bidi w:val="0"/>
                    <w:spacing w:before="0" w:beforeAutospacing="0" w:after="0" w:afterAutospacing="0"/>
                    <w:ind w:right="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符合</w:t>
                  </w:r>
                </w:p>
              </w:tc>
            </w:tr>
            <w:tr w14:paraId="24DD14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2" w:type="pct"/>
                  <w:vMerge w:val="continue"/>
                  <w:tcBorders>
                    <w:tl2br w:val="nil"/>
                    <w:tr2bl w:val="nil"/>
                  </w:tcBorders>
                  <w:noWrap w:val="0"/>
                  <w:vAlign w:val="center"/>
                </w:tcPr>
                <w:p w14:paraId="64260C66">
                  <w:pPr>
                    <w:pStyle w:val="26"/>
                    <w:keepNext w:val="0"/>
                    <w:keepLines w:val="0"/>
                    <w:suppressLineNumbers w:val="0"/>
                    <w:bidi w:val="0"/>
                    <w:spacing w:before="0" w:beforeAutospacing="0" w:after="0" w:afterAutospacing="0"/>
                    <w:ind w:right="0"/>
                    <w:jc w:val="center"/>
                    <w:rPr>
                      <w:rFonts w:hint="default"/>
                      <w:color w:val="000000" w:themeColor="text1"/>
                      <w:highlight w:val="none"/>
                      <w:lang w:val="en-US" w:eastAsia="zh-CN" w:bidi="ar-SA"/>
                      <w14:textFill>
                        <w14:solidFill>
                          <w14:schemeClr w14:val="tx1"/>
                        </w14:solidFill>
                      </w14:textFill>
                    </w:rPr>
                  </w:pPr>
                </w:p>
              </w:tc>
              <w:tc>
                <w:tcPr>
                  <w:tcW w:w="453" w:type="pct"/>
                  <w:tcBorders>
                    <w:tl2br w:val="nil"/>
                    <w:tr2bl w:val="nil"/>
                  </w:tcBorders>
                  <w:noWrap w:val="0"/>
                  <w:vAlign w:val="center"/>
                </w:tcPr>
                <w:p w14:paraId="3DDCD3F9">
                  <w:pPr>
                    <w:pStyle w:val="26"/>
                    <w:keepNext w:val="0"/>
                    <w:keepLines w:val="0"/>
                    <w:suppressLineNumbers w:val="0"/>
                    <w:bidi w:val="0"/>
                    <w:spacing w:before="0" w:beforeAutospacing="0" w:after="0" w:afterAutospacing="0"/>
                    <w:ind w:right="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污染物排放管控</w:t>
                  </w:r>
                </w:p>
              </w:tc>
              <w:tc>
                <w:tcPr>
                  <w:tcW w:w="2327" w:type="pct"/>
                  <w:tcBorders>
                    <w:tl2br w:val="nil"/>
                    <w:tr2bl w:val="nil"/>
                  </w:tcBorders>
                  <w:noWrap w:val="0"/>
                  <w:vAlign w:val="center"/>
                </w:tcPr>
                <w:p w14:paraId="6AF5258D">
                  <w:pPr>
                    <w:pStyle w:val="26"/>
                    <w:keepNext w:val="0"/>
                    <w:keepLines w:val="0"/>
                    <w:suppressLineNumbers w:val="0"/>
                    <w:bidi w:val="0"/>
                    <w:spacing w:before="0" w:beforeAutospacing="0" w:after="0" w:afterAutospacing="0"/>
                    <w:ind w:right="0"/>
                    <w:jc w:val="left"/>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1.涉新增VOCs排放项目，VOCs排放实行区域内等量替代。</w:t>
                  </w:r>
                </w:p>
                <w:p w14:paraId="28EFDD0E">
                  <w:pPr>
                    <w:pStyle w:val="26"/>
                    <w:keepNext w:val="0"/>
                    <w:keepLines w:val="0"/>
                    <w:suppressLineNumbers w:val="0"/>
                    <w:bidi w:val="0"/>
                    <w:spacing w:before="0" w:beforeAutospacing="0" w:after="0" w:afterAutospacing="0"/>
                    <w:ind w:right="0"/>
                    <w:jc w:val="left"/>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2.加快推进钢铁、火电、水泥超低排放改造。有色项目应执行大气污染物特别排放限值；重点控制区新建化工项目应当执行大气污染物特别排放限值。</w:t>
                  </w:r>
                </w:p>
                <w:p w14:paraId="2A774375">
                  <w:pPr>
                    <w:pStyle w:val="26"/>
                    <w:keepNext w:val="0"/>
                    <w:keepLines w:val="0"/>
                    <w:suppressLineNumbers w:val="0"/>
                    <w:bidi w:val="0"/>
                    <w:spacing w:before="0" w:beforeAutospacing="0" w:after="0" w:afterAutospacing="0"/>
                    <w:ind w:right="0"/>
                    <w:jc w:val="left"/>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3.东牙溪水库、金湖汇水区域城镇污水处理设施全面达到一级A排放标准。氟化工、印染、电镀等行业应执行水污染物特别排放限值。</w:t>
                  </w:r>
                </w:p>
                <w:p w14:paraId="3F7DC6FB">
                  <w:pPr>
                    <w:pStyle w:val="26"/>
                    <w:keepNext w:val="0"/>
                    <w:keepLines w:val="0"/>
                    <w:suppressLineNumbers w:val="0"/>
                    <w:bidi w:val="0"/>
                    <w:spacing w:before="0" w:beforeAutospacing="0" w:after="0" w:afterAutospacing="0"/>
                    <w:ind w:right="0"/>
                    <w:jc w:val="left"/>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4.在三明市铅锌矿产资源开发活动集中区域（尤溪县、大田县）实行重点污染物特别排放限值。新、改扩建涉重金属重点行业建设项目必须遵循重点重金属污染物排放“减量置换”或“等量置换”的原则，原则上应在本区域内有明确具体的重金属污染物排放总量来源。</w:t>
                  </w:r>
                </w:p>
                <w:p w14:paraId="26DAD831">
                  <w:pPr>
                    <w:pStyle w:val="26"/>
                    <w:keepNext w:val="0"/>
                    <w:keepLines w:val="0"/>
                    <w:suppressLineNumbers w:val="0"/>
                    <w:bidi w:val="0"/>
                    <w:spacing w:before="0" w:beforeAutospacing="0" w:after="0" w:afterAutospacing="0"/>
                    <w:ind w:right="0"/>
                    <w:jc w:val="left"/>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5.加快推进省级以上工业园区“污水零直排区”建设和重点行业企业及重点产业园区明管化改造。涉及入驻园区的生产废水排放企业，应同步规划建设污水处理设施。</w:t>
                  </w:r>
                </w:p>
              </w:tc>
              <w:tc>
                <w:tcPr>
                  <w:tcW w:w="1174" w:type="pct"/>
                  <w:tcBorders>
                    <w:tl2br w:val="nil"/>
                    <w:tr2bl w:val="nil"/>
                  </w:tcBorders>
                  <w:noWrap w:val="0"/>
                  <w:vAlign w:val="center"/>
                </w:tcPr>
                <w:p w14:paraId="4034249D">
                  <w:pPr>
                    <w:pStyle w:val="26"/>
                    <w:bidi w:val="0"/>
                    <w:jc w:val="left"/>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1.项目VOCs排放由建设单位根据环评报告核算量作为总量控制建议指标，在报生态环境主管部门批准认可后，向生态环境主管部门申请总量调剂。</w:t>
                  </w:r>
                </w:p>
                <w:p w14:paraId="7B61863F">
                  <w:pPr>
                    <w:pStyle w:val="26"/>
                    <w:bidi w:val="0"/>
                    <w:jc w:val="left"/>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2.项目不属于钢铁、火电、水泥行业。</w:t>
                  </w:r>
                </w:p>
                <w:p w14:paraId="1FC29652">
                  <w:pPr>
                    <w:pStyle w:val="26"/>
                    <w:bidi w:val="0"/>
                    <w:jc w:val="left"/>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3.项目不属于氟化工、印染、电镀等行业。</w:t>
                  </w:r>
                </w:p>
                <w:p w14:paraId="0C04594B">
                  <w:pPr>
                    <w:pStyle w:val="26"/>
                    <w:bidi w:val="0"/>
                    <w:jc w:val="left"/>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4.项目位于永安市，不属于铅锌矿产资源开发利用，不涉及重金属排放。</w:t>
                  </w:r>
                </w:p>
                <w:p w14:paraId="60A9A7F1">
                  <w:pPr>
                    <w:pStyle w:val="26"/>
                    <w:bidi w:val="0"/>
                    <w:jc w:val="left"/>
                    <w:rPr>
                      <w:rFonts w:hint="default" w:ascii="Times New Roman" w:hAnsi="Times New Roman" w:eastAsia="宋体" w:cs="Times New Roman"/>
                      <w:color w:val="000000" w:themeColor="text1"/>
                      <w:szCs w:val="2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5.本项目位于</w:t>
                  </w:r>
                  <w:r>
                    <w:rPr>
                      <w:rFonts w:hint="default"/>
                      <w:color w:val="000000" w:themeColor="text1"/>
                      <w:highlight w:val="none"/>
                      <w:lang w:val="en-US" w:eastAsia="zh-CN" w:bidi="ar-SA"/>
                      <w14:textFill>
                        <w14:solidFill>
                          <w14:schemeClr w14:val="tx1"/>
                        </w14:solidFill>
                      </w14:textFill>
                    </w:rPr>
                    <w:t>永安市贡川水东工业园</w:t>
                  </w:r>
                  <w:r>
                    <w:rPr>
                      <w:rFonts w:hint="eastAsia"/>
                      <w:color w:val="000000" w:themeColor="text1"/>
                      <w:highlight w:val="none"/>
                      <w:lang w:val="en-US" w:eastAsia="zh-CN" w:bidi="ar-SA"/>
                      <w14:textFill>
                        <w14:solidFill>
                          <w14:schemeClr w14:val="tx1"/>
                        </w14:solidFill>
                      </w14:textFill>
                    </w:rPr>
                    <w:t>内，不涉及生产废水排放，生活污水经化粪池处理后接入园区污水管网，最终纳入永安市贡川产业园水东工业集中区污水处理厂深度处理。</w:t>
                  </w:r>
                </w:p>
              </w:tc>
              <w:tc>
                <w:tcPr>
                  <w:tcW w:w="542" w:type="pct"/>
                  <w:tcBorders>
                    <w:tl2br w:val="nil"/>
                    <w:tr2bl w:val="nil"/>
                  </w:tcBorders>
                  <w:noWrap w:val="0"/>
                  <w:vAlign w:val="center"/>
                </w:tcPr>
                <w:p w14:paraId="1BE48FEB">
                  <w:pPr>
                    <w:pStyle w:val="26"/>
                    <w:keepNext w:val="0"/>
                    <w:keepLines w:val="0"/>
                    <w:suppressLineNumbers w:val="0"/>
                    <w:bidi w:val="0"/>
                    <w:spacing w:before="0" w:beforeAutospacing="0" w:after="0" w:afterAutospacing="0"/>
                    <w:ind w:right="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符合</w:t>
                  </w:r>
                </w:p>
              </w:tc>
            </w:tr>
          </w:tbl>
          <w:p w14:paraId="2EA91046">
            <w:pPr>
              <w:pStyle w:val="30"/>
              <w:bidi w:val="0"/>
              <w:rPr>
                <w:rFonts w:hint="default"/>
                <w:color w:val="000000" w:themeColor="text1"/>
                <w:highlight w:val="none"/>
                <w:lang w:val="en-US" w:eastAsia="zh-CN"/>
                <w14:textFill>
                  <w14:solidFill>
                    <w14:schemeClr w14:val="tx1"/>
                  </w14:solidFill>
                </w14:textFill>
              </w:rPr>
            </w:pPr>
            <w:bookmarkStart w:id="40" w:name="_Ref6922"/>
            <w:r>
              <w:rPr>
                <w:rFonts w:hint="eastAsia"/>
                <w:color w:val="000000" w:themeColor="text1"/>
                <w:kern w:val="0"/>
                <w:szCs w:val="21"/>
                <w:highlight w:val="none"/>
                <w:lang w:val="en-US" w:eastAsia="zh-CN"/>
                <w14:textFill>
                  <w14:solidFill>
                    <w14:schemeClr w14:val="tx1"/>
                  </w14:solidFill>
                </w14:textFill>
              </w:rPr>
              <w:t>三明经济开发区贡川园（永安市石墨和石墨烯产业园）（</w:t>
            </w:r>
            <w:r>
              <w:rPr>
                <w:rFonts w:hint="default" w:ascii="Times New Roman" w:hAnsi="Times New Roman" w:cs="Times New Roman"/>
                <w:color w:val="000000" w:themeColor="text1"/>
                <w:highlight w:val="none"/>
                <w:lang w:val="en-US" w:eastAsia="zh-CN"/>
                <w14:textFill>
                  <w14:solidFill>
                    <w14:schemeClr w14:val="tx1"/>
                  </w14:solidFill>
                </w14:textFill>
              </w:rPr>
              <w:t>ZH35048120003</w:t>
            </w:r>
            <w:r>
              <w:rPr>
                <w:rFonts w:hint="eastAsia"/>
                <w:color w:val="000000" w:themeColor="text1"/>
                <w:kern w:val="0"/>
                <w:szCs w:val="21"/>
                <w:highlight w:val="none"/>
                <w:lang w:val="en-US" w:eastAsia="zh-CN"/>
                <w14:textFill>
                  <w14:solidFill>
                    <w14:schemeClr w14:val="tx1"/>
                  </w14:solidFill>
                </w14:textFill>
              </w:rPr>
              <w:t>）</w:t>
            </w:r>
            <w:r>
              <w:rPr>
                <w:rFonts w:hint="eastAsia" w:ascii="Times New Roman" w:hAnsi="Times New Roman" w:cs="Times New Roman"/>
                <w:b/>
                <w:bCs/>
                <w:color w:val="000000" w:themeColor="text1"/>
                <w:highlight w:val="none"/>
                <w:lang w:val="en-US" w:eastAsia="zh-CN"/>
                <w14:textFill>
                  <w14:solidFill>
                    <w14:schemeClr w14:val="tx1"/>
                  </w14:solidFill>
                </w14:textFill>
              </w:rPr>
              <w:t>准入要求</w:t>
            </w:r>
            <w:bookmarkEnd w:id="40"/>
          </w:p>
          <w:tbl>
            <w:tblPr>
              <w:tblStyle w:val="18"/>
              <w:tblW w:w="496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905"/>
              <w:gridCol w:w="697"/>
              <w:gridCol w:w="685"/>
              <w:gridCol w:w="1841"/>
              <w:gridCol w:w="1352"/>
              <w:gridCol w:w="413"/>
            </w:tblGrid>
            <w:tr w14:paraId="680CAC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5" w:type="pct"/>
                  <w:tcBorders>
                    <w:tl2br w:val="nil"/>
                    <w:tr2bl w:val="nil"/>
                  </w:tcBorders>
                  <w:noWrap w:val="0"/>
                  <w:vAlign w:val="center"/>
                </w:tcPr>
                <w:p w14:paraId="733BD50B">
                  <w:pPr>
                    <w:pStyle w:val="26"/>
                    <w:keepNext w:val="0"/>
                    <w:keepLines w:val="0"/>
                    <w:suppressLineNumbers w:val="0"/>
                    <w:bidi w:val="0"/>
                    <w:spacing w:before="0" w:beforeAutospacing="0" w:after="0" w:afterAutospacing="0"/>
                    <w:ind w:right="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环境管控单元编码</w:t>
                  </w:r>
                </w:p>
              </w:tc>
              <w:tc>
                <w:tcPr>
                  <w:tcW w:w="651" w:type="pct"/>
                  <w:tcBorders>
                    <w:tl2br w:val="nil"/>
                    <w:tr2bl w:val="nil"/>
                  </w:tcBorders>
                  <w:noWrap w:val="0"/>
                  <w:vAlign w:val="center"/>
                </w:tcPr>
                <w:p w14:paraId="358D6933">
                  <w:pPr>
                    <w:pStyle w:val="26"/>
                    <w:keepNext w:val="0"/>
                    <w:keepLines w:val="0"/>
                    <w:suppressLineNumbers w:val="0"/>
                    <w:bidi w:val="0"/>
                    <w:spacing w:before="0" w:beforeAutospacing="0" w:after="0" w:afterAutospacing="0"/>
                    <w:ind w:right="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环境管控单元名称</w:t>
                  </w:r>
                </w:p>
              </w:tc>
              <w:tc>
                <w:tcPr>
                  <w:tcW w:w="499" w:type="pct"/>
                  <w:tcBorders>
                    <w:tl2br w:val="nil"/>
                    <w:tr2bl w:val="nil"/>
                  </w:tcBorders>
                  <w:noWrap w:val="0"/>
                  <w:vAlign w:val="center"/>
                </w:tcPr>
                <w:p w14:paraId="2574A0B5">
                  <w:pPr>
                    <w:pStyle w:val="26"/>
                    <w:keepNext w:val="0"/>
                    <w:keepLines w:val="0"/>
                    <w:suppressLineNumbers w:val="0"/>
                    <w:bidi w:val="0"/>
                    <w:spacing w:before="0" w:beforeAutospacing="0" w:after="0" w:afterAutospacing="0"/>
                    <w:ind w:right="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管控单元类别</w:t>
                  </w:r>
                </w:p>
              </w:tc>
              <w:tc>
                <w:tcPr>
                  <w:tcW w:w="489" w:type="pct"/>
                  <w:tcBorders>
                    <w:tl2br w:val="nil"/>
                    <w:tr2bl w:val="nil"/>
                  </w:tcBorders>
                  <w:noWrap w:val="0"/>
                  <w:vAlign w:val="center"/>
                </w:tcPr>
                <w:p w14:paraId="1BA50054">
                  <w:pPr>
                    <w:pStyle w:val="26"/>
                    <w:keepNext w:val="0"/>
                    <w:keepLines w:val="0"/>
                    <w:suppressLineNumbers w:val="0"/>
                    <w:bidi w:val="0"/>
                    <w:spacing w:before="0" w:beforeAutospacing="0" w:after="0" w:afterAutospacing="0"/>
                    <w:ind w:right="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维度</w:t>
                  </w:r>
                </w:p>
              </w:tc>
              <w:tc>
                <w:tcPr>
                  <w:tcW w:w="1317" w:type="pct"/>
                  <w:tcBorders>
                    <w:tl2br w:val="nil"/>
                    <w:tr2bl w:val="nil"/>
                  </w:tcBorders>
                  <w:noWrap w:val="0"/>
                  <w:vAlign w:val="center"/>
                </w:tcPr>
                <w:p w14:paraId="24A6EF6A">
                  <w:pPr>
                    <w:pStyle w:val="26"/>
                    <w:keepNext w:val="0"/>
                    <w:keepLines w:val="0"/>
                    <w:suppressLineNumbers w:val="0"/>
                    <w:bidi w:val="0"/>
                    <w:spacing w:before="0" w:beforeAutospacing="0" w:after="0" w:afterAutospacing="0"/>
                    <w:ind w:right="0"/>
                    <w:jc w:val="center"/>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管控要求</w:t>
                  </w:r>
                </w:p>
              </w:tc>
              <w:tc>
                <w:tcPr>
                  <w:tcW w:w="966" w:type="pct"/>
                  <w:tcBorders>
                    <w:tl2br w:val="nil"/>
                    <w:tr2bl w:val="nil"/>
                  </w:tcBorders>
                  <w:noWrap w:val="0"/>
                  <w:vAlign w:val="center"/>
                </w:tcPr>
                <w:p w14:paraId="6263BD26">
                  <w:pPr>
                    <w:pStyle w:val="26"/>
                    <w:keepNext w:val="0"/>
                    <w:keepLines w:val="0"/>
                    <w:suppressLineNumbers w:val="0"/>
                    <w:bidi w:val="0"/>
                    <w:spacing w:before="0" w:beforeAutospacing="0" w:after="0" w:afterAutospacing="0"/>
                    <w:ind w:right="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本项目</w:t>
                  </w:r>
                </w:p>
              </w:tc>
              <w:tc>
                <w:tcPr>
                  <w:tcW w:w="290" w:type="pct"/>
                  <w:tcBorders>
                    <w:tl2br w:val="nil"/>
                    <w:tr2bl w:val="nil"/>
                  </w:tcBorders>
                  <w:noWrap w:val="0"/>
                  <w:vAlign w:val="center"/>
                </w:tcPr>
                <w:p w14:paraId="598388E9">
                  <w:pPr>
                    <w:pStyle w:val="26"/>
                    <w:keepNext w:val="0"/>
                    <w:keepLines w:val="0"/>
                    <w:suppressLineNumbers w:val="0"/>
                    <w:bidi w:val="0"/>
                    <w:spacing w:before="0" w:beforeAutospacing="0" w:after="0" w:afterAutospacing="0"/>
                    <w:ind w:right="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符合性</w:t>
                  </w:r>
                </w:p>
              </w:tc>
            </w:tr>
            <w:tr w14:paraId="6A13A0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5" w:type="pct"/>
                  <w:vMerge w:val="restart"/>
                  <w:tcBorders>
                    <w:tl2br w:val="nil"/>
                    <w:tr2bl w:val="nil"/>
                  </w:tcBorders>
                  <w:noWrap w:val="0"/>
                  <w:vAlign w:val="center"/>
                </w:tcPr>
                <w:p w14:paraId="3F498B6D">
                  <w:pPr>
                    <w:pStyle w:val="26"/>
                    <w:keepNext w:val="0"/>
                    <w:keepLines w:val="0"/>
                    <w:suppressLineNumbers w:val="0"/>
                    <w:bidi w:val="0"/>
                    <w:spacing w:before="0" w:beforeAutospacing="0" w:after="0" w:afterAutospacing="0"/>
                    <w:ind w:right="0"/>
                    <w:rPr>
                      <w:rFonts w:hint="default"/>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ZH35048120003</w:t>
                  </w:r>
                </w:p>
              </w:tc>
              <w:tc>
                <w:tcPr>
                  <w:tcW w:w="651" w:type="pct"/>
                  <w:vMerge w:val="restart"/>
                  <w:tcBorders>
                    <w:tl2br w:val="nil"/>
                    <w:tr2bl w:val="nil"/>
                  </w:tcBorders>
                  <w:noWrap w:val="0"/>
                  <w:vAlign w:val="center"/>
                </w:tcPr>
                <w:p w14:paraId="34CBB6DC">
                  <w:pPr>
                    <w:pStyle w:val="26"/>
                    <w:keepNext w:val="0"/>
                    <w:keepLines w:val="0"/>
                    <w:suppressLineNumbers w:val="0"/>
                    <w:bidi w:val="0"/>
                    <w:spacing w:before="0" w:beforeAutospacing="0" w:after="0" w:afterAutospacing="0"/>
                    <w:ind w:right="0"/>
                    <w:rPr>
                      <w:rFonts w:hint="default"/>
                      <w:color w:val="000000" w:themeColor="text1"/>
                      <w:highlight w:val="none"/>
                      <w:lang w:val="en-US" w:eastAsia="zh-CN" w:bidi="ar-SA"/>
                      <w14:textFill>
                        <w14:solidFill>
                          <w14:schemeClr w14:val="tx1"/>
                        </w14:solidFill>
                      </w14:textFill>
                    </w:rPr>
                  </w:pPr>
                  <w:r>
                    <w:rPr>
                      <w:rFonts w:hint="eastAsia"/>
                      <w:color w:val="000000" w:themeColor="text1"/>
                      <w:kern w:val="0"/>
                      <w:szCs w:val="21"/>
                      <w:highlight w:val="none"/>
                      <w:lang w:val="en-US" w:eastAsia="zh-CN" w:bidi="ar-SA"/>
                      <w14:textFill>
                        <w14:solidFill>
                          <w14:schemeClr w14:val="tx1"/>
                        </w14:solidFill>
                      </w14:textFill>
                    </w:rPr>
                    <w:t>三明经济开发区贡川园（永安市石墨和石墨烯产业园）</w:t>
                  </w:r>
                </w:p>
              </w:tc>
              <w:tc>
                <w:tcPr>
                  <w:tcW w:w="499" w:type="pct"/>
                  <w:vMerge w:val="restart"/>
                  <w:tcBorders>
                    <w:tl2br w:val="nil"/>
                    <w:tr2bl w:val="nil"/>
                  </w:tcBorders>
                  <w:noWrap w:val="0"/>
                  <w:vAlign w:val="center"/>
                </w:tcPr>
                <w:p w14:paraId="2DBDA707">
                  <w:pPr>
                    <w:pStyle w:val="26"/>
                    <w:keepNext w:val="0"/>
                    <w:keepLines w:val="0"/>
                    <w:suppressLineNumbers w:val="0"/>
                    <w:bidi w:val="0"/>
                    <w:spacing w:before="0" w:beforeAutospacing="0" w:after="0" w:afterAutospacing="0"/>
                    <w:ind w:right="0"/>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重点管控单元</w:t>
                  </w:r>
                </w:p>
              </w:tc>
              <w:tc>
                <w:tcPr>
                  <w:tcW w:w="489" w:type="pct"/>
                  <w:vMerge w:val="restart"/>
                  <w:tcBorders>
                    <w:tl2br w:val="nil"/>
                    <w:tr2bl w:val="nil"/>
                  </w:tcBorders>
                  <w:noWrap w:val="0"/>
                  <w:vAlign w:val="center"/>
                </w:tcPr>
                <w:p w14:paraId="67308F5B">
                  <w:pPr>
                    <w:pStyle w:val="26"/>
                    <w:keepNext w:val="0"/>
                    <w:keepLines w:val="0"/>
                    <w:suppressLineNumbers w:val="0"/>
                    <w:bidi w:val="0"/>
                    <w:spacing w:before="0" w:beforeAutospacing="0" w:after="0" w:afterAutospacing="0"/>
                    <w:ind w:right="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空间布局约束</w:t>
                  </w:r>
                </w:p>
              </w:tc>
              <w:tc>
                <w:tcPr>
                  <w:tcW w:w="1317" w:type="pct"/>
                  <w:tcBorders>
                    <w:tl2br w:val="nil"/>
                    <w:tr2bl w:val="nil"/>
                  </w:tcBorders>
                  <w:noWrap w:val="0"/>
                  <w:vAlign w:val="center"/>
                </w:tcPr>
                <w:p w14:paraId="0F073693">
                  <w:pPr>
                    <w:pStyle w:val="26"/>
                    <w:bidi w:val="0"/>
                    <w:jc w:val="left"/>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1.严格控制纺织染整行业生产规模</w:t>
                  </w:r>
                  <w:r>
                    <w:rPr>
                      <w:rFonts w:hint="eastAsia"/>
                      <w:color w:val="000000" w:themeColor="text1"/>
                      <w:highlight w:val="none"/>
                      <w:lang w:val="en-US" w:eastAsia="zh-CN" w:bidi="ar-SA"/>
                      <w14:textFill>
                        <w14:solidFill>
                          <w14:schemeClr w14:val="tx1"/>
                        </w14:solidFill>
                      </w14:textFill>
                    </w:rPr>
                    <w:t>；</w:t>
                  </w:r>
                  <w:r>
                    <w:rPr>
                      <w:rFonts w:hint="default"/>
                      <w:color w:val="000000" w:themeColor="text1"/>
                      <w:highlight w:val="none"/>
                      <w:lang w:val="en-US" w:eastAsia="zh-CN" w:bidi="ar-SA"/>
                      <w14:textFill>
                        <w14:solidFill>
                          <w14:schemeClr w14:val="tx1"/>
                        </w14:solidFill>
                      </w14:textFill>
                    </w:rPr>
                    <w:t>竹木加工行业禁止新、扩建利用天然阔叶林为原料的木材加工的项目</w:t>
                  </w:r>
                  <w:r>
                    <w:rPr>
                      <w:rFonts w:hint="eastAsia"/>
                      <w:color w:val="000000" w:themeColor="text1"/>
                      <w:highlight w:val="none"/>
                      <w:lang w:val="en-US" w:eastAsia="zh-CN" w:bidi="ar-SA"/>
                      <w14:textFill>
                        <w14:solidFill>
                          <w14:schemeClr w14:val="tx1"/>
                        </w14:solidFill>
                      </w14:textFill>
                    </w:rPr>
                    <w:t>；</w:t>
                  </w:r>
                  <w:r>
                    <w:rPr>
                      <w:rFonts w:hint="default"/>
                      <w:color w:val="000000" w:themeColor="text1"/>
                      <w:highlight w:val="none"/>
                      <w:lang w:val="en-US" w:eastAsia="zh-CN" w:bidi="ar-SA"/>
                      <w14:textFill>
                        <w14:solidFill>
                          <w14:schemeClr w14:val="tx1"/>
                        </w14:solidFill>
                      </w14:textFill>
                    </w:rPr>
                    <w:t>机械制造行业禁止铅蓄电池制造，禁止新建普通锻铸件项目，严格控制新、扩建电镀等重污染项目</w:t>
                  </w:r>
                  <w:r>
                    <w:rPr>
                      <w:rFonts w:hint="eastAsia"/>
                      <w:color w:val="000000" w:themeColor="text1"/>
                      <w:highlight w:val="none"/>
                      <w:lang w:val="en-US" w:eastAsia="zh-CN" w:bidi="ar-SA"/>
                      <w14:textFill>
                        <w14:solidFill>
                          <w14:schemeClr w14:val="tx1"/>
                        </w14:solidFill>
                      </w14:textFill>
                    </w:rPr>
                    <w:t>；</w:t>
                  </w:r>
                  <w:r>
                    <w:rPr>
                      <w:rFonts w:hint="default"/>
                      <w:color w:val="000000" w:themeColor="text1"/>
                      <w:highlight w:val="none"/>
                      <w:lang w:val="en-US" w:eastAsia="zh-CN" w:bidi="ar-SA"/>
                      <w14:textFill>
                        <w14:solidFill>
                          <w14:schemeClr w14:val="tx1"/>
                        </w14:solidFill>
                      </w14:textFill>
                    </w:rPr>
                    <w:t>禁止引进采用煅烧石油焦生产石墨的项目。</w:t>
                  </w:r>
                </w:p>
              </w:tc>
              <w:tc>
                <w:tcPr>
                  <w:tcW w:w="966" w:type="pct"/>
                  <w:tcBorders>
                    <w:tl2br w:val="nil"/>
                    <w:tr2bl w:val="nil"/>
                  </w:tcBorders>
                  <w:noWrap w:val="0"/>
                  <w:vAlign w:val="center"/>
                </w:tcPr>
                <w:p w14:paraId="23B3B6F6">
                  <w:pPr>
                    <w:pStyle w:val="26"/>
                    <w:keepNext w:val="0"/>
                    <w:keepLines w:val="0"/>
                    <w:suppressLineNumbers w:val="0"/>
                    <w:bidi w:val="0"/>
                    <w:spacing w:before="0" w:beforeAutospacing="0" w:after="0" w:afterAutospacing="0"/>
                    <w:ind w:right="0"/>
                    <w:jc w:val="left"/>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1.本项目不属于纺织染整、竹木加工、机械制造、锻铸件、电镀行业；项目生产工艺不涉及煅烧石油焦生产石墨工艺。</w:t>
                  </w:r>
                </w:p>
              </w:tc>
              <w:tc>
                <w:tcPr>
                  <w:tcW w:w="290" w:type="pct"/>
                  <w:tcBorders>
                    <w:tl2br w:val="nil"/>
                    <w:tr2bl w:val="nil"/>
                  </w:tcBorders>
                  <w:noWrap w:val="0"/>
                  <w:vAlign w:val="center"/>
                </w:tcPr>
                <w:p w14:paraId="33812F7F">
                  <w:pPr>
                    <w:pStyle w:val="26"/>
                    <w:keepNext w:val="0"/>
                    <w:keepLines w:val="0"/>
                    <w:suppressLineNumbers w:val="0"/>
                    <w:bidi w:val="0"/>
                    <w:spacing w:before="0" w:beforeAutospacing="0" w:after="0" w:afterAutospacing="0"/>
                    <w:ind w:right="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符合</w:t>
                  </w:r>
                </w:p>
              </w:tc>
            </w:tr>
            <w:tr w14:paraId="0F70AD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5" w:type="pct"/>
                  <w:vMerge w:val="continue"/>
                  <w:tcBorders>
                    <w:tl2br w:val="nil"/>
                    <w:tr2bl w:val="nil"/>
                  </w:tcBorders>
                  <w:noWrap w:val="0"/>
                  <w:vAlign w:val="center"/>
                </w:tcPr>
                <w:p w14:paraId="4F9741E9">
                  <w:pPr>
                    <w:pStyle w:val="26"/>
                    <w:keepNext w:val="0"/>
                    <w:keepLines w:val="0"/>
                    <w:suppressLineNumbers w:val="0"/>
                    <w:bidi w:val="0"/>
                    <w:spacing w:before="0" w:beforeAutospacing="0" w:after="0" w:afterAutospacing="0"/>
                    <w:ind w:right="0"/>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651" w:type="pct"/>
                  <w:vMerge w:val="continue"/>
                  <w:tcBorders>
                    <w:tl2br w:val="nil"/>
                    <w:tr2bl w:val="nil"/>
                  </w:tcBorders>
                  <w:noWrap w:val="0"/>
                  <w:vAlign w:val="center"/>
                </w:tcPr>
                <w:p w14:paraId="464C805C">
                  <w:pPr>
                    <w:pStyle w:val="26"/>
                    <w:keepNext w:val="0"/>
                    <w:keepLines w:val="0"/>
                    <w:suppressLineNumbers w:val="0"/>
                    <w:bidi w:val="0"/>
                    <w:spacing w:before="0" w:beforeAutospacing="0" w:after="0" w:afterAutospacing="0"/>
                    <w:ind w:right="0"/>
                    <w:rPr>
                      <w:rFonts w:hint="eastAsia"/>
                      <w:color w:val="000000" w:themeColor="text1"/>
                      <w:kern w:val="0"/>
                      <w:szCs w:val="21"/>
                      <w:highlight w:val="none"/>
                      <w:lang w:val="en-US" w:eastAsia="zh-CN" w:bidi="ar-SA"/>
                      <w14:textFill>
                        <w14:solidFill>
                          <w14:schemeClr w14:val="tx1"/>
                        </w14:solidFill>
                      </w14:textFill>
                    </w:rPr>
                  </w:pPr>
                </w:p>
              </w:tc>
              <w:tc>
                <w:tcPr>
                  <w:tcW w:w="499" w:type="pct"/>
                  <w:vMerge w:val="continue"/>
                  <w:tcBorders>
                    <w:tl2br w:val="nil"/>
                    <w:tr2bl w:val="nil"/>
                  </w:tcBorders>
                  <w:noWrap w:val="0"/>
                  <w:vAlign w:val="center"/>
                </w:tcPr>
                <w:p w14:paraId="44E320FF">
                  <w:pPr>
                    <w:pStyle w:val="26"/>
                    <w:keepNext w:val="0"/>
                    <w:keepLines w:val="0"/>
                    <w:suppressLineNumbers w:val="0"/>
                    <w:bidi w:val="0"/>
                    <w:spacing w:before="0" w:beforeAutospacing="0" w:after="0" w:afterAutospacing="0"/>
                    <w:ind w:right="0"/>
                    <w:rPr>
                      <w:rFonts w:hint="default"/>
                      <w:color w:val="000000" w:themeColor="text1"/>
                      <w:highlight w:val="none"/>
                      <w:lang w:val="en-US" w:eastAsia="zh-CN" w:bidi="ar-SA"/>
                      <w14:textFill>
                        <w14:solidFill>
                          <w14:schemeClr w14:val="tx1"/>
                        </w14:solidFill>
                      </w14:textFill>
                    </w:rPr>
                  </w:pPr>
                </w:p>
              </w:tc>
              <w:tc>
                <w:tcPr>
                  <w:tcW w:w="489" w:type="pct"/>
                  <w:vMerge w:val="continue"/>
                  <w:tcBorders>
                    <w:tl2br w:val="nil"/>
                    <w:tr2bl w:val="nil"/>
                  </w:tcBorders>
                  <w:noWrap w:val="0"/>
                  <w:vAlign w:val="center"/>
                </w:tcPr>
                <w:p w14:paraId="2F9F219E">
                  <w:pPr>
                    <w:pStyle w:val="26"/>
                    <w:keepNext w:val="0"/>
                    <w:keepLines w:val="0"/>
                    <w:suppressLineNumbers w:val="0"/>
                    <w:bidi w:val="0"/>
                    <w:spacing w:before="0" w:beforeAutospacing="0" w:after="0" w:afterAutospacing="0"/>
                    <w:ind w:right="0"/>
                    <w:jc w:val="center"/>
                    <w:rPr>
                      <w:rFonts w:hint="eastAsia"/>
                      <w:color w:val="000000" w:themeColor="text1"/>
                      <w:highlight w:val="none"/>
                      <w:lang w:val="en-US" w:eastAsia="zh-CN" w:bidi="ar-SA"/>
                      <w14:textFill>
                        <w14:solidFill>
                          <w14:schemeClr w14:val="tx1"/>
                        </w14:solidFill>
                      </w14:textFill>
                    </w:rPr>
                  </w:pPr>
                </w:p>
              </w:tc>
              <w:tc>
                <w:tcPr>
                  <w:tcW w:w="1317" w:type="pct"/>
                  <w:tcBorders>
                    <w:tl2br w:val="nil"/>
                    <w:tr2bl w:val="nil"/>
                  </w:tcBorders>
                  <w:noWrap w:val="0"/>
                  <w:vAlign w:val="center"/>
                </w:tcPr>
                <w:p w14:paraId="20B8924C">
                  <w:pPr>
                    <w:pStyle w:val="26"/>
                    <w:bidi w:val="0"/>
                    <w:jc w:val="left"/>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2.居住用地周边禁止布局潜在废气扰民的建设项目。</w:t>
                  </w:r>
                </w:p>
              </w:tc>
              <w:tc>
                <w:tcPr>
                  <w:tcW w:w="966" w:type="pct"/>
                  <w:tcBorders>
                    <w:tl2br w:val="nil"/>
                    <w:tr2bl w:val="nil"/>
                  </w:tcBorders>
                  <w:noWrap w:val="0"/>
                  <w:vAlign w:val="center"/>
                </w:tcPr>
                <w:p w14:paraId="6810B704">
                  <w:pPr>
                    <w:pStyle w:val="26"/>
                    <w:keepNext w:val="0"/>
                    <w:keepLines w:val="0"/>
                    <w:suppressLineNumbers w:val="0"/>
                    <w:bidi w:val="0"/>
                    <w:spacing w:before="0" w:beforeAutospacing="0" w:after="0" w:afterAutospacing="0"/>
                    <w:ind w:right="0"/>
                    <w:jc w:val="left"/>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2.项目位于贡川镇水东园区，用地不在居住用地周边，建设项目与空间布局约束要求不冲突。</w:t>
                  </w:r>
                </w:p>
              </w:tc>
              <w:tc>
                <w:tcPr>
                  <w:tcW w:w="290" w:type="pct"/>
                  <w:tcBorders>
                    <w:tl2br w:val="nil"/>
                    <w:tr2bl w:val="nil"/>
                  </w:tcBorders>
                  <w:noWrap w:val="0"/>
                  <w:vAlign w:val="center"/>
                </w:tcPr>
                <w:p w14:paraId="367E3D83">
                  <w:pPr>
                    <w:pStyle w:val="26"/>
                    <w:keepNext w:val="0"/>
                    <w:keepLines w:val="0"/>
                    <w:suppressLineNumbers w:val="0"/>
                    <w:bidi w:val="0"/>
                    <w:spacing w:before="0" w:beforeAutospacing="0" w:after="0" w:afterAutospacing="0"/>
                    <w:ind w:right="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符合</w:t>
                  </w:r>
                </w:p>
              </w:tc>
            </w:tr>
            <w:tr w14:paraId="14E721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5" w:type="pct"/>
                  <w:vMerge w:val="continue"/>
                  <w:tcBorders>
                    <w:tl2br w:val="nil"/>
                    <w:tr2bl w:val="nil"/>
                  </w:tcBorders>
                  <w:noWrap w:val="0"/>
                  <w:vAlign w:val="center"/>
                </w:tcPr>
                <w:p w14:paraId="5F5E9FE1">
                  <w:pPr>
                    <w:pStyle w:val="26"/>
                    <w:keepNext w:val="0"/>
                    <w:keepLines w:val="0"/>
                    <w:suppressLineNumbers w:val="0"/>
                    <w:bidi w:val="0"/>
                    <w:spacing w:before="0" w:beforeAutospacing="0" w:after="0" w:afterAutospacing="0"/>
                    <w:ind w:right="0"/>
                    <w:jc w:val="center"/>
                    <w:rPr>
                      <w:rFonts w:hint="default"/>
                      <w:color w:val="000000" w:themeColor="text1"/>
                      <w:highlight w:val="none"/>
                      <w:lang w:val="en-US" w:eastAsia="zh-CN" w:bidi="ar-SA"/>
                      <w14:textFill>
                        <w14:solidFill>
                          <w14:schemeClr w14:val="tx1"/>
                        </w14:solidFill>
                      </w14:textFill>
                    </w:rPr>
                  </w:pPr>
                </w:p>
              </w:tc>
              <w:tc>
                <w:tcPr>
                  <w:tcW w:w="651" w:type="pct"/>
                  <w:vMerge w:val="continue"/>
                  <w:tcBorders>
                    <w:tl2br w:val="nil"/>
                    <w:tr2bl w:val="nil"/>
                  </w:tcBorders>
                  <w:noWrap w:val="0"/>
                  <w:vAlign w:val="center"/>
                </w:tcPr>
                <w:p w14:paraId="01EBA408">
                  <w:pPr>
                    <w:pStyle w:val="26"/>
                    <w:keepNext w:val="0"/>
                    <w:keepLines w:val="0"/>
                    <w:suppressLineNumbers w:val="0"/>
                    <w:bidi w:val="0"/>
                    <w:spacing w:before="0" w:beforeAutospacing="0" w:after="0" w:afterAutospacing="0"/>
                    <w:ind w:right="0"/>
                    <w:jc w:val="center"/>
                    <w:rPr>
                      <w:rFonts w:hint="default"/>
                      <w:color w:val="000000" w:themeColor="text1"/>
                      <w:highlight w:val="none"/>
                      <w:lang w:val="en-US" w:eastAsia="zh-CN" w:bidi="ar-SA"/>
                      <w14:textFill>
                        <w14:solidFill>
                          <w14:schemeClr w14:val="tx1"/>
                        </w14:solidFill>
                      </w14:textFill>
                    </w:rPr>
                  </w:pPr>
                </w:p>
              </w:tc>
              <w:tc>
                <w:tcPr>
                  <w:tcW w:w="499" w:type="pct"/>
                  <w:vMerge w:val="continue"/>
                  <w:tcBorders>
                    <w:tl2br w:val="nil"/>
                    <w:tr2bl w:val="nil"/>
                  </w:tcBorders>
                  <w:noWrap w:val="0"/>
                  <w:vAlign w:val="center"/>
                </w:tcPr>
                <w:p w14:paraId="2EDB1586">
                  <w:pPr>
                    <w:pStyle w:val="26"/>
                    <w:keepNext w:val="0"/>
                    <w:keepLines w:val="0"/>
                    <w:suppressLineNumbers w:val="0"/>
                    <w:bidi w:val="0"/>
                    <w:spacing w:before="0" w:beforeAutospacing="0" w:after="0" w:afterAutospacing="0"/>
                    <w:ind w:right="0"/>
                    <w:jc w:val="center"/>
                    <w:rPr>
                      <w:rFonts w:hint="default"/>
                      <w:color w:val="000000" w:themeColor="text1"/>
                      <w:highlight w:val="none"/>
                      <w:lang w:val="en-US" w:eastAsia="zh-CN" w:bidi="ar-SA"/>
                      <w14:textFill>
                        <w14:solidFill>
                          <w14:schemeClr w14:val="tx1"/>
                        </w14:solidFill>
                      </w14:textFill>
                    </w:rPr>
                  </w:pPr>
                </w:p>
              </w:tc>
              <w:tc>
                <w:tcPr>
                  <w:tcW w:w="489" w:type="pct"/>
                  <w:tcBorders>
                    <w:tl2br w:val="nil"/>
                    <w:tr2bl w:val="nil"/>
                  </w:tcBorders>
                  <w:noWrap w:val="0"/>
                  <w:vAlign w:val="center"/>
                </w:tcPr>
                <w:p w14:paraId="4BF38E72">
                  <w:pPr>
                    <w:pStyle w:val="26"/>
                    <w:keepNext w:val="0"/>
                    <w:keepLines w:val="0"/>
                    <w:suppressLineNumbers w:val="0"/>
                    <w:bidi w:val="0"/>
                    <w:spacing w:before="0" w:beforeAutospacing="0" w:after="0" w:afterAutospacing="0"/>
                    <w:ind w:right="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污染物排放管控</w:t>
                  </w:r>
                </w:p>
              </w:tc>
              <w:tc>
                <w:tcPr>
                  <w:tcW w:w="1317" w:type="pct"/>
                  <w:tcBorders>
                    <w:tl2br w:val="nil"/>
                    <w:tr2bl w:val="nil"/>
                  </w:tcBorders>
                  <w:noWrap w:val="0"/>
                  <w:vAlign w:val="center"/>
                </w:tcPr>
                <w:p w14:paraId="6C592FF1">
                  <w:pPr>
                    <w:pStyle w:val="26"/>
                    <w:bidi w:val="0"/>
                    <w:jc w:val="left"/>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1.加快推进“污水零直排区”建设，污水处理厂达到一级A排放标准。</w:t>
                  </w:r>
                </w:p>
                <w:p w14:paraId="6D4328E2">
                  <w:pPr>
                    <w:pStyle w:val="26"/>
                    <w:bidi w:val="0"/>
                    <w:jc w:val="left"/>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2.新建、改建、扩建项目，新增污染物排放按照福建省排污权有偿使用和交易相关文件执行。</w:t>
                  </w:r>
                </w:p>
                <w:p w14:paraId="43E84F49">
                  <w:pPr>
                    <w:pStyle w:val="26"/>
                    <w:bidi w:val="0"/>
                    <w:jc w:val="left"/>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3.新建涉</w:t>
                  </w:r>
                  <w:r>
                    <w:rPr>
                      <w:rFonts w:hint="eastAsia"/>
                      <w:color w:val="000000" w:themeColor="text1"/>
                      <w:highlight w:val="none"/>
                      <w:lang w:val="en-US" w:eastAsia="zh-CN" w:bidi="ar-SA"/>
                      <w14:textFill>
                        <w14:solidFill>
                          <w14:schemeClr w14:val="tx1"/>
                        </w14:solidFill>
                      </w14:textFill>
                    </w:rPr>
                    <w:t>V</w:t>
                  </w:r>
                  <w:r>
                    <w:rPr>
                      <w:rFonts w:hint="default"/>
                      <w:color w:val="000000" w:themeColor="text1"/>
                      <w:highlight w:val="none"/>
                      <w:lang w:val="en-US" w:eastAsia="zh-CN" w:bidi="ar-SA"/>
                      <w14:textFill>
                        <w14:solidFill>
                          <w14:schemeClr w14:val="tx1"/>
                        </w14:solidFill>
                      </w14:textFill>
                    </w:rPr>
                    <w:t>OCs项目，</w:t>
                  </w:r>
                  <w:r>
                    <w:rPr>
                      <w:rFonts w:hint="eastAsia"/>
                      <w:color w:val="000000" w:themeColor="text1"/>
                      <w:highlight w:val="none"/>
                      <w:lang w:val="en-US" w:eastAsia="zh-CN" w:bidi="ar-SA"/>
                      <w14:textFill>
                        <w14:solidFill>
                          <w14:schemeClr w14:val="tx1"/>
                        </w14:solidFill>
                      </w14:textFill>
                    </w:rPr>
                    <w:t>V</w:t>
                  </w:r>
                  <w:r>
                    <w:rPr>
                      <w:rFonts w:hint="default"/>
                      <w:color w:val="000000" w:themeColor="text1"/>
                      <w:highlight w:val="none"/>
                      <w:lang w:val="en-US" w:eastAsia="zh-CN" w:bidi="ar-SA"/>
                      <w14:textFill>
                        <w14:solidFill>
                          <w14:schemeClr w14:val="tx1"/>
                        </w14:solidFill>
                      </w14:textFill>
                    </w:rPr>
                    <w:t>OCs排放按照福建省相关政策要求落实。</w:t>
                  </w:r>
                </w:p>
              </w:tc>
              <w:tc>
                <w:tcPr>
                  <w:tcW w:w="966" w:type="pct"/>
                  <w:tcBorders>
                    <w:tl2br w:val="nil"/>
                    <w:tr2bl w:val="nil"/>
                  </w:tcBorders>
                  <w:noWrap w:val="0"/>
                  <w:vAlign w:val="center"/>
                </w:tcPr>
                <w:p w14:paraId="6D12E2DA">
                  <w:pPr>
                    <w:pStyle w:val="26"/>
                    <w:bidi w:val="0"/>
                    <w:jc w:val="left"/>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项目无生产废水排放；生活污水经化粪池处理后接入园区污水管网，最终纳入永安市贡川产业园水东工业集中区污水处理厂深度处理。2.项目涉及新增的VOCs排放由建设单位根据环评报告核算量作为总量控制建议指标，在报生态环境主管部门批准认可后，向生态环境主管部门申请总量调剂。</w:t>
                  </w:r>
                </w:p>
              </w:tc>
              <w:tc>
                <w:tcPr>
                  <w:tcW w:w="290" w:type="pct"/>
                  <w:tcBorders>
                    <w:tl2br w:val="nil"/>
                    <w:tr2bl w:val="nil"/>
                  </w:tcBorders>
                  <w:noWrap w:val="0"/>
                  <w:vAlign w:val="center"/>
                </w:tcPr>
                <w:p w14:paraId="536FF1E7">
                  <w:pPr>
                    <w:pStyle w:val="26"/>
                    <w:keepNext w:val="0"/>
                    <w:keepLines w:val="0"/>
                    <w:suppressLineNumbers w:val="0"/>
                    <w:bidi w:val="0"/>
                    <w:spacing w:before="0" w:beforeAutospacing="0" w:after="0" w:afterAutospacing="0"/>
                    <w:ind w:right="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符合</w:t>
                  </w:r>
                </w:p>
              </w:tc>
            </w:tr>
            <w:tr w14:paraId="046808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5" w:type="pct"/>
                  <w:vMerge w:val="continue"/>
                  <w:tcBorders>
                    <w:tl2br w:val="nil"/>
                    <w:tr2bl w:val="nil"/>
                  </w:tcBorders>
                  <w:noWrap w:val="0"/>
                  <w:vAlign w:val="center"/>
                </w:tcPr>
                <w:p w14:paraId="5683AD1E">
                  <w:pPr>
                    <w:pStyle w:val="26"/>
                    <w:keepNext w:val="0"/>
                    <w:keepLines w:val="0"/>
                    <w:suppressLineNumbers w:val="0"/>
                    <w:bidi w:val="0"/>
                    <w:spacing w:before="0" w:beforeAutospacing="0" w:after="0" w:afterAutospacing="0"/>
                    <w:ind w:right="0"/>
                    <w:jc w:val="center"/>
                    <w:rPr>
                      <w:rFonts w:hint="default"/>
                      <w:color w:val="000000" w:themeColor="text1"/>
                      <w:highlight w:val="none"/>
                      <w:lang w:val="en-US" w:eastAsia="zh-CN" w:bidi="ar-SA"/>
                      <w14:textFill>
                        <w14:solidFill>
                          <w14:schemeClr w14:val="tx1"/>
                        </w14:solidFill>
                      </w14:textFill>
                    </w:rPr>
                  </w:pPr>
                </w:p>
              </w:tc>
              <w:tc>
                <w:tcPr>
                  <w:tcW w:w="651" w:type="pct"/>
                  <w:vMerge w:val="continue"/>
                  <w:tcBorders>
                    <w:tl2br w:val="nil"/>
                    <w:tr2bl w:val="nil"/>
                  </w:tcBorders>
                  <w:noWrap w:val="0"/>
                  <w:vAlign w:val="center"/>
                </w:tcPr>
                <w:p w14:paraId="711B9892">
                  <w:pPr>
                    <w:pStyle w:val="26"/>
                    <w:keepNext w:val="0"/>
                    <w:keepLines w:val="0"/>
                    <w:suppressLineNumbers w:val="0"/>
                    <w:bidi w:val="0"/>
                    <w:spacing w:before="0" w:beforeAutospacing="0" w:after="0" w:afterAutospacing="0"/>
                    <w:ind w:right="0"/>
                    <w:jc w:val="center"/>
                    <w:rPr>
                      <w:rFonts w:hint="default"/>
                      <w:color w:val="000000" w:themeColor="text1"/>
                      <w:highlight w:val="none"/>
                      <w:lang w:val="en-US" w:eastAsia="zh-CN" w:bidi="ar-SA"/>
                      <w14:textFill>
                        <w14:solidFill>
                          <w14:schemeClr w14:val="tx1"/>
                        </w14:solidFill>
                      </w14:textFill>
                    </w:rPr>
                  </w:pPr>
                </w:p>
              </w:tc>
              <w:tc>
                <w:tcPr>
                  <w:tcW w:w="499" w:type="pct"/>
                  <w:vMerge w:val="continue"/>
                  <w:tcBorders>
                    <w:tl2br w:val="nil"/>
                    <w:tr2bl w:val="nil"/>
                  </w:tcBorders>
                  <w:noWrap w:val="0"/>
                  <w:vAlign w:val="center"/>
                </w:tcPr>
                <w:p w14:paraId="0E9AA1F9">
                  <w:pPr>
                    <w:pStyle w:val="26"/>
                    <w:keepNext w:val="0"/>
                    <w:keepLines w:val="0"/>
                    <w:suppressLineNumbers w:val="0"/>
                    <w:bidi w:val="0"/>
                    <w:spacing w:before="0" w:beforeAutospacing="0" w:after="0" w:afterAutospacing="0"/>
                    <w:ind w:right="0"/>
                    <w:jc w:val="center"/>
                    <w:rPr>
                      <w:rFonts w:hint="default"/>
                      <w:color w:val="000000" w:themeColor="text1"/>
                      <w:highlight w:val="none"/>
                      <w:lang w:val="en-US" w:eastAsia="zh-CN" w:bidi="ar-SA"/>
                      <w14:textFill>
                        <w14:solidFill>
                          <w14:schemeClr w14:val="tx1"/>
                        </w14:solidFill>
                      </w14:textFill>
                    </w:rPr>
                  </w:pPr>
                </w:p>
              </w:tc>
              <w:tc>
                <w:tcPr>
                  <w:tcW w:w="489" w:type="pct"/>
                  <w:tcBorders>
                    <w:tl2br w:val="nil"/>
                    <w:tr2bl w:val="nil"/>
                  </w:tcBorders>
                  <w:noWrap w:val="0"/>
                  <w:vAlign w:val="center"/>
                </w:tcPr>
                <w:p w14:paraId="7CE647CB">
                  <w:pPr>
                    <w:pStyle w:val="26"/>
                    <w:keepNext w:val="0"/>
                    <w:keepLines w:val="0"/>
                    <w:suppressLineNumbers w:val="0"/>
                    <w:bidi w:val="0"/>
                    <w:spacing w:before="0" w:beforeAutospacing="0" w:after="0" w:afterAutospacing="0"/>
                    <w:ind w:right="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环境风险防控</w:t>
                  </w:r>
                </w:p>
              </w:tc>
              <w:tc>
                <w:tcPr>
                  <w:tcW w:w="1317" w:type="pct"/>
                  <w:tcBorders>
                    <w:tl2br w:val="nil"/>
                    <w:tr2bl w:val="nil"/>
                  </w:tcBorders>
                  <w:noWrap w:val="0"/>
                  <w:vAlign w:val="center"/>
                </w:tcPr>
                <w:p w14:paraId="376E9465">
                  <w:pPr>
                    <w:pStyle w:val="26"/>
                    <w:bidi w:val="0"/>
                    <w:jc w:val="left"/>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1.建立健全环境风险防控体系，制定突发环境事件应急预案，建设事故应急池，成立应急组织机构</w:t>
                  </w:r>
                  <w:r>
                    <w:rPr>
                      <w:rFonts w:hint="eastAsia"/>
                      <w:color w:val="000000" w:themeColor="text1"/>
                      <w:highlight w:val="none"/>
                      <w:lang w:val="en-US" w:eastAsia="zh-CN" w:bidi="ar-SA"/>
                      <w14:textFill>
                        <w14:solidFill>
                          <w14:schemeClr w14:val="tx1"/>
                        </w14:solidFill>
                      </w14:textFill>
                    </w:rPr>
                    <w:t>，</w:t>
                  </w:r>
                  <w:r>
                    <w:rPr>
                      <w:rFonts w:hint="default"/>
                      <w:color w:val="000000" w:themeColor="text1"/>
                      <w:highlight w:val="none"/>
                      <w:lang w:val="en-US" w:eastAsia="zh-CN" w:bidi="ar-SA"/>
                      <w14:textFill>
                        <w14:solidFill>
                          <w14:schemeClr w14:val="tx1"/>
                        </w14:solidFill>
                      </w14:textFill>
                    </w:rPr>
                    <w:t>防止在处理安全生产事故过程中产生的可能严重污染水体的消防废水、废液直接排入水体。</w:t>
                  </w:r>
                </w:p>
                <w:p w14:paraId="594566E8">
                  <w:pPr>
                    <w:pStyle w:val="26"/>
                    <w:bidi w:val="0"/>
                    <w:jc w:val="left"/>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2.应采取有效措施防止园区建设对区域地下水、土壤造成污染。</w:t>
                  </w:r>
                </w:p>
              </w:tc>
              <w:tc>
                <w:tcPr>
                  <w:tcW w:w="966" w:type="pct"/>
                  <w:tcBorders>
                    <w:tl2br w:val="nil"/>
                    <w:tr2bl w:val="nil"/>
                  </w:tcBorders>
                  <w:noWrap w:val="0"/>
                  <w:vAlign w:val="center"/>
                </w:tcPr>
                <w:p w14:paraId="163527A5">
                  <w:pPr>
                    <w:pStyle w:val="26"/>
                    <w:bidi w:val="0"/>
                    <w:jc w:val="left"/>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w:t>
                  </w:r>
                  <w:r>
                    <w:rPr>
                      <w:rFonts w:hint="default"/>
                      <w:color w:val="000000" w:themeColor="text1"/>
                      <w:highlight w:val="none"/>
                      <w:lang w:val="en-US" w:eastAsia="zh-CN" w:bidi="ar-SA"/>
                      <w14:textFill>
                        <w14:solidFill>
                          <w14:schemeClr w14:val="tx1"/>
                        </w14:solidFill>
                      </w14:textFill>
                    </w:rPr>
                    <w:t>项目建成后，及时制定突发环境事件应急预案，建立健全环境风险防控体系、成立应急组织机构，防止在处理安全生产事故过程中产生的可能严重污染水体的消防废水、废液直接排入水体。</w:t>
                  </w:r>
                </w:p>
                <w:p w14:paraId="10F66A85">
                  <w:pPr>
                    <w:pStyle w:val="26"/>
                    <w:bidi w:val="0"/>
                    <w:jc w:val="left"/>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2.</w:t>
                  </w:r>
                  <w:r>
                    <w:rPr>
                      <w:rFonts w:hint="default"/>
                      <w:color w:val="000000" w:themeColor="text1"/>
                      <w:highlight w:val="none"/>
                      <w:lang w:val="en-US" w:eastAsia="zh-CN" w:bidi="ar-SA"/>
                      <w14:textFill>
                        <w14:solidFill>
                          <w14:schemeClr w14:val="tx1"/>
                        </w14:solidFill>
                      </w14:textFill>
                    </w:rPr>
                    <w:t>项目厂房按规范进行分区防渗，可有效防止对区域地下水、土壤造成污染。</w:t>
                  </w:r>
                </w:p>
              </w:tc>
              <w:tc>
                <w:tcPr>
                  <w:tcW w:w="290" w:type="pct"/>
                  <w:tcBorders>
                    <w:tl2br w:val="nil"/>
                    <w:tr2bl w:val="nil"/>
                  </w:tcBorders>
                  <w:noWrap w:val="0"/>
                  <w:vAlign w:val="center"/>
                </w:tcPr>
                <w:p w14:paraId="717D09A8">
                  <w:pPr>
                    <w:pStyle w:val="26"/>
                    <w:keepNext w:val="0"/>
                    <w:keepLines w:val="0"/>
                    <w:suppressLineNumbers w:val="0"/>
                    <w:bidi w:val="0"/>
                    <w:spacing w:before="0" w:beforeAutospacing="0" w:after="0" w:afterAutospacing="0"/>
                    <w:ind w:right="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符合</w:t>
                  </w:r>
                </w:p>
              </w:tc>
            </w:tr>
            <w:tr w14:paraId="5A7DCA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5" w:type="pct"/>
                  <w:vMerge w:val="continue"/>
                  <w:tcBorders>
                    <w:tl2br w:val="nil"/>
                    <w:tr2bl w:val="nil"/>
                  </w:tcBorders>
                  <w:noWrap w:val="0"/>
                  <w:vAlign w:val="center"/>
                </w:tcPr>
                <w:p w14:paraId="025418CC">
                  <w:pPr>
                    <w:pStyle w:val="26"/>
                    <w:keepNext w:val="0"/>
                    <w:keepLines w:val="0"/>
                    <w:suppressLineNumbers w:val="0"/>
                    <w:bidi w:val="0"/>
                    <w:spacing w:before="0" w:beforeAutospacing="0" w:after="0" w:afterAutospacing="0"/>
                    <w:ind w:right="0"/>
                    <w:jc w:val="center"/>
                    <w:rPr>
                      <w:rFonts w:hint="default"/>
                      <w:color w:val="000000" w:themeColor="text1"/>
                      <w:highlight w:val="none"/>
                      <w:lang w:val="en-US" w:eastAsia="zh-CN" w:bidi="ar-SA"/>
                      <w14:textFill>
                        <w14:solidFill>
                          <w14:schemeClr w14:val="tx1"/>
                        </w14:solidFill>
                      </w14:textFill>
                    </w:rPr>
                  </w:pPr>
                </w:p>
              </w:tc>
              <w:tc>
                <w:tcPr>
                  <w:tcW w:w="651" w:type="pct"/>
                  <w:vMerge w:val="continue"/>
                  <w:tcBorders>
                    <w:tl2br w:val="nil"/>
                    <w:tr2bl w:val="nil"/>
                  </w:tcBorders>
                  <w:noWrap w:val="0"/>
                  <w:vAlign w:val="center"/>
                </w:tcPr>
                <w:p w14:paraId="393642B4">
                  <w:pPr>
                    <w:pStyle w:val="26"/>
                    <w:keepNext w:val="0"/>
                    <w:keepLines w:val="0"/>
                    <w:suppressLineNumbers w:val="0"/>
                    <w:bidi w:val="0"/>
                    <w:spacing w:before="0" w:beforeAutospacing="0" w:after="0" w:afterAutospacing="0"/>
                    <w:ind w:right="0"/>
                    <w:jc w:val="center"/>
                    <w:rPr>
                      <w:rFonts w:hint="default"/>
                      <w:color w:val="000000" w:themeColor="text1"/>
                      <w:highlight w:val="none"/>
                      <w:lang w:val="en-US" w:eastAsia="zh-CN" w:bidi="ar-SA"/>
                      <w14:textFill>
                        <w14:solidFill>
                          <w14:schemeClr w14:val="tx1"/>
                        </w14:solidFill>
                      </w14:textFill>
                    </w:rPr>
                  </w:pPr>
                </w:p>
              </w:tc>
              <w:tc>
                <w:tcPr>
                  <w:tcW w:w="499" w:type="pct"/>
                  <w:vMerge w:val="continue"/>
                  <w:tcBorders>
                    <w:tl2br w:val="nil"/>
                    <w:tr2bl w:val="nil"/>
                  </w:tcBorders>
                  <w:noWrap w:val="0"/>
                  <w:vAlign w:val="center"/>
                </w:tcPr>
                <w:p w14:paraId="62E39DF4">
                  <w:pPr>
                    <w:pStyle w:val="26"/>
                    <w:keepNext w:val="0"/>
                    <w:keepLines w:val="0"/>
                    <w:suppressLineNumbers w:val="0"/>
                    <w:bidi w:val="0"/>
                    <w:spacing w:before="0" w:beforeAutospacing="0" w:after="0" w:afterAutospacing="0"/>
                    <w:ind w:right="0"/>
                    <w:jc w:val="center"/>
                    <w:rPr>
                      <w:rFonts w:hint="default"/>
                      <w:color w:val="000000" w:themeColor="text1"/>
                      <w:highlight w:val="none"/>
                      <w:lang w:val="en-US" w:eastAsia="zh-CN" w:bidi="ar-SA"/>
                      <w14:textFill>
                        <w14:solidFill>
                          <w14:schemeClr w14:val="tx1"/>
                        </w14:solidFill>
                      </w14:textFill>
                    </w:rPr>
                  </w:pPr>
                </w:p>
              </w:tc>
              <w:tc>
                <w:tcPr>
                  <w:tcW w:w="489" w:type="pct"/>
                  <w:tcBorders>
                    <w:tl2br w:val="nil"/>
                    <w:tr2bl w:val="nil"/>
                  </w:tcBorders>
                  <w:noWrap w:val="0"/>
                  <w:vAlign w:val="center"/>
                </w:tcPr>
                <w:p w14:paraId="066F829E">
                  <w:pPr>
                    <w:pStyle w:val="26"/>
                    <w:keepNext w:val="0"/>
                    <w:keepLines w:val="0"/>
                    <w:suppressLineNumbers w:val="0"/>
                    <w:bidi w:val="0"/>
                    <w:spacing w:before="0" w:beforeAutospacing="0" w:after="0" w:afterAutospacing="0"/>
                    <w:ind w:right="0"/>
                    <w:jc w:val="center"/>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资源开发效率要求</w:t>
                  </w:r>
                </w:p>
              </w:tc>
              <w:tc>
                <w:tcPr>
                  <w:tcW w:w="1317" w:type="pct"/>
                  <w:tcBorders>
                    <w:tl2br w:val="nil"/>
                    <w:tr2bl w:val="nil"/>
                  </w:tcBorders>
                  <w:noWrap w:val="0"/>
                  <w:vAlign w:val="center"/>
                </w:tcPr>
                <w:p w14:paraId="53EB8D8C">
                  <w:pPr>
                    <w:pStyle w:val="26"/>
                    <w:keepNext w:val="0"/>
                    <w:keepLines w:val="0"/>
                    <w:suppressLineNumbers w:val="0"/>
                    <w:bidi w:val="0"/>
                    <w:spacing w:before="0" w:beforeAutospacing="0" w:after="0" w:afterAutospacing="0"/>
                    <w:ind w:right="0"/>
                    <w:jc w:val="both"/>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集中供热管网覆盖范围内禁止新建、扩建分散燃煤、燃油等供热锅炉，对使用燃生物质锅炉的项目严格审核把关，燃生物质锅炉应使用专用锅炉并燃用生物质成型燃料</w:t>
                  </w:r>
                  <w:r>
                    <w:rPr>
                      <w:rFonts w:hint="eastAsia"/>
                      <w:color w:val="000000" w:themeColor="text1"/>
                      <w:highlight w:val="none"/>
                      <w:lang w:val="en-US" w:eastAsia="zh-CN" w:bidi="ar-SA"/>
                      <w14:textFill>
                        <w14:solidFill>
                          <w14:schemeClr w14:val="tx1"/>
                        </w14:solidFill>
                      </w14:textFill>
                    </w:rPr>
                    <w:t>；</w:t>
                  </w:r>
                  <w:r>
                    <w:rPr>
                      <w:rFonts w:hint="default"/>
                      <w:color w:val="000000" w:themeColor="text1"/>
                      <w:highlight w:val="none"/>
                      <w:lang w:val="en-US" w:eastAsia="zh-CN" w:bidi="ar-SA"/>
                      <w14:textFill>
                        <w14:solidFill>
                          <w14:schemeClr w14:val="tx1"/>
                        </w14:solidFill>
                      </w14:textFill>
                    </w:rPr>
                    <w:t>对于集中供热难以覆盖、无法满足供汽、确需新建的锅炉，应使用清洁能源或达到相应排放要求。</w:t>
                  </w:r>
                </w:p>
              </w:tc>
              <w:tc>
                <w:tcPr>
                  <w:tcW w:w="966" w:type="pct"/>
                  <w:tcBorders>
                    <w:tl2br w:val="nil"/>
                    <w:tr2bl w:val="nil"/>
                  </w:tcBorders>
                  <w:noWrap w:val="0"/>
                  <w:vAlign w:val="center"/>
                </w:tcPr>
                <w:p w14:paraId="68AEEC79">
                  <w:pPr>
                    <w:pStyle w:val="26"/>
                    <w:bidi w:val="0"/>
                    <w:jc w:val="left"/>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项目供热采用电加热，不涉及燃煤、燃生物质锅炉。</w:t>
                  </w:r>
                </w:p>
              </w:tc>
              <w:tc>
                <w:tcPr>
                  <w:tcW w:w="290" w:type="pct"/>
                  <w:tcBorders>
                    <w:tl2br w:val="nil"/>
                    <w:tr2bl w:val="nil"/>
                  </w:tcBorders>
                  <w:noWrap w:val="0"/>
                  <w:vAlign w:val="center"/>
                </w:tcPr>
                <w:p w14:paraId="698A0C95">
                  <w:pPr>
                    <w:pStyle w:val="26"/>
                    <w:keepNext w:val="0"/>
                    <w:keepLines w:val="0"/>
                    <w:suppressLineNumbers w:val="0"/>
                    <w:bidi w:val="0"/>
                    <w:spacing w:before="0" w:beforeAutospacing="0" w:after="0" w:afterAutospacing="0"/>
                    <w:ind w:right="0"/>
                    <w:jc w:val="center"/>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符合</w:t>
                  </w:r>
                </w:p>
              </w:tc>
            </w:tr>
          </w:tbl>
          <w:p w14:paraId="50F1F6B6">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综上所述，本项目符合</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三明市生态环境局关于发布三明市2023年生态环境分区管控动态更新成果的通知</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（明环规〔2024〕2号）的管控</w:t>
            </w:r>
            <w:r>
              <w:rPr>
                <w:rFonts w:hint="default" w:ascii="Times New Roman" w:hAnsi="Times New Roman" w:cs="Times New Roman"/>
                <w:color w:val="000000" w:themeColor="text1"/>
                <w:highlight w:val="none"/>
                <w14:textFill>
                  <w14:solidFill>
                    <w14:schemeClr w14:val="tx1"/>
                  </w14:solidFill>
                </w14:textFill>
              </w:rPr>
              <w:t>要求。</w:t>
            </w:r>
          </w:p>
          <w:p w14:paraId="12188D50">
            <w:pPr>
              <w:pStyle w:val="2"/>
              <w:bidi w:val="0"/>
              <w:rPr>
                <w:rFonts w:hint="default" w:ascii="Times New Roman" w:hAnsi="Times New Roman" w:cs="Times New Roman"/>
                <w:color w:val="000000" w:themeColor="text1"/>
                <w:highlight w:val="none"/>
                <w14:textFill>
                  <w14:solidFill>
                    <w14:schemeClr w14:val="tx1"/>
                  </w14:solidFill>
                </w14:textFill>
              </w:rPr>
            </w:pPr>
            <w:bookmarkStart w:id="41" w:name="_Toc2442"/>
            <w:bookmarkStart w:id="42" w:name="_Toc19573"/>
            <w:bookmarkStart w:id="43" w:name="_Toc14365"/>
            <w:bookmarkStart w:id="44" w:name="_Toc22768"/>
            <w:bookmarkStart w:id="45" w:name="_Toc15045"/>
            <w:bookmarkStart w:id="46" w:name="_Toc29008"/>
            <w:r>
              <w:rPr>
                <w:rFonts w:hint="default" w:ascii="Times New Roman" w:hAnsi="Times New Roman" w:cs="Times New Roman"/>
                <w:color w:val="000000" w:themeColor="text1"/>
                <w:highlight w:val="none"/>
                <w:lang w:val="en-US" w:eastAsia="zh-CN"/>
                <w14:textFill>
                  <w14:solidFill>
                    <w14:schemeClr w14:val="tx1"/>
                  </w14:solidFill>
                </w14:textFill>
              </w:rPr>
              <w:t>产业政策符合性分析</w:t>
            </w:r>
            <w:bookmarkEnd w:id="41"/>
            <w:bookmarkEnd w:id="42"/>
            <w:bookmarkEnd w:id="43"/>
            <w:bookmarkEnd w:id="44"/>
            <w:bookmarkEnd w:id="45"/>
            <w:bookmarkEnd w:id="46"/>
          </w:p>
          <w:p w14:paraId="583BA038">
            <w:pPr>
              <w:rPr>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对照《产业结构调整指导目录（2024年本）》，本项目属于“鼓励类：十九、轻工，11、新型锂原电池（锂二硫化铁、锂亚硫酰氯等），锂离子电池、半固态和全固态锂电池、燃料电池、钠离子电池、液流电池、新型结构（双极性、铅布水平、卷绕式、管式等）密封铅蓄电池、铅碳电池等新型电池和超级电容器，锂离子电池用三元和多元、磷酸铁锂等正极材料、中间相炭微球和</w:t>
            </w:r>
            <w:r>
              <w:rPr>
                <w:rFonts w:hint="eastAsia" w:cs="Times New Roman"/>
                <w:b/>
                <w:bCs/>
                <w:color w:val="000000" w:themeColor="text1"/>
                <w:highlight w:val="none"/>
                <w:lang w:val="en-US" w:eastAsia="zh-CN"/>
                <w14:textFill>
                  <w14:solidFill>
                    <w14:schemeClr w14:val="tx1"/>
                  </w14:solidFill>
                </w14:textFill>
              </w:rPr>
              <w:t>硅碳等负极材料</w:t>
            </w:r>
            <w:r>
              <w:rPr>
                <w:rFonts w:hint="eastAsia" w:cs="Times New Roman"/>
                <w:color w:val="000000" w:themeColor="text1"/>
                <w:highlight w:val="none"/>
                <w:lang w:val="en-US" w:eastAsia="zh-CN"/>
                <w14:textFill>
                  <w14:solidFill>
                    <w14:schemeClr w14:val="tx1"/>
                  </w14:solidFill>
                </w14:textFill>
              </w:rPr>
              <w:t>、单层与三层复合锂离子电池隔膜、氟代碳酸乙烯酯（FEC）等电解质与添加剂，</w:t>
            </w:r>
            <w:r>
              <w:rPr>
                <w:rFonts w:hint="eastAsia" w:cs="Times New Roman"/>
                <w:b/>
                <w:bCs/>
                <w:color w:val="000000" w:themeColor="text1"/>
                <w:highlight w:val="none"/>
                <w:lang w:val="en-US" w:eastAsia="zh-CN"/>
                <w14:textFill>
                  <w14:solidFill>
                    <w14:schemeClr w14:val="tx1"/>
                  </w14:solidFill>
                </w14:textFill>
              </w:rPr>
              <w:t>碳纳米管</w:t>
            </w:r>
            <w:r>
              <w:rPr>
                <w:rFonts w:hint="eastAsia" w:cs="Times New Roman"/>
                <w:color w:val="000000" w:themeColor="text1"/>
                <w:highlight w:val="none"/>
                <w:lang w:val="en-US" w:eastAsia="zh-CN"/>
                <w14:textFill>
                  <w14:solidFill>
                    <w14:schemeClr w14:val="tx1"/>
                  </w14:solidFill>
                </w14:textFill>
              </w:rPr>
              <w:t>、碳纳米管导电液等关键材料，废旧电池资源化和绿色循环生产工艺及其装备制造，锂离子电池、铅蓄电池、碱性锌锰电池（600只/分钟以上）等电池产品自动化、智能化生产成套制造装备”。同时，本项目已取得永安市发展和改革局</w:t>
            </w:r>
            <w:r>
              <w:rPr>
                <w:rFonts w:hint="default" w:ascii="Times New Roman" w:hAnsi="Times New Roman" w:cs="Times New Roman"/>
                <w:color w:val="000000" w:themeColor="text1"/>
                <w:highlight w:val="none"/>
                <w14:textFill>
                  <w14:solidFill>
                    <w14:schemeClr w14:val="tx1"/>
                  </w14:solidFill>
                </w14:textFill>
              </w:rPr>
              <w:t>以“</w:t>
            </w:r>
            <w:r>
              <w:rPr>
                <w:rFonts w:hint="eastAsia" w:ascii="Times New Roman" w:hAnsi="Times New Roman" w:cs="Times New Roman"/>
                <w:color w:val="000000" w:themeColor="text1"/>
                <w:sz w:val="24"/>
                <w:highlight w:val="none"/>
                <w:lang w:val="en-US" w:eastAsia="zh-CN"/>
                <w14:textFill>
                  <w14:solidFill>
                    <w14:schemeClr w14:val="tx1"/>
                  </w14:solidFill>
                </w14:textFill>
              </w:rPr>
              <w:t>闽发改备[2025]G030021号</w:t>
            </w:r>
            <w:r>
              <w:rPr>
                <w:rFonts w:hint="default" w:ascii="Times New Roman" w:hAnsi="Times New Roman" w:cs="Times New Roman"/>
                <w:color w:val="000000" w:themeColor="text1"/>
                <w:highlight w:val="none"/>
                <w14:textFill>
                  <w14:solidFill>
                    <w14:schemeClr w14:val="tx1"/>
                  </w14:solidFill>
                </w14:textFill>
              </w:rPr>
              <w:t>”备案文件</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详见附件3。</w:t>
            </w:r>
            <w:r>
              <w:rPr>
                <w:rFonts w:hint="default" w:ascii="Times New Roman" w:hAnsi="Times New Roman" w:cs="Times New Roman"/>
                <w:color w:val="000000" w:themeColor="text1"/>
                <w:highlight w:val="none"/>
                <w:lang w:val="en-US" w:eastAsia="zh-CN"/>
                <w14:textFill>
                  <w14:solidFill>
                    <w14:schemeClr w14:val="tx1"/>
                  </w14:solidFill>
                </w14:textFill>
              </w:rPr>
              <w:t>因此，项目符合国家和地方产业政策。</w:t>
            </w:r>
          </w:p>
          <w:p w14:paraId="614CC35B">
            <w:pPr>
              <w:pStyle w:val="2"/>
              <w:bidi w:val="0"/>
              <w:rPr>
                <w:rFonts w:hint="default"/>
                <w:color w:val="000000" w:themeColor="text1"/>
                <w:highlight w:val="none"/>
                <w:lang w:val="en-US" w:eastAsia="zh-CN"/>
                <w14:textFill>
                  <w14:solidFill>
                    <w14:schemeClr w14:val="tx1"/>
                  </w14:solidFill>
                </w14:textFill>
              </w:rPr>
            </w:pPr>
            <w:bookmarkStart w:id="47" w:name="_Toc1955"/>
            <w:bookmarkStart w:id="48" w:name="_Toc29125"/>
            <w:bookmarkStart w:id="49" w:name="_Toc14885"/>
            <w:bookmarkStart w:id="50" w:name="_Toc24708"/>
            <w:bookmarkStart w:id="51" w:name="_Toc9767"/>
            <w:r>
              <w:rPr>
                <w:rFonts w:hint="eastAsia"/>
                <w:color w:val="000000" w:themeColor="text1"/>
                <w:highlight w:val="none"/>
                <w:lang w:val="en-US" w:eastAsia="zh-CN"/>
                <w14:textFill>
                  <w14:solidFill>
                    <w14:schemeClr w14:val="tx1"/>
                  </w14:solidFill>
                </w14:textFill>
              </w:rPr>
              <w:t>与《永安市国土空间总体规划（2022-2035）》符合性分析</w:t>
            </w:r>
            <w:bookmarkEnd w:id="47"/>
            <w:bookmarkEnd w:id="48"/>
            <w:bookmarkEnd w:id="49"/>
            <w:bookmarkEnd w:id="50"/>
            <w:bookmarkEnd w:id="51"/>
          </w:p>
          <w:p w14:paraId="69545FE6">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（1）“三区”</w:t>
            </w:r>
            <w:r>
              <w:rPr>
                <w:rFonts w:hint="eastAsia"/>
                <w:color w:val="000000" w:themeColor="text1"/>
                <w:highlight w:val="none"/>
                <w:lang w:val="en-US" w:eastAsia="zh-CN"/>
                <w14:textFill>
                  <w14:solidFill>
                    <w14:schemeClr w14:val="tx1"/>
                  </w14:solidFill>
                </w14:textFill>
              </w:rPr>
              <w:t>划定</w:t>
            </w:r>
          </w:p>
          <w:p w14:paraId="708838BC">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①生态空间：维护与贯通连接市域重要自然保护区和物种栖息地的绿色及水系生态廊道，重点强化重要生态节点的主要生态廊道，包括沙溪、文川溪、巴溪、胡贡溪、益溪、文江溪、后溪等水系生态廊道，东坡省级森林自然公园</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九龙竹海国家森林自然公园、罗坊乡水源生态保护区</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龙头国家湿地公园</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永安市北部山地生态节点等绿色生态廊道。本项目位于永安市贡川水东工业园内，不涉及以上绿色生态廊道。</w:t>
            </w:r>
          </w:p>
          <w:p w14:paraId="0528B7F8">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②农业空间：永安市农业发展区域划分为三大片区。东南部区域，即西洋镇、槐南镇、青水畲族乡和上坪乡片区，重点发展笋竹、果茶、蔬菜、乡村旅游等产业；北部区域，即曹远镇、大湖镇、安砂镇和贡川镇片区，重点发展畜牧、蔬菜、水产养殖、休闲农业等产业；西南部区域，即小陶镇、洪田镇和罗坊乡片区，重点发展粮食、水果、蔬菜、林药、高山茶叶、森林旅游等产业。本项目位于永安市贡川水东工业园内，用地性质为工业用地，不涉及以上农业空间。</w:t>
            </w:r>
          </w:p>
          <w:p w14:paraId="18E81B87">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③城镇空间：规划至2025年，全市常住人口36.25万人，城镇化水平75%，城镇人口27.19万人。建设用地总规模122平方公里，城镇建设用地规模43.23平方公里。至2035年，预测全市常住人口39.55万人，城镇化水平80%，城镇人口31.64万人。建设用地总规模155平方公里。城镇建设用地规模61.74平方公里。本项目位于永安市贡川水东工业园内</w:t>
            </w:r>
            <w:r>
              <w:rPr>
                <w:rFonts w:hint="eastAsia"/>
                <w:color w:val="000000" w:themeColor="text1"/>
                <w:highlight w:val="none"/>
                <w:lang w:val="en-US" w:eastAsia="zh-CN"/>
                <w14:textFill>
                  <w14:solidFill>
                    <w14:schemeClr w14:val="tx1"/>
                  </w14:solidFill>
                </w14:textFill>
              </w:rPr>
              <w:t>，用地与城镇空间不冲突</w:t>
            </w:r>
            <w:r>
              <w:rPr>
                <w:rFonts w:hint="default"/>
                <w:color w:val="000000" w:themeColor="text1"/>
                <w:highlight w:val="none"/>
                <w:lang w:val="en-US" w:eastAsia="zh-CN"/>
                <w14:textFill>
                  <w14:solidFill>
                    <w14:schemeClr w14:val="tx1"/>
                  </w14:solidFill>
                </w14:textFill>
              </w:rPr>
              <w:t>。</w:t>
            </w:r>
          </w:p>
          <w:p w14:paraId="1380AC5A">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（2）“三线”</w:t>
            </w:r>
          </w:p>
          <w:p w14:paraId="12DB7B27">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①永久基本农田保护红线：至2035年，全市划定永久基本农田116.20平方公里（17.43万亩），主要分布在小陶镇、安砂镇、西洋镇、洪田镇和青水畲族乡。本项目位于永安市贡川水东工业园内，不涉及以上永久基本农田保护红线。</w:t>
            </w:r>
          </w:p>
          <w:p w14:paraId="0AB6DB9E">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②生态保护红线：至2035年，全市划定生态保护红线面积为765.91平方公里，占行政区面积的26.13%。主要包括福建省天宝岩国家级自然保护区、福建省永安龙头国家湿地自然公园、福建省九龙竹海国家森林自然公园、永安市北区水厂水源保护区、永安市南区水厂水源保护区、国家一级生态公益林和其他生态功能极重要区域、生态极敏感脆弱区。本项目位于永安市贡川水东工业园内，不涉及以上生态保护红线。</w:t>
            </w:r>
          </w:p>
          <w:p w14:paraId="47EEADD6">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③城镇开发边界：按照节约集约、绿色发展要求合理划定城镇开发边界，优先将近期明确的市级以上重大建设片区、各类依法批准的开发区等可集中进行城镇开发建设的区域，划入城镇开发边界。至2035年，全市划定城镇开发边界70.45平方公里，城镇开发边界主要分布在中心城区和各镇镇区。</w:t>
            </w:r>
          </w:p>
          <w:p w14:paraId="6C843CDE">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本项目位于永安市贡川水东工业园，对照《永安市国土空间总体规划（2022-2035）》三区三线图</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详见附图6</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，本项目用地属于城镇开发边界范围内，项目用地不涉及永久基本农田和生态保护红线，项目选址符合《永安市国土空间总体规划（2022-2035）》的要求。</w:t>
            </w:r>
          </w:p>
          <w:p w14:paraId="2DBF1586">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本项目与永安市国土空间总体规划中“三区三线”位置关系详见附图</w:t>
            </w:r>
            <w:r>
              <w:rPr>
                <w:rFonts w:hint="eastAsia"/>
                <w:color w:val="000000" w:themeColor="text1"/>
                <w:highlight w:val="none"/>
                <w:lang w:val="en-US" w:eastAsia="zh-CN"/>
                <w14:textFill>
                  <w14:solidFill>
                    <w14:schemeClr w14:val="tx1"/>
                  </w14:solidFill>
                </w14:textFill>
              </w:rPr>
              <w:t>6</w:t>
            </w:r>
            <w:r>
              <w:rPr>
                <w:rFonts w:hint="default"/>
                <w:color w:val="000000" w:themeColor="text1"/>
                <w:highlight w:val="none"/>
                <w:lang w:val="en-US" w:eastAsia="zh-CN"/>
                <w14:textFill>
                  <w14:solidFill>
                    <w14:schemeClr w14:val="tx1"/>
                  </w14:solidFill>
                </w14:textFill>
              </w:rPr>
              <w:t>。</w:t>
            </w:r>
          </w:p>
          <w:p w14:paraId="3442BD23">
            <w:pPr>
              <w:pStyle w:val="2"/>
              <w:bidi w:val="0"/>
              <w:rPr>
                <w:rFonts w:hint="default"/>
                <w:color w:val="000000" w:themeColor="text1"/>
                <w:highlight w:val="none"/>
                <w:lang w:val="en-US" w:eastAsia="zh-CN"/>
                <w14:textFill>
                  <w14:solidFill>
                    <w14:schemeClr w14:val="tx1"/>
                  </w14:solidFill>
                </w14:textFill>
              </w:rPr>
            </w:pPr>
            <w:bookmarkStart w:id="52" w:name="_Toc4940"/>
            <w:bookmarkStart w:id="53" w:name="_Toc18680"/>
            <w:r>
              <w:rPr>
                <w:rFonts w:hint="eastAsia"/>
                <w:color w:val="000000" w:themeColor="text1"/>
                <w:highlight w:val="none"/>
                <w:lang w:val="en-US" w:eastAsia="zh-CN"/>
                <w14:textFill>
                  <w14:solidFill>
                    <w14:schemeClr w14:val="tx1"/>
                  </w14:solidFill>
                </w14:textFill>
              </w:rPr>
              <w:t>选址可行性分析</w:t>
            </w:r>
            <w:bookmarkEnd w:id="52"/>
            <w:bookmarkEnd w:id="53"/>
          </w:p>
          <w:p w14:paraId="1946BE01">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本项目位于福建省三明市永安市贡川水东园区</w:t>
            </w:r>
            <w:r>
              <w:rPr>
                <w:rFonts w:hint="eastAsia"/>
                <w:color w:val="000000" w:themeColor="text1"/>
                <w:highlight w:val="none"/>
                <w:lang w:val="en-US" w:eastAsia="zh-CN"/>
                <w14:textFill>
                  <w14:solidFill>
                    <w14:schemeClr w14:val="tx1"/>
                  </w14:solidFill>
                </w14:textFill>
              </w:rPr>
              <w:t>56</w:t>
            </w:r>
            <w:r>
              <w:rPr>
                <w:rFonts w:hint="eastAsia"/>
                <w:color w:val="000000" w:themeColor="text1"/>
                <w:highlight w:val="none"/>
                <w14:textFill>
                  <w14:solidFill>
                    <w14:schemeClr w14:val="tx1"/>
                  </w14:solidFill>
                </w14:textFill>
              </w:rPr>
              <w:t>号（永安市石墨和石墨烯产业园），根据建设单位提供的用地证明（见附件4），项目用地性质属于工业用地。同时，根据《三明经济开发区贡川园（永安市石墨和石墨烯产业园）控制性详细规划（修编）》，项目所在地块属于工业用地，符合片区的土地利用规划，本项目选址合理。</w:t>
            </w:r>
          </w:p>
          <w:p w14:paraId="5510EB59">
            <w:pPr>
              <w:pStyle w:val="2"/>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与《“十三五”挥发性有机物污染防治工作方案》的符合性分析</w:t>
            </w:r>
          </w:p>
          <w:p w14:paraId="4E653E6A">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根据《“十三五”挥发性有机物污染防治工作方案》（环大气〔2017〕121 号）要求，“新、改、扩建涉非甲烷总烃排放项目，应从源头加强控制，使用低（无）非甲烷总烃含量的原辅材料，加强废气收集，安装高效治理设施”。</w:t>
            </w:r>
          </w:p>
          <w:p w14:paraId="1F577D34">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本项目对废气产生环节设置废气收集管线，接入</w:t>
            </w:r>
            <w:r>
              <w:rPr>
                <w:rFonts w:hint="eastAsia"/>
                <w:color w:val="000000" w:themeColor="text1"/>
                <w:lang w:val="en-US" w:eastAsia="zh-CN"/>
                <w14:textFill>
                  <w14:solidFill>
                    <w14:schemeClr w14:val="tx1"/>
                  </w14:solidFill>
                </w14:textFill>
              </w:rPr>
              <w:t>废气处理设施进行</w:t>
            </w:r>
            <w:r>
              <w:rPr>
                <w:rFonts w:hint="default"/>
                <w:color w:val="000000" w:themeColor="text1"/>
                <w:lang w:val="en-US" w:eastAsia="zh-CN"/>
                <w14:textFill>
                  <w14:solidFill>
                    <w14:schemeClr w14:val="tx1"/>
                  </w14:solidFill>
                </w14:textFill>
              </w:rPr>
              <w:t>处理，项目有机废气的收集率可达9</w:t>
            </w:r>
            <w:r>
              <w:rPr>
                <w:rFonts w:hint="eastAsia"/>
                <w:color w:val="000000" w:themeColor="text1"/>
                <w:lang w:val="en-US" w:eastAsia="zh-CN"/>
                <w14:textFill>
                  <w14:solidFill>
                    <w14:schemeClr w14:val="tx1"/>
                  </w14:solidFill>
                </w14:textFill>
              </w:rPr>
              <w:t>5</w:t>
            </w:r>
            <w:r>
              <w:rPr>
                <w:rFonts w:hint="default"/>
                <w:color w:val="000000" w:themeColor="text1"/>
                <w:lang w:val="en-US" w:eastAsia="zh-CN"/>
                <w14:textFill>
                  <w14:solidFill>
                    <w14:schemeClr w14:val="tx1"/>
                  </w14:solidFill>
                </w14:textFill>
              </w:rPr>
              <w:t>%以上。符合“新、改、扩建涉非甲烷总烃排放项目，应从源头加强控制，使用低（无）VOCs含量的原辅材料，加强废气收集，安装高效治理设施”的要求。</w:t>
            </w:r>
          </w:p>
          <w:p w14:paraId="6C248055">
            <w:pPr>
              <w:pStyle w:val="2"/>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与</w:t>
            </w:r>
            <w:r>
              <w:rPr>
                <w:rFonts w:hint="default"/>
                <w:color w:val="000000" w:themeColor="text1"/>
                <w:lang w:val="en-US" w:eastAsia="zh-CN"/>
                <w14:textFill>
                  <w14:solidFill>
                    <w14:schemeClr w14:val="tx1"/>
                  </w14:solidFill>
                </w14:textFill>
              </w:rPr>
              <w:t>《福建省2020年挥发性有机物治理攻坚实施方案》的符合性分析</w:t>
            </w:r>
          </w:p>
          <w:p w14:paraId="3C8C918C">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本项目与《福建省2020年挥发性有机物治理攻坚实施方案》的通知（闽环保大气〔2020〕6号）的符合性分析详见</w:t>
            </w: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REF _Ref12492 \n \h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表1.8-1</w:t>
            </w:r>
            <w:r>
              <w:rPr>
                <w:rFonts w:hint="eastAsia"/>
                <w:color w:val="000000" w:themeColor="text1"/>
                <w:lang w:val="en-US" w:eastAsia="zh-CN"/>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w:t>
            </w:r>
          </w:p>
          <w:p w14:paraId="744D1EBA">
            <w:pPr>
              <w:pStyle w:val="30"/>
              <w:bidi w:val="0"/>
              <w:rPr>
                <w:rFonts w:hint="default"/>
                <w:color w:val="000000" w:themeColor="text1"/>
                <w:lang w:val="en-US" w:eastAsia="zh-CN"/>
                <w14:textFill>
                  <w14:solidFill>
                    <w14:schemeClr w14:val="tx1"/>
                  </w14:solidFill>
                </w14:textFill>
              </w:rPr>
            </w:pPr>
            <w:bookmarkStart w:id="54" w:name="_Ref12492"/>
            <w:bookmarkEnd w:id="54"/>
            <w:r>
              <w:rPr>
                <w:rFonts w:hint="eastAsia"/>
                <w:color w:val="000000" w:themeColor="text1"/>
                <w:highlight w:val="none"/>
                <w:lang w:val="en-US" w:eastAsia="zh-CN"/>
                <w14:textFill>
                  <w14:solidFill>
                    <w14:schemeClr w14:val="tx1"/>
                  </w14:solidFill>
                </w14:textFill>
              </w:rPr>
              <w:t>本项目</w:t>
            </w:r>
            <w:r>
              <w:rPr>
                <w:color w:val="000000" w:themeColor="text1"/>
                <w:highlight w:val="none"/>
                <w14:textFill>
                  <w14:solidFill>
                    <w14:schemeClr w14:val="tx1"/>
                  </w14:solidFill>
                </w14:textFill>
              </w:rPr>
              <w:t>与</w:t>
            </w:r>
            <w:r>
              <w:rPr>
                <w:rFonts w:hint="default"/>
                <w:color w:val="000000" w:themeColor="text1"/>
                <w:lang w:val="en-US" w:eastAsia="zh-CN"/>
                <w14:textFill>
                  <w14:solidFill>
                    <w14:schemeClr w14:val="tx1"/>
                  </w14:solidFill>
                </w14:textFill>
              </w:rPr>
              <w:t>《福建省2020年挥发性有机物治理攻坚实施方案》</w:t>
            </w:r>
            <w:r>
              <w:rPr>
                <w:color w:val="000000" w:themeColor="text1"/>
                <w:highlight w:val="none"/>
                <w14:textFill>
                  <w14:solidFill>
                    <w14:schemeClr w14:val="tx1"/>
                  </w14:solidFill>
                </w14:textFill>
              </w:rPr>
              <w:t>符合性分析一览表</w:t>
            </w:r>
          </w:p>
          <w:tbl>
            <w:tblPr>
              <w:tblStyle w:val="17"/>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3"/>
              <w:gridCol w:w="2162"/>
              <w:gridCol w:w="2406"/>
              <w:gridCol w:w="901"/>
            </w:tblGrid>
            <w:tr w14:paraId="5F9EF6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3" w:type="dxa"/>
                  <w:noWrap w:val="0"/>
                  <w:vAlign w:val="center"/>
                </w:tcPr>
                <w:p w14:paraId="42DD07DD">
                  <w:pPr>
                    <w:pStyle w:val="26"/>
                    <w:rPr>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分析内容</w:t>
                  </w:r>
                </w:p>
              </w:tc>
              <w:tc>
                <w:tcPr>
                  <w:tcW w:w="2162" w:type="dxa"/>
                  <w:noWrap w:val="0"/>
                  <w:vAlign w:val="center"/>
                </w:tcPr>
                <w:p w14:paraId="0C36D2D8">
                  <w:pPr>
                    <w:pStyle w:val="26"/>
                    <w:rPr>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方案要求</w:t>
                  </w:r>
                </w:p>
              </w:tc>
              <w:tc>
                <w:tcPr>
                  <w:tcW w:w="2406" w:type="dxa"/>
                  <w:noWrap w:val="0"/>
                  <w:vAlign w:val="center"/>
                </w:tcPr>
                <w:p w14:paraId="4859291A">
                  <w:pPr>
                    <w:pStyle w:val="26"/>
                    <w:rPr>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项目情况</w:t>
                  </w:r>
                </w:p>
              </w:tc>
              <w:tc>
                <w:tcPr>
                  <w:tcW w:w="901" w:type="dxa"/>
                  <w:noWrap w:val="0"/>
                  <w:vAlign w:val="center"/>
                </w:tcPr>
                <w:p w14:paraId="1BB0DD2E">
                  <w:pPr>
                    <w:pStyle w:val="26"/>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符合性</w:t>
                  </w:r>
                </w:p>
              </w:tc>
            </w:tr>
            <w:tr w14:paraId="27C8EA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3" w:type="dxa"/>
                  <w:vMerge w:val="restart"/>
                  <w:noWrap w:val="0"/>
                  <w:vAlign w:val="center"/>
                </w:tcPr>
                <w:p w14:paraId="6FBE7671">
                  <w:pPr>
                    <w:pStyle w:val="26"/>
                    <w:rPr>
                      <w:color w:val="000000" w:themeColor="text1"/>
                      <w:highlight w:val="none"/>
                      <w:lang w:val="en-US" w:eastAsia="zh-CN"/>
                      <w14:textFill>
                        <w14:solidFill>
                          <w14:schemeClr w14:val="tx1"/>
                        </w14:solidFill>
                      </w14:textFill>
                    </w:rPr>
                  </w:pPr>
                  <w:r>
                    <w:rPr>
                      <w:color w:val="000000" w:themeColor="text1"/>
                      <w:highlight w:val="none"/>
                      <w:lang w:val="en-US" w:eastAsia="zh-CN"/>
                      <w14:textFill>
                        <w14:solidFill>
                          <w14:schemeClr w14:val="tx1"/>
                        </w14:solidFill>
                      </w14:textFill>
                    </w:rPr>
                    <w:t>大力推进源头替代，有效减少VOCs产生</w:t>
                  </w:r>
                </w:p>
              </w:tc>
              <w:tc>
                <w:tcPr>
                  <w:tcW w:w="2162" w:type="dxa"/>
                  <w:noWrap w:val="0"/>
                  <w:vAlign w:val="center"/>
                </w:tcPr>
                <w:p w14:paraId="1AB0D175">
                  <w:pPr>
                    <w:pStyle w:val="26"/>
                    <w:rPr>
                      <w:rFonts w:hint="eastAsia"/>
                      <w:color w:val="000000" w:themeColor="text1"/>
                      <w:highlight w:val="none"/>
                      <w:lang w:val="en-US" w:eastAsia="zh-CN"/>
                      <w14:textFill>
                        <w14:solidFill>
                          <w14:schemeClr w14:val="tx1"/>
                        </w14:solidFill>
                      </w14:textFill>
                    </w:rPr>
                  </w:pPr>
                  <w:r>
                    <w:rPr>
                      <w:color w:val="000000" w:themeColor="text1"/>
                      <w:highlight w:val="none"/>
                      <w:lang w:val="en-US" w:eastAsia="zh-CN"/>
                      <w14:textFill>
                        <w14:solidFill>
                          <w14:schemeClr w14:val="tx1"/>
                        </w14:solidFill>
                      </w14:textFill>
                    </w:rPr>
                    <w:t>大力推进低（无）VOCs含量原辅材料替代。将全面使用符合国家要求的低VOCs含量原辅材料的企业纳入正面清单和政府绿色采购清单</w:t>
                  </w:r>
                  <w:r>
                    <w:rPr>
                      <w:rFonts w:hint="eastAsia"/>
                      <w:color w:val="000000" w:themeColor="text1"/>
                      <w:highlight w:val="none"/>
                      <w:lang w:val="en-US" w:eastAsia="zh-CN"/>
                      <w14:textFill>
                        <w14:solidFill>
                          <w14:schemeClr w14:val="tx1"/>
                        </w14:solidFill>
                      </w14:textFill>
                    </w:rPr>
                    <w:t>。</w:t>
                  </w:r>
                </w:p>
              </w:tc>
              <w:tc>
                <w:tcPr>
                  <w:tcW w:w="2406" w:type="dxa"/>
                  <w:noWrap w:val="0"/>
                  <w:vAlign w:val="center"/>
                </w:tcPr>
                <w:p w14:paraId="0898F5A0">
                  <w:pPr>
                    <w:pStyle w:val="26"/>
                    <w:rPr>
                      <w:color w:val="000000" w:themeColor="text1"/>
                      <w:highlight w:val="none"/>
                      <w:lang w:val="en-US" w:eastAsia="zh-CN"/>
                      <w14:textFill>
                        <w14:solidFill>
                          <w14:schemeClr w14:val="tx1"/>
                        </w14:solidFill>
                      </w14:textFill>
                    </w:rPr>
                  </w:pPr>
                  <w:r>
                    <w:rPr>
                      <w:color w:val="000000" w:themeColor="text1"/>
                      <w:highlight w:val="none"/>
                      <w:lang w:val="en-US" w:eastAsia="zh-CN"/>
                      <w14:textFill>
                        <w14:solidFill>
                          <w14:schemeClr w14:val="tx1"/>
                        </w14:solidFill>
                      </w14:textFill>
                    </w:rPr>
                    <w:t>项目</w:t>
                  </w:r>
                  <w:r>
                    <w:rPr>
                      <w:rFonts w:hint="eastAsia"/>
                      <w:color w:val="000000" w:themeColor="text1"/>
                      <w:highlight w:val="none"/>
                      <w:lang w:val="en-US" w:eastAsia="zh-CN"/>
                      <w14:textFill>
                        <w14:solidFill>
                          <w14:schemeClr w14:val="tx1"/>
                        </w14:solidFill>
                      </w14:textFill>
                    </w:rPr>
                    <w:t>使用的活性助剂等</w:t>
                  </w:r>
                  <w:r>
                    <w:rPr>
                      <w:color w:val="000000" w:themeColor="text1"/>
                      <w:highlight w:val="none"/>
                      <w:lang w:val="en-US" w:eastAsia="zh-CN"/>
                      <w14:textFill>
                        <w14:solidFill>
                          <w14:schemeClr w14:val="tx1"/>
                        </w14:solidFill>
                      </w14:textFill>
                    </w:rPr>
                    <w:t>为低VOCs含量原辅材料，使用的原辅材料符合相应的有害物质限量标准</w:t>
                  </w:r>
                </w:p>
              </w:tc>
              <w:tc>
                <w:tcPr>
                  <w:tcW w:w="901" w:type="dxa"/>
                  <w:noWrap w:val="0"/>
                  <w:vAlign w:val="center"/>
                </w:tcPr>
                <w:p w14:paraId="61F1A41C">
                  <w:pPr>
                    <w:pStyle w:val="26"/>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符合</w:t>
                  </w:r>
                </w:p>
              </w:tc>
            </w:tr>
            <w:tr w14:paraId="251B46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3" w:type="dxa"/>
                  <w:vMerge w:val="continue"/>
                  <w:noWrap w:val="0"/>
                  <w:vAlign w:val="center"/>
                </w:tcPr>
                <w:p w14:paraId="2700AFA4">
                  <w:pPr>
                    <w:pStyle w:val="26"/>
                    <w:rPr>
                      <w:color w:val="000000" w:themeColor="text1"/>
                      <w:highlight w:val="none"/>
                      <w:lang w:val="en-US" w:eastAsia="zh-CN"/>
                      <w14:textFill>
                        <w14:solidFill>
                          <w14:schemeClr w14:val="tx1"/>
                        </w14:solidFill>
                      </w14:textFill>
                    </w:rPr>
                  </w:pPr>
                </w:p>
              </w:tc>
              <w:tc>
                <w:tcPr>
                  <w:tcW w:w="2162" w:type="dxa"/>
                  <w:noWrap w:val="0"/>
                  <w:vAlign w:val="center"/>
                </w:tcPr>
                <w:p w14:paraId="438C2584">
                  <w:pPr>
                    <w:pStyle w:val="26"/>
                    <w:rPr>
                      <w:color w:val="000000" w:themeColor="text1"/>
                      <w:highlight w:val="none"/>
                      <w:lang w:val="en-US" w:eastAsia="zh-CN"/>
                      <w14:textFill>
                        <w14:solidFill>
                          <w14:schemeClr w14:val="tx1"/>
                        </w14:solidFill>
                      </w14:textFill>
                    </w:rPr>
                  </w:pPr>
                  <w:r>
                    <w:rPr>
                      <w:color w:val="000000" w:themeColor="text1"/>
                      <w:highlight w:val="none"/>
                      <w:lang w:val="en-US" w:eastAsia="zh-CN"/>
                      <w14:textFill>
                        <w14:solidFill>
                          <w14:schemeClr w14:val="tx1"/>
                        </w14:solidFill>
                      </w14:textFill>
                    </w:rPr>
                    <w:t>企业应建立原辅材料台账，记录VOCs原辅材料名称、成分、VOCs含量、采购量、使用量、库存量、回收方式、回收量等信息，并保存相关证明材料。</w:t>
                  </w:r>
                </w:p>
              </w:tc>
              <w:tc>
                <w:tcPr>
                  <w:tcW w:w="2406" w:type="dxa"/>
                  <w:noWrap w:val="0"/>
                  <w:vAlign w:val="center"/>
                </w:tcPr>
                <w:p w14:paraId="19CA3CF2">
                  <w:pPr>
                    <w:pStyle w:val="26"/>
                    <w:rPr>
                      <w:color w:val="000000" w:themeColor="text1"/>
                      <w:highlight w:val="none"/>
                      <w:lang w:val="en-US" w:eastAsia="zh-CN"/>
                      <w14:textFill>
                        <w14:solidFill>
                          <w14:schemeClr w14:val="tx1"/>
                        </w14:solidFill>
                      </w14:textFill>
                    </w:rPr>
                  </w:pPr>
                  <w:r>
                    <w:rPr>
                      <w:color w:val="000000" w:themeColor="text1"/>
                      <w:highlight w:val="none"/>
                      <w:lang w:val="en-US" w:eastAsia="zh-CN"/>
                      <w14:textFill>
                        <w14:solidFill>
                          <w14:schemeClr w14:val="tx1"/>
                        </w14:solidFill>
                      </w14:textFill>
                    </w:rPr>
                    <w:t>项目建立相应质量管理台账</w:t>
                  </w:r>
                </w:p>
              </w:tc>
              <w:tc>
                <w:tcPr>
                  <w:tcW w:w="901" w:type="dxa"/>
                  <w:noWrap w:val="0"/>
                  <w:vAlign w:val="center"/>
                </w:tcPr>
                <w:p w14:paraId="5A9B279C">
                  <w:pPr>
                    <w:pStyle w:val="26"/>
                    <w:rPr>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符合</w:t>
                  </w:r>
                </w:p>
              </w:tc>
            </w:tr>
            <w:tr w14:paraId="544F06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3" w:type="dxa"/>
                  <w:noWrap w:val="0"/>
                  <w:vAlign w:val="center"/>
                </w:tcPr>
                <w:p w14:paraId="16AEAC3F">
                  <w:pPr>
                    <w:pStyle w:val="26"/>
                    <w:rPr>
                      <w:color w:val="000000" w:themeColor="text1"/>
                      <w:highlight w:val="none"/>
                      <w:lang w:val="en-US" w:eastAsia="zh-CN"/>
                      <w14:textFill>
                        <w14:solidFill>
                          <w14:schemeClr w14:val="tx1"/>
                        </w14:solidFill>
                      </w14:textFill>
                    </w:rPr>
                  </w:pPr>
                  <w:r>
                    <w:rPr>
                      <w:color w:val="000000" w:themeColor="text1"/>
                      <w:highlight w:val="none"/>
                      <w:lang w:val="en-US" w:eastAsia="zh-CN"/>
                      <w14:textFill>
                        <w14:solidFill>
                          <w14:schemeClr w14:val="tx1"/>
                        </w14:solidFill>
                      </w14:textFill>
                    </w:rPr>
                    <w:t>全面落实标准要求，强化无组织排放控制</w:t>
                  </w:r>
                </w:p>
              </w:tc>
              <w:tc>
                <w:tcPr>
                  <w:tcW w:w="2162" w:type="dxa"/>
                  <w:noWrap w:val="0"/>
                  <w:vAlign w:val="center"/>
                </w:tcPr>
                <w:p w14:paraId="12AE91BE">
                  <w:pPr>
                    <w:pStyle w:val="26"/>
                    <w:rPr>
                      <w:color w:val="000000" w:themeColor="text1"/>
                      <w:highlight w:val="none"/>
                      <w:lang w:val="en-US" w:eastAsia="zh-CN"/>
                      <w14:textFill>
                        <w14:solidFill>
                          <w14:schemeClr w14:val="tx1"/>
                        </w14:solidFill>
                      </w14:textFill>
                    </w:rPr>
                  </w:pPr>
                  <w:r>
                    <w:rPr>
                      <w:color w:val="000000" w:themeColor="text1"/>
                      <w:highlight w:val="none"/>
                      <w:lang w:val="en-US" w:eastAsia="zh-CN"/>
                      <w14:textFill>
                        <w14:solidFill>
                          <w14:schemeClr w14:val="tx1"/>
                        </w14:solidFill>
                      </w14:textFill>
                    </w:rPr>
                    <w:t>储存环节应采用密闭容器、包装袋，高效密封储罐，封闭式储库、料仓等。</w:t>
                  </w:r>
                </w:p>
              </w:tc>
              <w:tc>
                <w:tcPr>
                  <w:tcW w:w="2406" w:type="dxa"/>
                  <w:noWrap w:val="0"/>
                  <w:vAlign w:val="center"/>
                </w:tcPr>
                <w:p w14:paraId="57C0DF9E">
                  <w:pPr>
                    <w:pStyle w:val="26"/>
                    <w:rPr>
                      <w:rFonts w:hint="default"/>
                      <w:color w:val="000000" w:themeColor="text1"/>
                      <w:highlight w:val="none"/>
                      <w:lang w:val="en-US" w:eastAsia="zh-CN"/>
                      <w14:textFill>
                        <w14:solidFill>
                          <w14:schemeClr w14:val="tx1"/>
                        </w14:solidFill>
                      </w14:textFill>
                    </w:rPr>
                  </w:pPr>
                  <w:r>
                    <w:rPr>
                      <w:color w:val="000000" w:themeColor="text1"/>
                      <w:highlight w:val="none"/>
                      <w:lang w:val="en-US" w:eastAsia="zh-CN"/>
                      <w14:textFill>
                        <w14:solidFill>
                          <w14:schemeClr w14:val="tx1"/>
                        </w14:solidFill>
                      </w14:textFill>
                    </w:rPr>
                    <w:t>密封存放，</w:t>
                  </w:r>
                  <w:r>
                    <w:rPr>
                      <w:rFonts w:hint="eastAsia"/>
                      <w:color w:val="000000" w:themeColor="text1"/>
                      <w:highlight w:val="none"/>
                      <w:lang w:val="en-US" w:eastAsia="zh-CN"/>
                      <w14:textFill>
                        <w14:solidFill>
                          <w14:schemeClr w14:val="tx1"/>
                        </w14:solidFill>
                      </w14:textFill>
                    </w:rPr>
                    <w:t>乙醇储罐采用密封储罐，生产使用及冷凝回收过程由密封管道直接接入，有效减少无组织排放</w:t>
                  </w:r>
                </w:p>
              </w:tc>
              <w:tc>
                <w:tcPr>
                  <w:tcW w:w="901" w:type="dxa"/>
                  <w:noWrap w:val="0"/>
                  <w:vAlign w:val="center"/>
                </w:tcPr>
                <w:p w14:paraId="659D4F92">
                  <w:pPr>
                    <w:pStyle w:val="26"/>
                    <w:rPr>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符合</w:t>
                  </w:r>
                </w:p>
              </w:tc>
            </w:tr>
          </w:tbl>
          <w:p w14:paraId="6143DCEB">
            <w:pPr>
              <w:bidi w:val="0"/>
              <w:rPr>
                <w:rFonts w:hint="default"/>
                <w:color w:val="000000" w:themeColor="text1"/>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因此</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本</w:t>
            </w:r>
            <w:r>
              <w:rPr>
                <w:color w:val="000000" w:themeColor="text1"/>
                <w:highlight w:val="none"/>
                <w14:textFill>
                  <w14:solidFill>
                    <w14:schemeClr w14:val="tx1"/>
                  </w14:solidFill>
                </w14:textFill>
              </w:rPr>
              <w:t>项目符合</w:t>
            </w:r>
            <w:r>
              <w:rPr>
                <w:rFonts w:hint="eastAsia"/>
                <w:color w:val="000000" w:themeColor="text1"/>
                <w:lang w:val="en-US" w:eastAsia="zh-CN"/>
                <w14:textFill>
                  <w14:solidFill>
                    <w14:schemeClr w14:val="tx1"/>
                  </w14:solidFill>
                </w14:textFill>
              </w:rPr>
              <w:t>《福建省2020年挥发性有机物治理攻坚实施方案》的通知（闽环保大气〔2020〕6号）</w:t>
            </w:r>
            <w:r>
              <w:rPr>
                <w:color w:val="000000" w:themeColor="text1"/>
                <w:highlight w:val="none"/>
                <w14:textFill>
                  <w14:solidFill>
                    <w14:schemeClr w14:val="tx1"/>
                  </w14:solidFill>
                </w14:textFill>
              </w:rPr>
              <w:t>的要求</w:t>
            </w:r>
            <w:r>
              <w:rPr>
                <w:rFonts w:hint="eastAsia"/>
                <w:color w:val="000000" w:themeColor="text1"/>
                <w:highlight w:val="none"/>
                <w14:textFill>
                  <w14:solidFill>
                    <w14:schemeClr w14:val="tx1"/>
                  </w14:solidFill>
                </w14:textFill>
              </w:rPr>
              <w:t>。</w:t>
            </w:r>
          </w:p>
          <w:p w14:paraId="2D2C916C">
            <w:pPr>
              <w:bidi w:val="0"/>
              <w:rPr>
                <w:rFonts w:hint="default"/>
                <w:color w:val="000000" w:themeColor="text1"/>
                <w:lang w:val="en-US" w:eastAsia="zh-CN"/>
                <w14:textFill>
                  <w14:solidFill>
                    <w14:schemeClr w14:val="tx1"/>
                  </w14:solidFill>
                </w14:textFill>
              </w:rPr>
            </w:pPr>
          </w:p>
        </w:tc>
      </w:tr>
    </w:tbl>
    <w:p w14:paraId="496F1B87">
      <w:pPr>
        <w:spacing w:line="360" w:lineRule="auto"/>
        <w:ind w:firstLine="600"/>
        <w:outlineLvl w:val="9"/>
        <w:rPr>
          <w:rFonts w:hint="default" w:ascii="Times New Roman" w:hAnsi="Times New Roman" w:eastAsia="黑体" w:cs="Times New Roman"/>
          <w:color w:val="000000" w:themeColor="text1"/>
          <w:sz w:val="30"/>
          <w:highlight w:val="none"/>
          <w14:textFill>
            <w14:solidFill>
              <w14:schemeClr w14:val="tx1"/>
            </w14:solidFill>
          </w14:textFill>
        </w:rPr>
        <w:sectPr>
          <w:footerReference r:id="rId8"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1A99BB68">
      <w:pPr>
        <w:pStyle w:val="32"/>
        <w:bidi w:val="0"/>
        <w:rPr>
          <w:rFonts w:hint="default" w:ascii="Times New Roman" w:hAnsi="Times New Roman" w:cs="Times New Roman"/>
          <w:color w:val="000000" w:themeColor="text1"/>
          <w:highlight w:val="none"/>
          <w14:textFill>
            <w14:solidFill>
              <w14:schemeClr w14:val="tx1"/>
            </w14:solidFill>
          </w14:textFill>
        </w:rPr>
      </w:pPr>
      <w:bookmarkStart w:id="55" w:name="_Toc10953"/>
      <w:r>
        <w:rPr>
          <w:rFonts w:hint="default" w:ascii="Times New Roman" w:hAnsi="Times New Roman" w:cs="Times New Roman"/>
          <w:color w:val="000000" w:themeColor="text1"/>
          <w:highlight w:val="none"/>
          <w14:textFill>
            <w14:solidFill>
              <w14:schemeClr w14:val="tx1"/>
            </w14:solidFill>
          </w14:textFill>
        </w:rPr>
        <w:t>建设项目工程分析</w:t>
      </w:r>
      <w:bookmarkEnd w:id="19"/>
      <w:bookmarkEnd w:id="20"/>
      <w:bookmarkEnd w:id="21"/>
      <w:bookmarkEnd w:id="22"/>
      <w:bookmarkEnd w:id="23"/>
      <w:bookmarkEnd w:id="55"/>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4"/>
        <w:gridCol w:w="8246"/>
      </w:tblGrid>
      <w:tr w14:paraId="67A8D8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4" w:type="dxa"/>
            <w:noWrap w:val="0"/>
            <w:vAlign w:val="center"/>
          </w:tcPr>
          <w:p w14:paraId="2FEA02A1">
            <w:pPr>
              <w:bidi w:val="0"/>
              <w:ind w:left="0" w:leftChars="0" w:firstLine="0" w:firstLineChars="0"/>
              <w:jc w:val="center"/>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建设内容</w:t>
            </w:r>
          </w:p>
        </w:tc>
        <w:tc>
          <w:tcPr>
            <w:tcW w:w="8246" w:type="dxa"/>
            <w:noWrap w:val="0"/>
            <w:vAlign w:val="top"/>
          </w:tcPr>
          <w:p w14:paraId="4FCA81D3">
            <w:pPr>
              <w:pStyle w:val="2"/>
              <w:bidi w:val="0"/>
              <w:rPr>
                <w:rFonts w:hint="default" w:ascii="Times New Roman" w:hAnsi="Times New Roman" w:cs="Times New Roman"/>
                <w:color w:val="000000" w:themeColor="text1"/>
                <w:highlight w:val="none"/>
                <w14:textFill>
                  <w14:solidFill>
                    <w14:schemeClr w14:val="tx1"/>
                  </w14:solidFill>
                </w14:textFill>
              </w:rPr>
            </w:pPr>
            <w:bookmarkStart w:id="56" w:name="_Toc5491"/>
            <w:bookmarkStart w:id="57" w:name="_Toc28893"/>
            <w:bookmarkStart w:id="58" w:name="_Toc13124"/>
            <w:bookmarkStart w:id="59" w:name="_Toc19609"/>
            <w:bookmarkStart w:id="60" w:name="_Toc12022"/>
            <w:bookmarkStart w:id="61" w:name="_Toc18232"/>
            <w:r>
              <w:rPr>
                <w:rFonts w:hint="default" w:ascii="Times New Roman" w:hAnsi="Times New Roman" w:cs="Times New Roman"/>
                <w:color w:val="000000" w:themeColor="text1"/>
                <w:highlight w:val="none"/>
                <w14:textFill>
                  <w14:solidFill>
                    <w14:schemeClr w14:val="tx1"/>
                  </w14:solidFill>
                </w14:textFill>
              </w:rPr>
              <w:t>项目概况</w:t>
            </w:r>
            <w:bookmarkEnd w:id="56"/>
            <w:bookmarkEnd w:id="57"/>
            <w:bookmarkEnd w:id="58"/>
            <w:bookmarkEnd w:id="59"/>
            <w:bookmarkEnd w:id="60"/>
            <w:bookmarkEnd w:id="61"/>
          </w:p>
          <w:p w14:paraId="218A9E75">
            <w:pPr>
              <w:pStyle w:val="3"/>
              <w:bidi w:val="0"/>
              <w:rPr>
                <w:rFonts w:hint="default" w:ascii="Times New Roman" w:hAnsi="Times New Roman" w:cs="Times New Roman"/>
                <w:color w:val="000000" w:themeColor="text1"/>
                <w:highlight w:val="none"/>
                <w:lang w:val="en-US" w:eastAsia="zh-CN"/>
                <w14:textFill>
                  <w14:solidFill>
                    <w14:schemeClr w14:val="tx1"/>
                  </w14:solidFill>
                </w14:textFill>
              </w:rPr>
            </w:pPr>
            <w:bookmarkStart w:id="62" w:name="_Toc16788"/>
            <w:bookmarkStart w:id="63" w:name="_Toc21836"/>
            <w:bookmarkStart w:id="64" w:name="_Toc14524"/>
            <w:r>
              <w:rPr>
                <w:rFonts w:hint="default" w:ascii="Times New Roman" w:hAnsi="Times New Roman" w:cs="Times New Roman"/>
                <w:color w:val="000000" w:themeColor="text1"/>
                <w:highlight w:val="none"/>
                <w14:textFill>
                  <w14:solidFill>
                    <w14:schemeClr w14:val="tx1"/>
                  </w14:solidFill>
                </w14:textFill>
              </w:rPr>
              <w:t>项目由来</w:t>
            </w:r>
            <w:bookmarkEnd w:id="62"/>
            <w:bookmarkEnd w:id="63"/>
            <w:bookmarkEnd w:id="64"/>
          </w:p>
          <w:p w14:paraId="2F4A5168">
            <w:pPr>
              <w:bidi w:val="0"/>
              <w:rPr>
                <w:rFonts w:hint="default" w:eastAsia="宋体"/>
                <w:color w:val="000000" w:themeColor="text1"/>
                <w:highlight w:val="none"/>
                <w:lang w:val="en-US" w:eastAsia="zh-CN"/>
                <w14:textFill>
                  <w14:solidFill>
                    <w14:schemeClr w14:val="tx1"/>
                  </w14:solidFill>
                </w14:textFill>
              </w:rPr>
            </w:pPr>
            <w:r>
              <w:rPr>
                <w:rFonts w:hint="default" w:eastAsia="宋体"/>
                <w:color w:val="000000" w:themeColor="text1"/>
                <w:highlight w:val="none"/>
                <w:lang w:val="en-US" w:eastAsia="zh-CN"/>
                <w14:textFill>
                  <w14:solidFill>
                    <w14:schemeClr w14:val="tx1"/>
                  </w14:solidFill>
                </w14:textFill>
              </w:rPr>
              <w:t>永安君博纳米科技有限公司</w:t>
            </w:r>
            <w:r>
              <w:rPr>
                <w:rFonts w:hint="eastAsia"/>
                <w:color w:val="000000" w:themeColor="text1"/>
                <w:highlight w:val="none"/>
                <w:lang w:val="en-US" w:eastAsia="zh-CN"/>
                <w14:textFill>
                  <w14:solidFill>
                    <w14:schemeClr w14:val="tx1"/>
                  </w14:solidFill>
                </w14:textFill>
              </w:rPr>
              <w:t>成立于2025年1月8日，公司主要从事新材料技术研发，石墨及碳素制品制造，电子专用材料研发与制造，建设单位拟投资35000万元租赁福建中禾新材料有限公司位于三明市永安市贡川镇水东工业园区56号的1#车间、3#车间和综合楼，从事</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单壁碳纳米管</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及硅碳负极材料</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的生产。</w:t>
            </w:r>
          </w:p>
          <w:p w14:paraId="7F46E3FF">
            <w:pPr>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根据《中华人民共和国环境影响评价法》</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2018年12月29日修订</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、《建设项目环境影响评价分类管理名录》</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2021</w:t>
            </w:r>
            <w:r>
              <w:rPr>
                <w:rFonts w:hint="default" w:ascii="Times New Roman" w:hAnsi="Times New Roman" w:cs="Times New Roman"/>
                <w:color w:val="000000" w:themeColor="text1"/>
                <w:highlight w:val="none"/>
                <w:lang w:val="en-US" w:eastAsia="zh-CN"/>
                <w14:textFill>
                  <w14:solidFill>
                    <w14:schemeClr w14:val="tx1"/>
                  </w14:solidFill>
                </w14:textFill>
              </w:rPr>
              <w:t>年版</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本项目属于</w:t>
            </w:r>
            <w:r>
              <w:rPr>
                <w:rFonts w:hint="eastAsia"/>
                <w:color w:val="000000" w:themeColor="text1"/>
                <w:highlight w:val="none"/>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二</w:t>
            </w:r>
            <w:r>
              <w:rPr>
                <w:rFonts w:hint="default" w:ascii="Times New Roman" w:hAnsi="Times New Roman" w:cs="Times New Roman"/>
                <w:color w:val="000000" w:themeColor="text1"/>
                <w:sz w:val="24"/>
                <w:highlight w:val="none"/>
                <w14:textFill>
                  <w14:solidFill>
                    <w14:schemeClr w14:val="tx1"/>
                  </w14:solidFill>
                </w14:textFill>
              </w:rPr>
              <w:t>十</w:t>
            </w:r>
            <w:r>
              <w:rPr>
                <w:rFonts w:hint="eastAsia" w:ascii="Times New Roman" w:hAnsi="Times New Roman" w:cs="Times New Roman"/>
                <w:color w:val="000000" w:themeColor="text1"/>
                <w:sz w:val="24"/>
                <w:highlight w:val="none"/>
                <w:lang w:val="en-US" w:eastAsia="zh-CN"/>
                <w14:textFill>
                  <w14:solidFill>
                    <w14:schemeClr w14:val="tx1"/>
                  </w14:solidFill>
                </w14:textFill>
              </w:rPr>
              <w:t>七、非金属矿物制品业30</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中</w:t>
            </w:r>
            <w:r>
              <w:rPr>
                <w:rFonts w:hint="eastAsia"/>
                <w:color w:val="000000" w:themeColor="text1"/>
                <w:highlight w:val="none"/>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60 石墨及其他非金属矿物制品制造309</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中的</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其他</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报告表类别</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及“</w:t>
            </w:r>
            <w:r>
              <w:rPr>
                <w:rFonts w:hint="eastAsia" w:ascii="Times New Roman" w:hAnsi="Times New Roman" w:cs="Times New Roman"/>
                <w:color w:val="000000" w:themeColor="text1"/>
                <w:sz w:val="24"/>
                <w:highlight w:val="none"/>
                <w:lang w:val="en-US" w:eastAsia="zh-CN"/>
                <w14:textFill>
                  <w14:solidFill>
                    <w14:schemeClr w14:val="tx1"/>
                  </w14:solidFill>
                </w14:textFill>
              </w:rPr>
              <w:t>三十六、计算机、通信和其他电子设备制造业39</w:t>
            </w:r>
            <w:r>
              <w:rPr>
                <w:rFonts w:hint="eastAsia"/>
                <w:color w:val="000000" w:themeColor="text1"/>
                <w:highlight w:val="none"/>
                <w:lang w:val="en-US" w:eastAsia="zh-CN"/>
                <w14:textFill>
                  <w14:solidFill>
                    <w14:schemeClr w14:val="tx1"/>
                  </w14:solidFill>
                </w14:textFill>
              </w:rPr>
              <w:t>”中“</w:t>
            </w:r>
            <w:r>
              <w:rPr>
                <w:rFonts w:hint="eastAsia" w:ascii="Times New Roman" w:hAnsi="Times New Roman" w:cs="Times New Roman"/>
                <w:color w:val="000000" w:themeColor="text1"/>
                <w:sz w:val="24"/>
                <w:highlight w:val="none"/>
                <w:lang w:val="en-US" w:eastAsia="zh-CN"/>
                <w14:textFill>
                  <w14:solidFill>
                    <w14:schemeClr w14:val="tx1"/>
                  </w14:solidFill>
                </w14:textFill>
              </w:rPr>
              <w:t>81 电子元件及电子专用材料制造398</w:t>
            </w:r>
            <w:r>
              <w:rPr>
                <w:rFonts w:hint="eastAsia"/>
                <w:color w:val="000000" w:themeColor="text1"/>
                <w:highlight w:val="none"/>
                <w:lang w:val="en-US" w:eastAsia="zh-CN"/>
                <w14:textFill>
                  <w14:solidFill>
                    <w14:schemeClr w14:val="tx1"/>
                  </w14:solidFill>
                </w14:textFill>
              </w:rPr>
              <w:t>”中的“</w:t>
            </w:r>
            <w:r>
              <w:rPr>
                <w:rFonts w:hint="eastAsia" w:ascii="Times New Roman" w:hAnsi="Times New Roman" w:cs="Times New Roman"/>
                <w:color w:val="000000" w:themeColor="text1"/>
                <w:sz w:val="24"/>
                <w:highlight w:val="none"/>
                <w:lang w:val="en-US" w:eastAsia="zh-CN"/>
                <w14:textFill>
                  <w14:solidFill>
                    <w14:schemeClr w14:val="tx1"/>
                  </w14:solidFill>
                </w14:textFill>
              </w:rPr>
              <w:t>电子专用材料制造（电子化工材料制造除外）</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报告表类别</w:t>
            </w:r>
            <w:r>
              <w:rPr>
                <w:rFonts w:hint="eastAsia"/>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；因此，</w:t>
            </w:r>
            <w:r>
              <w:rPr>
                <w:rFonts w:hint="default" w:ascii="Times New Roman" w:hAnsi="Times New Roman" w:cs="Times New Roman"/>
                <w:color w:val="000000" w:themeColor="text1"/>
                <w:highlight w:val="none"/>
                <w:lang w:val="en-US" w:eastAsia="zh-CN"/>
                <w14:textFill>
                  <w14:solidFill>
                    <w14:schemeClr w14:val="tx1"/>
                  </w14:solidFill>
                </w14:textFill>
              </w:rPr>
              <w:t>本项目</w:t>
            </w:r>
            <w:r>
              <w:rPr>
                <w:rFonts w:hint="default" w:ascii="Times New Roman" w:hAnsi="Times New Roman" w:cs="Times New Roman"/>
                <w:color w:val="000000" w:themeColor="text1"/>
                <w:highlight w:val="none"/>
                <w14:textFill>
                  <w14:solidFill>
                    <w14:schemeClr w14:val="tx1"/>
                  </w14:solidFill>
                </w14:textFill>
              </w:rPr>
              <w:t>应编制环境影响报告表</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详见</w: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begin"/>
            </w:r>
            <w:r>
              <w:rPr>
                <w:rFonts w:hint="default" w:ascii="Times New Roman" w:hAnsi="Times New Roman" w:cs="Times New Roman"/>
                <w:color w:val="000000" w:themeColor="text1"/>
                <w:highlight w:val="none"/>
                <w:lang w:val="en-US" w:eastAsia="zh-CN"/>
                <w14:textFill>
                  <w14:solidFill>
                    <w14:schemeClr w14:val="tx1"/>
                  </w14:solidFill>
                </w14:textFill>
              </w:rPr>
              <w:instrText xml:space="preserve"> REF _Ref13757 \n \h </w:instrTex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separate"/>
            </w:r>
            <w:r>
              <w:rPr>
                <w:rFonts w:hint="default" w:ascii="Times New Roman" w:hAnsi="Times New Roman" w:cs="Times New Roman"/>
                <w:color w:val="000000" w:themeColor="text1"/>
                <w:highlight w:val="none"/>
                <w:lang w:val="en-US" w:eastAsia="zh-CN"/>
                <w14:textFill>
                  <w14:solidFill>
                    <w14:schemeClr w14:val="tx1"/>
                  </w14:solidFill>
                </w14:textFill>
              </w:rPr>
              <w:t>表2.1-1</w: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end"/>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为此</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eastAsia="宋体"/>
                <w:color w:val="000000" w:themeColor="text1"/>
                <w:highlight w:val="none"/>
                <w:lang w:val="en-US" w:eastAsia="zh-CN"/>
                <w14:textFill>
                  <w14:solidFill>
                    <w14:schemeClr w14:val="tx1"/>
                  </w14:solidFill>
                </w14:textFill>
              </w:rPr>
              <w:t>永安君博纳米科技有限公司</w:t>
            </w:r>
            <w:r>
              <w:rPr>
                <w:rFonts w:hint="default" w:ascii="Times New Roman" w:hAnsi="Times New Roman" w:cs="Times New Roman"/>
                <w:color w:val="000000" w:themeColor="text1"/>
                <w:highlight w:val="none"/>
                <w14:textFill>
                  <w14:solidFill>
                    <w14:schemeClr w14:val="tx1"/>
                  </w14:solidFill>
                </w14:textFill>
              </w:rPr>
              <w:t>委托</w:t>
            </w:r>
            <w:r>
              <w:rPr>
                <w:rFonts w:hint="default" w:ascii="Times New Roman" w:hAnsi="Times New Roman" w:cs="Times New Roman"/>
                <w:color w:val="000000" w:themeColor="text1"/>
                <w:highlight w:val="none"/>
                <w:lang w:val="en-US" w:eastAsia="zh-CN"/>
                <w14:textFill>
                  <w14:solidFill>
                    <w14:schemeClr w14:val="tx1"/>
                  </w14:solidFill>
                </w14:textFill>
              </w:rPr>
              <w:t>我公司</w:t>
            </w:r>
            <w:r>
              <w:rPr>
                <w:rFonts w:hint="default" w:ascii="Times New Roman" w:hAnsi="Times New Roman" w:cs="Times New Roman"/>
                <w:color w:val="000000" w:themeColor="text1"/>
                <w:highlight w:val="none"/>
                <w14:textFill>
                  <w14:solidFill>
                    <w14:schemeClr w14:val="tx1"/>
                  </w14:solidFill>
                </w14:textFill>
              </w:rPr>
              <w:t>对本项目进行环境影响评价</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委托书详见</w:t>
            </w:r>
            <w:r>
              <w:rPr>
                <w:rFonts w:hint="default" w:ascii="Times New Roman" w:hAnsi="Times New Roman" w:cs="Times New Roman"/>
                <w:b w:val="0"/>
                <w:bCs w:val="0"/>
                <w:color w:val="000000" w:themeColor="text1"/>
                <w:highlight w:val="none"/>
                <w14:textFill>
                  <w14:solidFill>
                    <w14:schemeClr w14:val="tx1"/>
                  </w14:solidFill>
                </w14:textFill>
              </w:rPr>
              <w:t>附件1</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w:t>
            </w:r>
          </w:p>
          <w:p w14:paraId="789B8D06">
            <w:pPr>
              <w:pStyle w:val="30"/>
              <w:bidi w:val="0"/>
              <w:rPr>
                <w:rFonts w:hint="default" w:ascii="Times New Roman" w:hAnsi="Times New Roman" w:cs="Times New Roman"/>
                <w:color w:val="000000" w:themeColor="text1"/>
                <w:highlight w:val="none"/>
                <w14:textFill>
                  <w14:solidFill>
                    <w14:schemeClr w14:val="tx1"/>
                  </w14:solidFill>
                </w14:textFill>
              </w:rPr>
            </w:pPr>
            <w:bookmarkStart w:id="65" w:name="_Ref13757"/>
            <w:r>
              <w:rPr>
                <w:rFonts w:hint="default" w:ascii="Times New Roman" w:hAnsi="Times New Roman" w:cs="Times New Roman"/>
                <w:color w:val="000000" w:themeColor="text1"/>
                <w:highlight w:val="none"/>
                <w:lang w:val="en-US" w:eastAsia="zh-CN"/>
                <w14:textFill>
                  <w14:solidFill>
                    <w14:schemeClr w14:val="tx1"/>
                  </w14:solidFill>
                </w14:textFill>
              </w:rPr>
              <w:t>建设项目环境影响评价分类管理名录（摘录）</w:t>
            </w:r>
            <w:bookmarkEnd w:id="65"/>
          </w:p>
          <w:tbl>
            <w:tblPr>
              <w:tblStyle w:val="1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0"/>
              <w:gridCol w:w="1770"/>
              <w:gridCol w:w="2354"/>
              <w:gridCol w:w="2513"/>
              <w:gridCol w:w="880"/>
            </w:tblGrid>
            <w:tr w14:paraId="51D9C3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0" w:type="pct"/>
                  <w:gridSpan w:val="2"/>
                  <w:vMerge w:val="restart"/>
                  <w:tcBorders>
                    <w:tl2br w:val="single" w:color="auto" w:sz="4" w:space="0"/>
                  </w:tcBorders>
                  <w:noWrap w:val="0"/>
                  <w:vAlign w:val="center"/>
                </w:tcPr>
                <w:p w14:paraId="61B4F2D2">
                  <w:pPr>
                    <w:pStyle w:val="26"/>
                    <w:bidi w:val="0"/>
                    <w:jc w:val="right"/>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环评类别</w:t>
                  </w:r>
                </w:p>
                <w:p w14:paraId="15705779">
                  <w:pPr>
                    <w:pStyle w:val="26"/>
                    <w:bidi w:val="0"/>
                    <w:jc w:val="left"/>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项目类别</w:t>
                  </w:r>
                </w:p>
              </w:tc>
              <w:tc>
                <w:tcPr>
                  <w:tcW w:w="1466" w:type="pct"/>
                  <w:vMerge w:val="restart"/>
                  <w:tcBorders>
                    <w:tl2br w:val="nil"/>
                    <w:tr2bl w:val="nil"/>
                  </w:tcBorders>
                  <w:noWrap w:val="0"/>
                  <w:vAlign w:val="center"/>
                </w:tcPr>
                <w:p w14:paraId="568F50AA">
                  <w:pPr>
                    <w:pStyle w:val="26"/>
                    <w:bidi w:val="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报告书</w:t>
                  </w:r>
                </w:p>
              </w:tc>
              <w:tc>
                <w:tcPr>
                  <w:tcW w:w="1565" w:type="pct"/>
                  <w:vMerge w:val="restart"/>
                  <w:tcBorders>
                    <w:tl2br w:val="nil"/>
                    <w:tr2bl w:val="nil"/>
                  </w:tcBorders>
                  <w:noWrap w:val="0"/>
                  <w:vAlign w:val="center"/>
                </w:tcPr>
                <w:p w14:paraId="2CC7F669">
                  <w:pPr>
                    <w:pStyle w:val="26"/>
                    <w:bidi w:val="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报告表</w:t>
                  </w:r>
                </w:p>
              </w:tc>
              <w:tc>
                <w:tcPr>
                  <w:tcW w:w="548" w:type="pct"/>
                  <w:vMerge w:val="restart"/>
                  <w:tcBorders>
                    <w:tl2br w:val="nil"/>
                    <w:tr2bl w:val="nil"/>
                  </w:tcBorders>
                  <w:noWrap w:val="0"/>
                  <w:vAlign w:val="center"/>
                </w:tcPr>
                <w:p w14:paraId="707BCC44">
                  <w:pPr>
                    <w:pStyle w:val="26"/>
                    <w:bidi w:val="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登记表</w:t>
                  </w:r>
                </w:p>
              </w:tc>
            </w:tr>
            <w:tr w14:paraId="0290F8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0" w:type="pct"/>
                  <w:gridSpan w:val="2"/>
                  <w:vMerge w:val="continue"/>
                  <w:tcBorders>
                    <w:tl2br w:val="nil"/>
                    <w:tr2bl w:val="nil"/>
                  </w:tcBorders>
                  <w:noWrap w:val="0"/>
                  <w:vAlign w:val="center"/>
                </w:tcPr>
                <w:p w14:paraId="7E47E940">
                  <w:pPr>
                    <w:pStyle w:val="26"/>
                    <w:bidi w:val="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p>
              </w:tc>
              <w:tc>
                <w:tcPr>
                  <w:tcW w:w="1466" w:type="pct"/>
                  <w:vMerge w:val="continue"/>
                  <w:tcBorders>
                    <w:tl2br w:val="nil"/>
                    <w:tr2bl w:val="nil"/>
                  </w:tcBorders>
                  <w:noWrap w:val="0"/>
                  <w:vAlign w:val="center"/>
                </w:tcPr>
                <w:p w14:paraId="3FB5E6B4">
                  <w:pPr>
                    <w:pStyle w:val="26"/>
                    <w:bidi w:val="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p>
              </w:tc>
              <w:tc>
                <w:tcPr>
                  <w:tcW w:w="1565" w:type="pct"/>
                  <w:vMerge w:val="continue"/>
                  <w:tcBorders>
                    <w:tl2br w:val="nil"/>
                    <w:tr2bl w:val="nil"/>
                  </w:tcBorders>
                  <w:noWrap w:val="0"/>
                  <w:vAlign w:val="center"/>
                </w:tcPr>
                <w:p w14:paraId="7E19D459">
                  <w:pPr>
                    <w:pStyle w:val="26"/>
                    <w:bidi w:val="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p>
              </w:tc>
              <w:tc>
                <w:tcPr>
                  <w:tcW w:w="548" w:type="pct"/>
                  <w:vMerge w:val="continue"/>
                  <w:tcBorders>
                    <w:tl2br w:val="nil"/>
                    <w:tr2bl w:val="nil"/>
                  </w:tcBorders>
                  <w:noWrap w:val="0"/>
                  <w:vAlign w:val="center"/>
                </w:tcPr>
                <w:p w14:paraId="41B1039B">
                  <w:pPr>
                    <w:pStyle w:val="26"/>
                    <w:bidi w:val="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p>
              </w:tc>
            </w:tr>
            <w:tr w14:paraId="24E35D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5"/>
                  <w:tcBorders>
                    <w:tl2br w:val="nil"/>
                    <w:tr2bl w:val="nil"/>
                  </w:tcBorders>
                  <w:noWrap w:val="0"/>
                  <w:vAlign w:val="center"/>
                </w:tcPr>
                <w:p w14:paraId="38E80C2B">
                  <w:pPr>
                    <w:pStyle w:val="26"/>
                    <w:bidi w:val="0"/>
                    <w:jc w:val="left"/>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二</w:t>
                  </w: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十</w:t>
                  </w: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七、非金属矿物制品业30</w:t>
                  </w:r>
                </w:p>
              </w:tc>
            </w:tr>
            <w:tr w14:paraId="140E83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7" w:type="pct"/>
                  <w:tcBorders>
                    <w:tl2br w:val="nil"/>
                    <w:tr2bl w:val="nil"/>
                  </w:tcBorders>
                  <w:noWrap w:val="0"/>
                  <w:vAlign w:val="center"/>
                </w:tcPr>
                <w:p w14:paraId="41D6D500">
                  <w:pPr>
                    <w:pStyle w:val="26"/>
                    <w:bidi w:val="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60</w:t>
                  </w:r>
                </w:p>
              </w:tc>
              <w:tc>
                <w:tcPr>
                  <w:tcW w:w="1102" w:type="pct"/>
                  <w:tcBorders>
                    <w:tl2br w:val="nil"/>
                    <w:tr2bl w:val="nil"/>
                  </w:tcBorders>
                  <w:noWrap w:val="0"/>
                  <w:vAlign w:val="center"/>
                </w:tcPr>
                <w:p w14:paraId="111B7225">
                  <w:pPr>
                    <w:pStyle w:val="26"/>
                    <w:bidi w:val="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石墨及其他非金属矿物制品制造309</w:t>
                  </w:r>
                </w:p>
              </w:tc>
              <w:tc>
                <w:tcPr>
                  <w:tcW w:w="1466" w:type="pct"/>
                  <w:tcBorders>
                    <w:tl2br w:val="nil"/>
                    <w:tr2bl w:val="nil"/>
                  </w:tcBorders>
                  <w:noWrap w:val="0"/>
                  <w:vAlign w:val="center"/>
                </w:tcPr>
                <w:p w14:paraId="641268E4">
                  <w:pPr>
                    <w:pStyle w:val="26"/>
                    <w:bidi w:val="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石棉制品；含焙烧的石墨、碳素制品</w:t>
                  </w:r>
                </w:p>
              </w:tc>
              <w:tc>
                <w:tcPr>
                  <w:tcW w:w="1565" w:type="pct"/>
                  <w:tcBorders>
                    <w:tl2br w:val="nil"/>
                    <w:tr2bl w:val="nil"/>
                  </w:tcBorders>
                  <w:noWrap w:val="0"/>
                  <w:vAlign w:val="center"/>
                </w:tcPr>
                <w:p w14:paraId="61045792">
                  <w:pPr>
                    <w:pStyle w:val="26"/>
                    <w:bidi w:val="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b/>
                      <w:bCs/>
                      <w:color w:val="000000" w:themeColor="text1"/>
                      <w:sz w:val="21"/>
                      <w:szCs w:val="21"/>
                      <w:highlight w:val="none"/>
                      <w:lang w:val="en-US" w:eastAsia="zh-CN" w:bidi="ar-SA"/>
                      <w14:textFill>
                        <w14:solidFill>
                          <w14:schemeClr w14:val="tx1"/>
                        </w14:solidFill>
                      </w14:textFill>
                    </w:rPr>
                    <w:t>其他</w:t>
                  </w:r>
                </w:p>
              </w:tc>
              <w:tc>
                <w:tcPr>
                  <w:tcW w:w="548" w:type="pct"/>
                  <w:tcBorders>
                    <w:tl2br w:val="nil"/>
                    <w:tr2bl w:val="nil"/>
                  </w:tcBorders>
                  <w:noWrap w:val="0"/>
                  <w:vAlign w:val="center"/>
                </w:tcPr>
                <w:p w14:paraId="31169C78">
                  <w:pPr>
                    <w:pStyle w:val="26"/>
                    <w:bidi w:val="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w:t>
                  </w:r>
                </w:p>
              </w:tc>
            </w:tr>
            <w:tr w14:paraId="78F1EE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5"/>
                  <w:tcBorders>
                    <w:tl2br w:val="nil"/>
                    <w:tr2bl w:val="nil"/>
                  </w:tcBorders>
                  <w:noWrap w:val="0"/>
                  <w:vAlign w:val="center"/>
                </w:tcPr>
                <w:p w14:paraId="767FE448">
                  <w:pPr>
                    <w:pStyle w:val="26"/>
                    <w:bidi w:val="0"/>
                    <w:jc w:val="left"/>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bookmarkStart w:id="66" w:name="_Toc16750"/>
                  <w:bookmarkStart w:id="67" w:name="_Toc26260"/>
                  <w:bookmarkStart w:id="68" w:name="_Toc6972"/>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三十六、计算机、通信和其他电子设备制造业39</w:t>
                  </w:r>
                </w:p>
              </w:tc>
            </w:tr>
            <w:tr w14:paraId="15C6DD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7" w:type="pct"/>
                  <w:tcBorders>
                    <w:tl2br w:val="nil"/>
                    <w:tr2bl w:val="nil"/>
                  </w:tcBorders>
                  <w:noWrap w:val="0"/>
                  <w:vAlign w:val="center"/>
                </w:tcPr>
                <w:p w14:paraId="5CDD9E54">
                  <w:pPr>
                    <w:pStyle w:val="26"/>
                    <w:bidi w:val="0"/>
                    <w:jc w:val="center"/>
                    <w:rPr>
                      <w:rFonts w:hint="default"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81</w:t>
                  </w:r>
                </w:p>
              </w:tc>
              <w:tc>
                <w:tcPr>
                  <w:tcW w:w="1102" w:type="pct"/>
                  <w:tcBorders>
                    <w:tl2br w:val="nil"/>
                    <w:tr2bl w:val="nil"/>
                  </w:tcBorders>
                  <w:noWrap w:val="0"/>
                  <w:vAlign w:val="center"/>
                </w:tcPr>
                <w:p w14:paraId="1B19FC2C">
                  <w:pPr>
                    <w:pStyle w:val="26"/>
                    <w:bidi w:val="0"/>
                    <w:jc w:val="center"/>
                    <w:rPr>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电子元件及电子专用材料制造398</w:t>
                  </w:r>
                </w:p>
              </w:tc>
              <w:tc>
                <w:tcPr>
                  <w:tcW w:w="1466" w:type="pct"/>
                  <w:tcBorders>
                    <w:tl2br w:val="nil"/>
                    <w:tr2bl w:val="nil"/>
                  </w:tcBorders>
                  <w:noWrap w:val="0"/>
                  <w:vAlign w:val="center"/>
                </w:tcPr>
                <w:p w14:paraId="3803B856">
                  <w:pPr>
                    <w:pStyle w:val="26"/>
                    <w:bidi w:val="0"/>
                    <w:jc w:val="center"/>
                    <w:rPr>
                      <w:rFonts w:hint="eastAsia"/>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bidi="ar-SA"/>
                      <w14:textFill>
                        <w14:solidFill>
                          <w14:schemeClr w14:val="tx1"/>
                        </w14:solidFill>
                      </w14:textFill>
                    </w:rPr>
                    <w:t>半导体材料制造；电子化工材料制造</w:t>
                  </w:r>
                </w:p>
              </w:tc>
              <w:tc>
                <w:tcPr>
                  <w:tcW w:w="1565" w:type="pct"/>
                  <w:tcBorders>
                    <w:tl2br w:val="nil"/>
                    <w:tr2bl w:val="nil"/>
                  </w:tcBorders>
                  <w:noWrap w:val="0"/>
                  <w:vAlign w:val="center"/>
                </w:tcPr>
                <w:p w14:paraId="5CA5B0D7">
                  <w:pPr>
                    <w:pStyle w:val="26"/>
                    <w:bidi w:val="0"/>
                    <w:jc w:val="left"/>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印刷电路板制造；</w:t>
                  </w:r>
                  <w:r>
                    <w:rPr>
                      <w:rFonts w:hint="eastAsia" w:ascii="Times New Roman" w:hAnsi="Times New Roman" w:cs="Times New Roman"/>
                      <w:b/>
                      <w:bCs/>
                      <w:color w:val="000000" w:themeColor="text1"/>
                      <w:sz w:val="21"/>
                      <w:szCs w:val="21"/>
                      <w:highlight w:val="none"/>
                      <w:lang w:val="en-US" w:eastAsia="zh-CN" w:bidi="ar-SA"/>
                      <w14:textFill>
                        <w14:solidFill>
                          <w14:schemeClr w14:val="tx1"/>
                        </w14:solidFill>
                      </w14:textFill>
                    </w:rPr>
                    <w:t>电子专用材料制造（电子化工材料制造除外）</w:t>
                  </w: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；使用有机溶剂的；有酸洗的</w:t>
                  </w:r>
                </w:p>
                <w:p w14:paraId="1C3FF93B">
                  <w:pPr>
                    <w:pStyle w:val="26"/>
                    <w:bidi w:val="0"/>
                    <w:jc w:val="left"/>
                    <w:rPr>
                      <w:b/>
                      <w:bCs/>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以上均不含仅分割、焊接、组装的</w:t>
                  </w:r>
                </w:p>
              </w:tc>
              <w:tc>
                <w:tcPr>
                  <w:tcW w:w="548" w:type="pct"/>
                  <w:tcBorders>
                    <w:tl2br w:val="nil"/>
                    <w:tr2bl w:val="nil"/>
                  </w:tcBorders>
                  <w:noWrap w:val="0"/>
                  <w:vAlign w:val="center"/>
                </w:tcPr>
                <w:p w14:paraId="476F6D7D">
                  <w:pPr>
                    <w:pStyle w:val="26"/>
                    <w:bidi w:val="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w:t>
                  </w:r>
                </w:p>
              </w:tc>
            </w:tr>
          </w:tbl>
          <w:p w14:paraId="7CFFEEE4">
            <w:pPr>
              <w:pStyle w:val="3"/>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项目基本情况</w:t>
            </w:r>
            <w:bookmarkEnd w:id="66"/>
            <w:bookmarkEnd w:id="67"/>
            <w:bookmarkEnd w:id="68"/>
          </w:p>
          <w:p w14:paraId="29DB1300">
            <w:pPr>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项目名称：</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年产100吨单壁碳纳米管及年产1000吨硅碳负极材料</w:t>
            </w:r>
            <w:r>
              <w:rPr>
                <w:rFonts w:hint="default" w:ascii="Times New Roman" w:hAnsi="Times New Roman" w:cs="Times New Roman"/>
                <w:color w:val="000000" w:themeColor="text1"/>
                <w:highlight w:val="none"/>
                <w14:textFill>
                  <w14:solidFill>
                    <w14:schemeClr w14:val="tx1"/>
                  </w14:solidFill>
                </w14:textFill>
              </w:rPr>
              <w:t>；</w:t>
            </w:r>
          </w:p>
          <w:p w14:paraId="6FB05B25">
            <w:pPr>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建设单位：</w:t>
            </w:r>
            <w:r>
              <w:rPr>
                <w:rFonts w:hint="default" w:eastAsia="宋体"/>
                <w:color w:val="000000" w:themeColor="text1"/>
                <w:highlight w:val="none"/>
                <w:lang w:val="en-US" w:eastAsia="zh-CN"/>
                <w14:textFill>
                  <w14:solidFill>
                    <w14:schemeClr w14:val="tx1"/>
                  </w14:solidFill>
                </w14:textFill>
              </w:rPr>
              <w:t>永安君博纳米科技有限公司</w:t>
            </w:r>
            <w:r>
              <w:rPr>
                <w:rFonts w:hint="default" w:ascii="Times New Roman" w:hAnsi="Times New Roman" w:cs="Times New Roman"/>
                <w:color w:val="000000" w:themeColor="text1"/>
                <w:highlight w:val="none"/>
                <w14:textFill>
                  <w14:solidFill>
                    <w14:schemeClr w14:val="tx1"/>
                  </w14:solidFill>
                </w14:textFill>
              </w:rPr>
              <w:t>；</w:t>
            </w:r>
          </w:p>
          <w:p w14:paraId="29DA66CB">
            <w:pPr>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建设地点：</w:t>
            </w:r>
            <w:r>
              <w:rPr>
                <w:rFonts w:hint="default" w:ascii="Times New Roman" w:hAnsi="Times New Roman" w:cs="Times New Roman"/>
                <w:color w:val="000000" w:themeColor="text1"/>
                <w:sz w:val="24"/>
                <w:highlight w:val="none"/>
                <w:u w:val="none"/>
                <w14:textFill>
                  <w14:solidFill>
                    <w14:schemeClr w14:val="tx1"/>
                  </w14:solidFill>
                </w14:textFill>
              </w:rPr>
              <w:t>福建省</w:t>
            </w:r>
            <w:r>
              <w:rPr>
                <w:rFonts w:hint="eastAsia"/>
                <w:color w:val="000000" w:themeColor="text1"/>
                <w:highlight w:val="none"/>
                <w:lang w:val="en-US" w:eastAsia="zh-CN"/>
                <w14:textFill>
                  <w14:solidFill>
                    <w14:schemeClr w14:val="tx1"/>
                  </w14:solidFill>
                </w14:textFill>
              </w:rPr>
              <w:t>三明市永安市贡川镇水东工业园区56号</w:t>
            </w:r>
            <w:r>
              <w:rPr>
                <w:rFonts w:hint="default" w:ascii="Times New Roman" w:hAnsi="Times New Roman" w:cs="Times New Roman"/>
                <w:color w:val="000000" w:themeColor="text1"/>
                <w:highlight w:val="none"/>
                <w14:textFill>
                  <w14:solidFill>
                    <w14:schemeClr w14:val="tx1"/>
                  </w14:solidFill>
                </w14:textFill>
              </w:rPr>
              <w:t>；</w:t>
            </w:r>
          </w:p>
          <w:p w14:paraId="0AF4ECB2">
            <w:pPr>
              <w:keepNext w:val="0"/>
              <w:keepLines w:val="0"/>
              <w:pageBreakBefore w:val="0"/>
              <w:widowControl w:val="0"/>
              <w:shd w:val="clear" w:color="auto" w:fill="auto"/>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建设性质：</w:t>
            </w:r>
            <w:r>
              <w:rPr>
                <w:rFonts w:hint="eastAsia" w:cs="Times New Roman"/>
                <w:color w:val="000000" w:themeColor="text1"/>
                <w:highlight w:val="none"/>
                <w:lang w:val="en-US" w:eastAsia="zh-CN"/>
                <w14:textFill>
                  <w14:solidFill>
                    <w14:schemeClr w14:val="tx1"/>
                  </w14:solidFill>
                </w14:textFill>
              </w:rPr>
              <w:t>新建</w:t>
            </w:r>
            <w:r>
              <w:rPr>
                <w:rFonts w:hint="default" w:ascii="Times New Roman" w:hAnsi="Times New Roman" w:cs="Times New Roman"/>
                <w:color w:val="000000" w:themeColor="text1"/>
                <w:highlight w:val="none"/>
                <w14:textFill>
                  <w14:solidFill>
                    <w14:schemeClr w14:val="tx1"/>
                  </w14:solidFill>
                </w14:textFill>
              </w:rPr>
              <w:t>；</w:t>
            </w:r>
          </w:p>
          <w:p w14:paraId="5AC7EBAB">
            <w:pPr>
              <w:keepNext w:val="0"/>
              <w:keepLines w:val="0"/>
              <w:pageBreakBefore w:val="0"/>
              <w:widowControl w:val="0"/>
              <w:shd w:val="clear" w:color="auto" w:fill="auto"/>
              <w:kinsoku/>
              <w:wordWrap/>
              <w:overflowPunct/>
              <w:topLinePunct w:val="0"/>
              <w:autoSpaceDE/>
              <w:autoSpaceDN/>
              <w:bidi w:val="0"/>
              <w:adjustRightInd/>
              <w:snapToGrid/>
              <w:ind w:left="0" w:leftChars="0" w:firstLine="480" w:firstLineChars="200"/>
              <w:textAlignment w:val="auto"/>
              <w:rPr>
                <w:rFonts w:hint="eastAsia"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5</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建设内容及规模：</w:t>
            </w:r>
            <w:r>
              <w:rPr>
                <w:rFonts w:hint="eastAsia" w:cs="Times New Roman"/>
                <w:color w:val="000000" w:themeColor="text1"/>
                <w:highlight w:val="none"/>
                <w:lang w:val="en-US" w:eastAsia="zh-CN"/>
                <w14:textFill>
                  <w14:solidFill>
                    <w14:schemeClr w14:val="tx1"/>
                  </w14:solidFill>
                </w14:textFill>
              </w:rPr>
              <w:t>项目租赁</w:t>
            </w:r>
            <w:r>
              <w:rPr>
                <w:rFonts w:hint="eastAsia"/>
                <w:color w:val="000000" w:themeColor="text1"/>
                <w:highlight w:val="none"/>
                <w:lang w:val="en-US" w:eastAsia="zh-CN"/>
                <w14:textFill>
                  <w14:solidFill>
                    <w14:schemeClr w14:val="tx1"/>
                  </w14:solidFill>
                </w14:textFill>
              </w:rPr>
              <w:t>福建中禾新材料有限公司1#车间、3#车间和综合楼，总租赁面积</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4850 m</w:t>
            </w:r>
            <w:r>
              <w:rPr>
                <w:rFonts w:hint="eastAsia"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2</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本次评价以租赁合同实际租赁面积为准</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，分</w:t>
            </w:r>
            <w:r>
              <w:rPr>
                <w:rFonts w:hint="eastAsia" w:cs="Times New Roman"/>
                <w:color w:val="000000" w:themeColor="text1"/>
                <w:highlight w:val="none"/>
                <w:lang w:val="en-US" w:eastAsia="zh-CN"/>
                <w14:textFill>
                  <w14:solidFill>
                    <w14:schemeClr w14:val="tx1"/>
                  </w14:solidFill>
                </w14:textFill>
              </w:rPr>
              <w:t>两期建设</w:t>
            </w:r>
            <w:r>
              <w:rPr>
                <w:rFonts w:hint="eastAsia" w:ascii="Times New Roman" w:hAnsi="Times New Roman" w:cs="Times New Roman"/>
                <w:color w:val="000000" w:themeColor="text1"/>
                <w:highlight w:val="none"/>
                <w:lang w:val="en-US" w:eastAsia="zh-CN"/>
                <w14:textFill>
                  <w14:solidFill>
                    <w14:schemeClr w14:val="tx1"/>
                  </w14:solidFill>
                </w14:textFill>
              </w:rPr>
              <w:t>。</w:t>
            </w:r>
          </w:p>
          <w:p w14:paraId="4914F535">
            <w:pPr>
              <w:keepNext w:val="0"/>
              <w:keepLines w:val="0"/>
              <w:pageBreakBefore w:val="0"/>
              <w:widowControl w:val="0"/>
              <w:shd w:val="clear" w:color="auto" w:fill="auto"/>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①一期：3#车间建设单壁碳纳米管生产线和硅碳负极材料生产线，分别年产30吨单壁碳纳米管和300吨硅碳负极材料；</w:t>
            </w:r>
          </w:p>
          <w:p w14:paraId="35E963D2">
            <w:pPr>
              <w:keepNext w:val="0"/>
              <w:keepLines w:val="0"/>
              <w:pageBreakBefore w:val="0"/>
              <w:widowControl w:val="0"/>
              <w:shd w:val="clear" w:color="auto" w:fill="auto"/>
              <w:kinsoku/>
              <w:wordWrap/>
              <w:overflowPunct/>
              <w:topLinePunct w:val="0"/>
              <w:autoSpaceDE/>
              <w:autoSpaceDN/>
              <w:bidi w:val="0"/>
              <w:adjustRightInd/>
              <w:snapToGrid/>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②二期：1#车间建设单壁碳纳米管生产线和硅碳负极材料生产线，分别年产70吨单壁碳纳米管和700吨硅碳负极材料。二期建成后，全厂合计</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年产100吨</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单壁碳纳米管</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及1000吨硅碳负极材料</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p>
          <w:p w14:paraId="7CA1F33C">
            <w:pPr>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6</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劳动定员：</w:t>
            </w:r>
            <w:r>
              <w:rPr>
                <w:rFonts w:hint="eastAsia" w:cs="Times New Roman"/>
                <w:color w:val="000000" w:themeColor="text1"/>
                <w:highlight w:val="none"/>
                <w:lang w:val="en-US" w:eastAsia="zh-CN"/>
                <w14:textFill>
                  <w14:solidFill>
                    <w14:schemeClr w14:val="tx1"/>
                  </w14:solidFill>
                </w14:textFill>
              </w:rPr>
              <w:t>①一期</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职工人数为5人，其中3人在厂食宿（食宿依托</w:t>
            </w:r>
            <w:r>
              <w:rPr>
                <w:rFonts w:hint="eastAsia"/>
                <w:color w:val="000000" w:themeColor="text1"/>
                <w:highlight w:val="none"/>
                <w:lang w:val="en-US" w:eastAsia="zh-CN"/>
                <w14:textFill>
                  <w14:solidFill>
                    <w14:schemeClr w14:val="tx1"/>
                  </w14:solidFill>
                </w14:textFill>
              </w:rPr>
              <w:t>福建中禾新材料有限公司</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），2人不在厂食宿</w:t>
            </w:r>
            <w:r>
              <w:rPr>
                <w:rFonts w:hint="default" w:ascii="Times New Roman" w:hAnsi="Times New Roman"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②二期职工人数为10人，其中</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5人在厂食宿（食宿依托</w:t>
            </w:r>
            <w:r>
              <w:rPr>
                <w:rFonts w:hint="eastAsia"/>
                <w:color w:val="000000" w:themeColor="text1"/>
                <w:highlight w:val="none"/>
                <w:lang w:val="en-US" w:eastAsia="zh-CN"/>
                <w14:textFill>
                  <w14:solidFill>
                    <w14:schemeClr w14:val="tx1"/>
                  </w14:solidFill>
                </w14:textFill>
              </w:rPr>
              <w:t>福建中禾新材料有限公司</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），5人不在厂食宿；</w:t>
            </w:r>
          </w:p>
          <w:p w14:paraId="0101BD4D">
            <w:pPr>
              <w:ind w:firstLine="48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7</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工作制度：年生产3</w:t>
            </w:r>
            <w:r>
              <w:rPr>
                <w:rFonts w:hint="default" w:ascii="Times New Roman" w:hAnsi="Times New Roman" w:cs="Times New Roman"/>
                <w:color w:val="000000" w:themeColor="text1"/>
                <w:highlight w:val="none"/>
                <w:lang w:val="en-US" w:eastAsia="zh-CN"/>
                <w14:textFill>
                  <w14:solidFill>
                    <w14:schemeClr w14:val="tx1"/>
                  </w14:solidFill>
                </w14:textFill>
              </w:rPr>
              <w:t>0</w:t>
            </w:r>
            <w:r>
              <w:rPr>
                <w:rFonts w:hint="default" w:ascii="Times New Roman" w:hAnsi="Times New Roman" w:cs="Times New Roman"/>
                <w:color w:val="000000" w:themeColor="text1"/>
                <w:highlight w:val="none"/>
                <w14:textFill>
                  <w14:solidFill>
                    <w14:schemeClr w14:val="tx1"/>
                  </w14:solidFill>
                </w14:textFill>
              </w:rPr>
              <w:t>0天，</w:t>
            </w:r>
            <w:r>
              <w:rPr>
                <w:rFonts w:hint="eastAsia"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班制，每班</w:t>
            </w:r>
            <w:r>
              <w:rPr>
                <w:rFonts w:hint="default" w:ascii="Times New Roman" w:hAnsi="Times New Roman" w:cs="Times New Roman"/>
                <w:color w:val="000000" w:themeColor="text1"/>
                <w:highlight w:val="none"/>
                <w:lang w:val="en-US" w:eastAsia="zh-CN"/>
                <w14:textFill>
                  <w14:solidFill>
                    <w14:schemeClr w14:val="tx1"/>
                  </w14:solidFill>
                </w14:textFill>
              </w:rPr>
              <w:t>8</w:t>
            </w:r>
            <w:r>
              <w:rPr>
                <w:rFonts w:hint="default" w:ascii="Times New Roman" w:hAnsi="Times New Roman" w:cs="Times New Roman"/>
                <w:color w:val="000000" w:themeColor="text1"/>
                <w:highlight w:val="none"/>
                <w14:textFill>
                  <w14:solidFill>
                    <w14:schemeClr w14:val="tx1"/>
                  </w14:solidFill>
                </w14:textFill>
              </w:rPr>
              <w:t xml:space="preserve"> h</w:t>
            </w:r>
            <w:r>
              <w:rPr>
                <w:rFonts w:hint="default" w:ascii="Times New Roman" w:hAnsi="Times New Roman" w:cs="Times New Roman"/>
                <w:color w:val="000000" w:themeColor="text1"/>
                <w:highlight w:val="none"/>
                <w:lang w:eastAsia="zh-CN"/>
                <w14:textFill>
                  <w14:solidFill>
                    <w14:schemeClr w14:val="tx1"/>
                  </w14:solidFill>
                </w14:textFill>
              </w:rPr>
              <w:t>；</w:t>
            </w:r>
          </w:p>
          <w:p w14:paraId="1338115F">
            <w:pPr>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8</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工程投资：本项目总投资</w:t>
            </w:r>
            <w:r>
              <w:rPr>
                <w:rFonts w:hint="eastAsia"/>
                <w:color w:val="000000" w:themeColor="text1"/>
                <w:highlight w:val="none"/>
                <w:lang w:val="en-US" w:eastAsia="zh-CN"/>
                <w14:textFill>
                  <w14:solidFill>
                    <w14:schemeClr w14:val="tx1"/>
                  </w14:solidFill>
                </w14:textFill>
              </w:rPr>
              <w:t>35000万元</w:t>
            </w:r>
            <w:r>
              <w:rPr>
                <w:rFonts w:hint="default" w:ascii="Times New Roman" w:hAnsi="Times New Roman" w:cs="Times New Roman"/>
                <w:color w:val="000000" w:themeColor="text1"/>
                <w:highlight w:val="none"/>
                <w14:textFill>
                  <w14:solidFill>
                    <w14:schemeClr w14:val="tx1"/>
                  </w14:solidFill>
                </w14:textFill>
              </w:rPr>
              <w:t>，其中环保投资</w:t>
            </w:r>
            <w:r>
              <w:rPr>
                <w:rFonts w:hint="eastAsia" w:cs="Times New Roman"/>
                <w:color w:val="000000" w:themeColor="text1"/>
                <w:highlight w:val="none"/>
                <w:lang w:val="en-US" w:eastAsia="zh-CN"/>
                <w14:textFill>
                  <w14:solidFill>
                    <w14:schemeClr w14:val="tx1"/>
                  </w14:solidFill>
                </w14:textFill>
              </w:rPr>
              <w:t>360</w:t>
            </w:r>
            <w:r>
              <w:rPr>
                <w:rFonts w:hint="default" w:ascii="Times New Roman" w:hAnsi="Times New Roman" w:cs="Times New Roman"/>
                <w:color w:val="000000" w:themeColor="text1"/>
                <w:highlight w:val="none"/>
                <w14:textFill>
                  <w14:solidFill>
                    <w14:schemeClr w14:val="tx1"/>
                  </w14:solidFill>
                </w14:textFill>
              </w:rPr>
              <w:t>万元</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占总投资</w:t>
            </w:r>
            <w:r>
              <w:rPr>
                <w:rFonts w:hint="eastAsia" w:cs="Times New Roman"/>
                <w:color w:val="000000" w:themeColor="text1"/>
                <w:highlight w:val="none"/>
                <w:lang w:val="en-US" w:eastAsia="zh-CN"/>
                <w14:textFill>
                  <w14:solidFill>
                    <w14:schemeClr w14:val="tx1"/>
                  </w14:solidFill>
                </w14:textFill>
              </w:rPr>
              <w:t>1.03</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w:t>
            </w:r>
          </w:p>
          <w:p w14:paraId="5E6A7087">
            <w:pPr>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出租方情况：</w:t>
            </w:r>
            <w:r>
              <w:rPr>
                <w:rFonts w:hint="eastAsia"/>
                <w:color w:val="000000" w:themeColor="text1"/>
                <w:highlight w:val="none"/>
                <w:lang w:val="en-US" w:eastAsia="zh-CN"/>
                <w14:textFill>
                  <w14:solidFill>
                    <w14:schemeClr w14:val="tx1"/>
                  </w14:solidFill>
                </w14:textFill>
              </w:rPr>
              <w:t>福建中禾新材料有限公司位于</w:t>
            </w:r>
            <w:r>
              <w:rPr>
                <w:rFonts w:hint="default" w:ascii="Times New Roman" w:hAnsi="Times New Roman" w:cs="Times New Roman"/>
                <w:color w:val="000000" w:themeColor="text1"/>
                <w:sz w:val="24"/>
                <w:highlight w:val="none"/>
                <w:u w:val="none"/>
                <w14:textFill>
                  <w14:solidFill>
                    <w14:schemeClr w14:val="tx1"/>
                  </w14:solidFill>
                </w14:textFill>
              </w:rPr>
              <w:t>福建省</w:t>
            </w:r>
            <w:r>
              <w:rPr>
                <w:rFonts w:hint="eastAsia"/>
                <w:color w:val="000000" w:themeColor="text1"/>
                <w:highlight w:val="none"/>
                <w:lang w:val="en-US" w:eastAsia="zh-CN"/>
                <w14:textFill>
                  <w14:solidFill>
                    <w14:schemeClr w14:val="tx1"/>
                  </w14:solidFill>
                </w14:textFill>
              </w:rPr>
              <w:t>三明市永安市贡川镇水东工业园区56号，主要从事石墨及碳制品、纳米粉体材料等领域的研发、生产与销售。该地块已取得土地证（编号：闽2023永安市不动产权第0003743号），占地面积28640 m</w:t>
            </w:r>
            <w:r>
              <w:rPr>
                <w:rFonts w:hint="eastAsia"/>
                <w:color w:val="000000" w:themeColor="text1"/>
                <w:highlight w:val="none"/>
                <w:vertAlign w:val="superscript"/>
                <w:lang w:val="en-US" w:eastAsia="zh-CN"/>
                <w14:textFill>
                  <w14:solidFill>
                    <w14:schemeClr w14:val="tx1"/>
                  </w14:solidFill>
                </w14:textFill>
              </w:rPr>
              <w:t>2</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总建筑面积15295.76 m</w:t>
            </w:r>
            <w:r>
              <w:rPr>
                <w:rFonts w:hint="eastAsia" w:cs="Times New Roman"/>
                <w:color w:val="000000" w:themeColor="text1"/>
                <w:highlight w:val="none"/>
                <w:vertAlign w:val="superscript"/>
                <w:lang w:val="en-US" w:eastAsia="zh-CN"/>
                <w14:textFill>
                  <w14:solidFill>
                    <w14:schemeClr w14:val="tx1"/>
                  </w14:solidFill>
                </w14:textFill>
              </w:rPr>
              <w:t>2</w:t>
            </w:r>
            <w:r>
              <w:rPr>
                <w:rFonts w:hint="eastAsia" w:cs="Times New Roman"/>
                <w:color w:val="000000" w:themeColor="text1"/>
                <w:highlight w:val="none"/>
                <w:lang w:val="en-US" w:eastAsia="zh-CN"/>
                <w14:textFill>
                  <w14:solidFill>
                    <w14:schemeClr w14:val="tx1"/>
                  </w14:solidFill>
                </w14:textFill>
              </w:rPr>
              <w:t>，包括1#车间、2#车间、3#车间、碳管生产车间以及综合楼及配套辅助用房。本项目租赁</w:t>
            </w:r>
            <w:r>
              <w:rPr>
                <w:rFonts w:hint="eastAsia"/>
                <w:color w:val="000000" w:themeColor="text1"/>
                <w:highlight w:val="none"/>
                <w:lang w:val="en-US" w:eastAsia="zh-CN"/>
                <w14:textFill>
                  <w14:solidFill>
                    <w14:schemeClr w14:val="tx1"/>
                  </w14:solidFill>
                </w14:textFill>
              </w:rPr>
              <w:t>福建中禾新材料有限公司1#车间、3#车间闲置厂房，经现场勘察，福建中禾新材料有限公司的3#车间为首次租赁，不存在遗留的环境影响问题，1#车间尚未进行建设，土建施工由福建中禾新材料有限公司负责，本项目不涉及土建施工，基本不存在遗留的环境影响问题。</w:t>
            </w:r>
          </w:p>
          <w:p w14:paraId="4A798735">
            <w:pPr>
              <w:pStyle w:val="3"/>
              <w:bidi w:val="0"/>
              <w:rPr>
                <w:rFonts w:hint="default" w:ascii="Times New Roman" w:hAnsi="Times New Roman" w:cs="Times New Roman"/>
                <w:color w:val="000000" w:themeColor="text1"/>
                <w:highlight w:val="none"/>
                <w:lang w:val="en-US" w:eastAsia="zh-CN"/>
                <w14:textFill>
                  <w14:solidFill>
                    <w14:schemeClr w14:val="tx1"/>
                  </w14:solidFill>
                </w14:textFill>
              </w:rPr>
            </w:pPr>
            <w:bookmarkStart w:id="69" w:name="_Toc2421"/>
            <w:bookmarkStart w:id="70" w:name="_Toc4792"/>
            <w:bookmarkStart w:id="71" w:name="_Toc9075"/>
            <w:r>
              <w:rPr>
                <w:rFonts w:hint="default" w:ascii="Times New Roman" w:hAnsi="Times New Roman" w:cs="Times New Roman"/>
                <w:color w:val="000000" w:themeColor="text1"/>
                <w:highlight w:val="none"/>
                <w:lang w:val="en-US" w:eastAsia="zh-CN"/>
                <w14:textFill>
                  <w14:solidFill>
                    <w14:schemeClr w14:val="tx1"/>
                  </w14:solidFill>
                </w14:textFill>
              </w:rPr>
              <w:t>项目产品方案</w:t>
            </w:r>
            <w:bookmarkEnd w:id="69"/>
            <w:bookmarkEnd w:id="70"/>
            <w:bookmarkEnd w:id="71"/>
          </w:p>
          <w:p w14:paraId="073C19D0">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项目分两期建设，</w:t>
            </w:r>
            <w:r>
              <w:rPr>
                <w:rFonts w:hint="default" w:ascii="Times New Roman" w:hAnsi="Times New Roman" w:cs="Times New Roman"/>
                <w:color w:val="000000" w:themeColor="text1"/>
                <w:highlight w:val="none"/>
                <w:lang w:val="en-US" w:eastAsia="zh-CN"/>
                <w14:textFill>
                  <w14:solidFill>
                    <w14:schemeClr w14:val="tx1"/>
                  </w14:solidFill>
                </w14:textFill>
              </w:rPr>
              <w:t>主要产品方案详见</w: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begin"/>
            </w:r>
            <w:r>
              <w:rPr>
                <w:rFonts w:hint="default" w:ascii="Times New Roman" w:hAnsi="Times New Roman" w:cs="Times New Roman"/>
                <w:color w:val="000000" w:themeColor="text1"/>
                <w:highlight w:val="none"/>
                <w:lang w:val="en-US" w:eastAsia="zh-CN"/>
                <w14:textFill>
                  <w14:solidFill>
                    <w14:schemeClr w14:val="tx1"/>
                  </w14:solidFill>
                </w14:textFill>
              </w:rPr>
              <w:instrText xml:space="preserve"> REF _Ref13858 \n \h </w:instrTex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separate"/>
            </w:r>
            <w:r>
              <w:rPr>
                <w:rFonts w:hint="default" w:ascii="Times New Roman" w:hAnsi="Times New Roman" w:cs="Times New Roman"/>
                <w:color w:val="000000" w:themeColor="text1"/>
                <w:highlight w:val="none"/>
                <w:lang w:val="en-US" w:eastAsia="zh-CN"/>
                <w14:textFill>
                  <w14:solidFill>
                    <w14:schemeClr w14:val="tx1"/>
                  </w14:solidFill>
                </w14:textFill>
              </w:rPr>
              <w:t>表2.1-2</w: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end"/>
            </w:r>
            <w:r>
              <w:rPr>
                <w:rFonts w:hint="default" w:ascii="Times New Roman" w:hAnsi="Times New Roman" w:cs="Times New Roman"/>
                <w:color w:val="000000" w:themeColor="text1"/>
                <w:highlight w:val="none"/>
                <w:lang w:val="en-US" w:eastAsia="zh-CN"/>
                <w14:textFill>
                  <w14:solidFill>
                    <w14:schemeClr w14:val="tx1"/>
                  </w14:solidFill>
                </w14:textFill>
              </w:rPr>
              <w:t>。</w:t>
            </w:r>
          </w:p>
          <w:p w14:paraId="56A68D36">
            <w:pPr>
              <w:pStyle w:val="30"/>
              <w:bidi w:val="0"/>
              <w:rPr>
                <w:rFonts w:hint="default" w:ascii="Times New Roman" w:hAnsi="Times New Roman" w:cs="Times New Roman"/>
                <w:color w:val="000000" w:themeColor="text1"/>
                <w:highlight w:val="none"/>
                <w:lang w:val="en-US" w:eastAsia="zh-CN"/>
                <w14:textFill>
                  <w14:solidFill>
                    <w14:schemeClr w14:val="tx1"/>
                  </w14:solidFill>
                </w14:textFill>
              </w:rPr>
            </w:pPr>
            <w:bookmarkStart w:id="72" w:name="_Ref13858"/>
            <w:r>
              <w:rPr>
                <w:rFonts w:hint="default" w:ascii="Times New Roman" w:hAnsi="Times New Roman" w:cs="Times New Roman"/>
                <w:color w:val="000000" w:themeColor="text1"/>
                <w:highlight w:val="none"/>
                <w:lang w:val="en-US" w:eastAsia="zh-CN"/>
                <w14:textFill>
                  <w14:solidFill>
                    <w14:schemeClr w14:val="tx1"/>
                  </w14:solidFill>
                </w14:textFill>
              </w:rPr>
              <w:t>产品方案</w:t>
            </w:r>
            <w:bookmarkEnd w:id="72"/>
          </w:p>
          <w:tbl>
            <w:tblPr>
              <w:tblStyle w:val="1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665"/>
              <w:gridCol w:w="1544"/>
              <w:gridCol w:w="1544"/>
              <w:gridCol w:w="1545"/>
              <w:gridCol w:w="1010"/>
            </w:tblGrid>
            <w:tr w14:paraId="67D6A5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7" w:type="pct"/>
                  <w:vMerge w:val="restart"/>
                  <w:tcBorders>
                    <w:tl2br w:val="nil"/>
                    <w:tr2bl w:val="nil"/>
                  </w:tcBorders>
                  <w:noWrap w:val="0"/>
                  <w:vAlign w:val="center"/>
                </w:tcPr>
                <w:p w14:paraId="4923970D">
                  <w:pPr>
                    <w:pStyle w:val="26"/>
                    <w:bidi w:val="0"/>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序号</w:t>
                  </w:r>
                </w:p>
              </w:tc>
              <w:tc>
                <w:tcPr>
                  <w:tcW w:w="1037" w:type="pct"/>
                  <w:vMerge w:val="restart"/>
                  <w:tcBorders>
                    <w:tl2br w:val="nil"/>
                    <w:tr2bl w:val="nil"/>
                  </w:tcBorders>
                  <w:noWrap w:val="0"/>
                  <w:vAlign w:val="center"/>
                </w:tcPr>
                <w:p w14:paraId="33153FA1">
                  <w:pPr>
                    <w:pStyle w:val="26"/>
                    <w:bidi w:val="0"/>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产品名称</w:t>
                  </w:r>
                </w:p>
              </w:tc>
              <w:tc>
                <w:tcPr>
                  <w:tcW w:w="2886" w:type="pct"/>
                  <w:gridSpan w:val="3"/>
                  <w:tcBorders>
                    <w:tl2br w:val="nil"/>
                    <w:tr2bl w:val="nil"/>
                  </w:tcBorders>
                  <w:noWrap w:val="0"/>
                  <w:vAlign w:val="center"/>
                </w:tcPr>
                <w:p w14:paraId="5AEFE9C2">
                  <w:pPr>
                    <w:pStyle w:val="26"/>
                    <w:bidi w:val="0"/>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设计产能（t/a）</w:t>
                  </w:r>
                </w:p>
              </w:tc>
              <w:tc>
                <w:tcPr>
                  <w:tcW w:w="628" w:type="pct"/>
                  <w:vMerge w:val="restart"/>
                  <w:tcBorders>
                    <w:tl2br w:val="nil"/>
                    <w:tr2bl w:val="nil"/>
                  </w:tcBorders>
                  <w:noWrap w:val="0"/>
                  <w:vAlign w:val="center"/>
                </w:tcPr>
                <w:p w14:paraId="7505F6EC">
                  <w:pPr>
                    <w:pStyle w:val="26"/>
                    <w:bidi w:val="0"/>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备注</w:t>
                  </w:r>
                </w:p>
              </w:tc>
            </w:tr>
            <w:tr w14:paraId="6C7433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7" w:type="pct"/>
                  <w:vMerge w:val="continue"/>
                  <w:tcBorders>
                    <w:tl2br w:val="nil"/>
                    <w:tr2bl w:val="nil"/>
                  </w:tcBorders>
                  <w:noWrap w:val="0"/>
                  <w:vAlign w:val="center"/>
                </w:tcPr>
                <w:p w14:paraId="3979DD6A">
                  <w:pPr>
                    <w:pStyle w:val="26"/>
                    <w:bidi w:val="0"/>
                    <w:rPr>
                      <w:rFonts w:hint="eastAsia"/>
                      <w:color w:val="000000" w:themeColor="text1"/>
                      <w:highlight w:val="none"/>
                      <w:lang w:val="en-US" w:eastAsia="zh-CN" w:bidi="ar-SA"/>
                      <w14:textFill>
                        <w14:solidFill>
                          <w14:schemeClr w14:val="tx1"/>
                        </w14:solidFill>
                      </w14:textFill>
                    </w:rPr>
                  </w:pPr>
                </w:p>
              </w:tc>
              <w:tc>
                <w:tcPr>
                  <w:tcW w:w="1037" w:type="pct"/>
                  <w:vMerge w:val="continue"/>
                  <w:tcBorders>
                    <w:tl2br w:val="nil"/>
                    <w:tr2bl w:val="nil"/>
                  </w:tcBorders>
                  <w:noWrap w:val="0"/>
                  <w:vAlign w:val="center"/>
                </w:tcPr>
                <w:p w14:paraId="469B8032">
                  <w:pPr>
                    <w:pStyle w:val="26"/>
                    <w:bidi w:val="0"/>
                    <w:rPr>
                      <w:rFonts w:hint="eastAsia"/>
                      <w:color w:val="000000" w:themeColor="text1"/>
                      <w:highlight w:val="none"/>
                      <w:lang w:val="en-US" w:eastAsia="zh-CN" w:bidi="ar-SA"/>
                      <w14:textFill>
                        <w14:solidFill>
                          <w14:schemeClr w14:val="tx1"/>
                        </w14:solidFill>
                      </w14:textFill>
                    </w:rPr>
                  </w:pPr>
                </w:p>
              </w:tc>
              <w:tc>
                <w:tcPr>
                  <w:tcW w:w="962" w:type="pct"/>
                  <w:tcBorders>
                    <w:tl2br w:val="nil"/>
                    <w:tr2bl w:val="nil"/>
                  </w:tcBorders>
                  <w:noWrap w:val="0"/>
                  <w:vAlign w:val="center"/>
                </w:tcPr>
                <w:p w14:paraId="433901B0">
                  <w:pPr>
                    <w:pStyle w:val="26"/>
                    <w:bidi w:val="0"/>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一期</w:t>
                  </w:r>
                </w:p>
              </w:tc>
              <w:tc>
                <w:tcPr>
                  <w:tcW w:w="962" w:type="pct"/>
                  <w:tcBorders>
                    <w:tl2br w:val="nil"/>
                    <w:tr2bl w:val="nil"/>
                  </w:tcBorders>
                  <w:noWrap w:val="0"/>
                  <w:vAlign w:val="center"/>
                </w:tcPr>
                <w:p w14:paraId="09ED367A">
                  <w:pPr>
                    <w:pStyle w:val="26"/>
                    <w:bidi w:val="0"/>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二期</w:t>
                  </w:r>
                </w:p>
              </w:tc>
              <w:tc>
                <w:tcPr>
                  <w:tcW w:w="962" w:type="pct"/>
                  <w:tcBorders>
                    <w:tl2br w:val="nil"/>
                    <w:tr2bl w:val="nil"/>
                  </w:tcBorders>
                  <w:noWrap w:val="0"/>
                  <w:vAlign w:val="center"/>
                </w:tcPr>
                <w:p w14:paraId="1329F9B6">
                  <w:pPr>
                    <w:pStyle w:val="26"/>
                    <w:bidi w:val="0"/>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合计</w:t>
                  </w:r>
                </w:p>
              </w:tc>
              <w:tc>
                <w:tcPr>
                  <w:tcW w:w="628" w:type="pct"/>
                  <w:vMerge w:val="continue"/>
                  <w:tcBorders>
                    <w:tl2br w:val="nil"/>
                    <w:tr2bl w:val="nil"/>
                  </w:tcBorders>
                  <w:noWrap w:val="0"/>
                  <w:vAlign w:val="center"/>
                </w:tcPr>
                <w:p w14:paraId="191BF6E7">
                  <w:pPr>
                    <w:pStyle w:val="26"/>
                    <w:bidi w:val="0"/>
                    <w:rPr>
                      <w:rFonts w:hint="default"/>
                      <w:color w:val="000000" w:themeColor="text1"/>
                      <w:highlight w:val="none"/>
                      <w:lang w:val="en-US" w:eastAsia="zh-CN" w:bidi="ar-SA"/>
                      <w14:textFill>
                        <w14:solidFill>
                          <w14:schemeClr w14:val="tx1"/>
                        </w14:solidFill>
                      </w14:textFill>
                    </w:rPr>
                  </w:pPr>
                </w:p>
              </w:tc>
            </w:tr>
            <w:tr w14:paraId="78DFA3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7" w:type="pct"/>
                  <w:tcBorders>
                    <w:tl2br w:val="nil"/>
                    <w:tr2bl w:val="nil"/>
                  </w:tcBorders>
                  <w:noWrap w:val="0"/>
                  <w:vAlign w:val="center"/>
                </w:tcPr>
                <w:p w14:paraId="55CFD8B6">
                  <w:pPr>
                    <w:pStyle w:val="26"/>
                    <w:bidi w:val="0"/>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w:t>
                  </w:r>
                </w:p>
              </w:tc>
              <w:tc>
                <w:tcPr>
                  <w:tcW w:w="1037" w:type="pct"/>
                  <w:tcBorders>
                    <w:tl2br w:val="nil"/>
                    <w:tr2bl w:val="nil"/>
                  </w:tcBorders>
                  <w:noWrap w:val="0"/>
                  <w:vAlign w:val="center"/>
                </w:tcPr>
                <w:p w14:paraId="77716443">
                  <w:pPr>
                    <w:pStyle w:val="26"/>
                    <w:bidi w:val="0"/>
                    <w:ind w:firstLine="0" w:firstLineChars="0"/>
                    <w:rPr>
                      <w:rFonts w:hint="default"/>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单壁碳纳米管</w:t>
                  </w:r>
                </w:p>
              </w:tc>
              <w:tc>
                <w:tcPr>
                  <w:tcW w:w="962" w:type="pct"/>
                  <w:tcBorders>
                    <w:tl2br w:val="nil"/>
                    <w:tr2bl w:val="nil"/>
                  </w:tcBorders>
                  <w:noWrap w:val="0"/>
                  <w:vAlign w:val="center"/>
                </w:tcPr>
                <w:p w14:paraId="50C5D32B">
                  <w:pPr>
                    <w:pStyle w:val="26"/>
                    <w:bidi w:val="0"/>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30</w:t>
                  </w:r>
                </w:p>
              </w:tc>
              <w:tc>
                <w:tcPr>
                  <w:tcW w:w="962" w:type="pct"/>
                  <w:tcBorders>
                    <w:tl2br w:val="nil"/>
                    <w:tr2bl w:val="nil"/>
                  </w:tcBorders>
                  <w:noWrap w:val="0"/>
                  <w:vAlign w:val="center"/>
                </w:tcPr>
                <w:p w14:paraId="1D55B490">
                  <w:pPr>
                    <w:pStyle w:val="26"/>
                    <w:bidi w:val="0"/>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70</w:t>
                  </w:r>
                </w:p>
              </w:tc>
              <w:tc>
                <w:tcPr>
                  <w:tcW w:w="962" w:type="pct"/>
                  <w:tcBorders>
                    <w:tl2br w:val="nil"/>
                    <w:tr2bl w:val="nil"/>
                  </w:tcBorders>
                  <w:noWrap w:val="0"/>
                  <w:vAlign w:val="center"/>
                </w:tcPr>
                <w:p w14:paraId="005DC2B2">
                  <w:pPr>
                    <w:pStyle w:val="26"/>
                    <w:bidi w:val="0"/>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100</w:t>
                  </w:r>
                </w:p>
              </w:tc>
              <w:tc>
                <w:tcPr>
                  <w:tcW w:w="628" w:type="pct"/>
                  <w:tcBorders>
                    <w:tl2br w:val="nil"/>
                    <w:tr2bl w:val="nil"/>
                  </w:tcBorders>
                  <w:noWrap w:val="0"/>
                  <w:vAlign w:val="center"/>
                </w:tcPr>
                <w:p w14:paraId="14D6E128">
                  <w:pPr>
                    <w:pStyle w:val="26"/>
                    <w:bidi w:val="0"/>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外售</w:t>
                  </w:r>
                </w:p>
              </w:tc>
            </w:tr>
            <w:tr w14:paraId="348893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7" w:type="pct"/>
                  <w:tcBorders>
                    <w:tl2br w:val="nil"/>
                    <w:tr2bl w:val="nil"/>
                  </w:tcBorders>
                  <w:noWrap w:val="0"/>
                  <w:vAlign w:val="center"/>
                </w:tcPr>
                <w:p w14:paraId="213CD1D0">
                  <w:pPr>
                    <w:pStyle w:val="26"/>
                    <w:bidi w:val="0"/>
                    <w:rPr>
                      <w:rFonts w:hint="default"/>
                      <w:color w:val="000000" w:themeColor="text1"/>
                      <w:highlight w:val="none"/>
                      <w:lang w:val="en-US" w:eastAsia="zh-CN" w:bidi="ar-SA"/>
                      <w14:textFill>
                        <w14:solidFill>
                          <w14:schemeClr w14:val="tx1"/>
                        </w14:solidFill>
                      </w14:textFill>
                    </w:rPr>
                  </w:pPr>
                  <w:bookmarkStart w:id="73" w:name="_Toc4443"/>
                  <w:bookmarkStart w:id="74" w:name="_Toc17729"/>
                  <w:bookmarkStart w:id="75" w:name="_Toc13834"/>
                  <w:r>
                    <w:rPr>
                      <w:rFonts w:hint="eastAsia"/>
                      <w:color w:val="000000" w:themeColor="text1"/>
                      <w:highlight w:val="none"/>
                      <w:lang w:val="en-US" w:eastAsia="zh-CN" w:bidi="ar-SA"/>
                      <w14:textFill>
                        <w14:solidFill>
                          <w14:schemeClr w14:val="tx1"/>
                        </w14:solidFill>
                      </w14:textFill>
                    </w:rPr>
                    <w:t>2</w:t>
                  </w:r>
                </w:p>
              </w:tc>
              <w:tc>
                <w:tcPr>
                  <w:tcW w:w="1037" w:type="pct"/>
                  <w:tcBorders>
                    <w:tl2br w:val="nil"/>
                    <w:tr2bl w:val="nil"/>
                  </w:tcBorders>
                  <w:noWrap w:val="0"/>
                  <w:vAlign w:val="center"/>
                </w:tcPr>
                <w:p w14:paraId="649C2AED">
                  <w:pPr>
                    <w:pStyle w:val="26"/>
                    <w:bidi w:val="0"/>
                    <w:ind w:firstLine="0" w:firstLineChars="0"/>
                    <w:rPr>
                      <w:rFonts w:hint="default"/>
                      <w:color w:val="000000" w:themeColor="text1"/>
                      <w:sz w:val="21"/>
                      <w:szCs w:val="22"/>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硅碳负极材料</w:t>
                  </w:r>
                </w:p>
              </w:tc>
              <w:tc>
                <w:tcPr>
                  <w:tcW w:w="962" w:type="pct"/>
                  <w:tcBorders>
                    <w:tl2br w:val="nil"/>
                    <w:tr2bl w:val="nil"/>
                  </w:tcBorders>
                  <w:noWrap w:val="0"/>
                  <w:vAlign w:val="center"/>
                </w:tcPr>
                <w:p w14:paraId="690AD8F6">
                  <w:pPr>
                    <w:pStyle w:val="26"/>
                    <w:bidi w:val="0"/>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300</w:t>
                  </w:r>
                </w:p>
              </w:tc>
              <w:tc>
                <w:tcPr>
                  <w:tcW w:w="962" w:type="pct"/>
                  <w:tcBorders>
                    <w:tl2br w:val="nil"/>
                    <w:tr2bl w:val="nil"/>
                  </w:tcBorders>
                  <w:noWrap w:val="0"/>
                  <w:vAlign w:val="center"/>
                </w:tcPr>
                <w:p w14:paraId="7F4F97B2">
                  <w:pPr>
                    <w:pStyle w:val="26"/>
                    <w:bidi w:val="0"/>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700</w:t>
                  </w:r>
                </w:p>
              </w:tc>
              <w:tc>
                <w:tcPr>
                  <w:tcW w:w="962" w:type="pct"/>
                  <w:tcBorders>
                    <w:tl2br w:val="nil"/>
                    <w:tr2bl w:val="nil"/>
                  </w:tcBorders>
                  <w:noWrap w:val="0"/>
                  <w:vAlign w:val="center"/>
                </w:tcPr>
                <w:p w14:paraId="1544814F">
                  <w:pPr>
                    <w:pStyle w:val="26"/>
                    <w:bidi w:val="0"/>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1000</w:t>
                  </w:r>
                </w:p>
              </w:tc>
              <w:tc>
                <w:tcPr>
                  <w:tcW w:w="628" w:type="pct"/>
                  <w:tcBorders>
                    <w:tl2br w:val="nil"/>
                    <w:tr2bl w:val="nil"/>
                  </w:tcBorders>
                  <w:noWrap w:val="0"/>
                  <w:vAlign w:val="center"/>
                </w:tcPr>
                <w:p w14:paraId="5C1D549B">
                  <w:pPr>
                    <w:pStyle w:val="26"/>
                    <w:bidi w:val="0"/>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外售</w:t>
                  </w:r>
                </w:p>
              </w:tc>
            </w:tr>
            <w:bookmarkEnd w:id="73"/>
            <w:bookmarkEnd w:id="74"/>
            <w:bookmarkEnd w:id="75"/>
          </w:tbl>
          <w:p w14:paraId="7C36659F">
            <w:pPr>
              <w:pStyle w:val="2"/>
              <w:bidi w:val="0"/>
              <w:rPr>
                <w:rFonts w:hint="default" w:ascii="Times New Roman" w:hAnsi="Times New Roman" w:cs="Times New Roman"/>
                <w:color w:val="000000" w:themeColor="text1"/>
                <w:highlight w:val="none"/>
                <w:lang w:val="en-US" w:eastAsia="zh-CN"/>
                <w14:textFill>
                  <w14:solidFill>
                    <w14:schemeClr w14:val="tx1"/>
                  </w14:solidFill>
                </w14:textFill>
              </w:rPr>
            </w:pPr>
            <w:bookmarkStart w:id="76" w:name="_Toc20774"/>
            <w:bookmarkStart w:id="77" w:name="_Toc2110"/>
            <w:bookmarkStart w:id="78" w:name="_Toc9081"/>
            <w:bookmarkStart w:id="79" w:name="_Toc9086"/>
            <w:bookmarkStart w:id="80" w:name="_Toc9943"/>
            <w:bookmarkStart w:id="81" w:name="_Toc29437"/>
            <w:r>
              <w:rPr>
                <w:rFonts w:hint="default" w:ascii="Times New Roman" w:hAnsi="Times New Roman" w:cs="Times New Roman"/>
                <w:color w:val="000000" w:themeColor="text1"/>
                <w:highlight w:val="none"/>
                <w:lang w:val="en-US" w:eastAsia="zh-CN"/>
                <w14:textFill>
                  <w14:solidFill>
                    <w14:schemeClr w14:val="tx1"/>
                  </w14:solidFill>
                </w14:textFill>
              </w:rPr>
              <w:t>建设内容</w:t>
            </w:r>
            <w:bookmarkEnd w:id="76"/>
            <w:bookmarkEnd w:id="77"/>
            <w:bookmarkEnd w:id="78"/>
            <w:bookmarkEnd w:id="79"/>
            <w:bookmarkEnd w:id="80"/>
            <w:bookmarkEnd w:id="81"/>
          </w:p>
          <w:p w14:paraId="7ED47375">
            <w:pPr>
              <w:ind w:firstLine="480"/>
              <w:rPr>
                <w:rFonts w:hint="default" w:ascii="Times New Roman" w:hAnsi="Times New Roman"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本项目由主体工程、辅助工程、公用工程及环保工程组成，</w:t>
            </w:r>
            <w:r>
              <w:rPr>
                <w:rFonts w:hint="default" w:ascii="Times New Roman" w:hAnsi="Times New Roman" w:cs="Times New Roman"/>
                <w:color w:val="000000" w:themeColor="text1"/>
                <w:highlight w:val="none"/>
                <w14:textFill>
                  <w14:solidFill>
                    <w14:schemeClr w14:val="tx1"/>
                  </w14:solidFill>
                </w14:textFill>
              </w:rPr>
              <w:t>项目工程组成</w:t>
            </w:r>
            <w:r>
              <w:rPr>
                <w:rFonts w:hint="default" w:ascii="Times New Roman" w:hAnsi="Times New Roman" w:cs="Times New Roman"/>
                <w:color w:val="000000" w:themeColor="text1"/>
                <w:highlight w:val="none"/>
                <w:lang w:val="en-US" w:eastAsia="zh-CN"/>
                <w14:textFill>
                  <w14:solidFill>
                    <w14:schemeClr w14:val="tx1"/>
                  </w14:solidFill>
                </w14:textFill>
              </w:rPr>
              <w:t>详见</w: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begin"/>
            </w:r>
            <w:r>
              <w:rPr>
                <w:rFonts w:hint="default" w:ascii="Times New Roman" w:hAnsi="Times New Roman" w:cs="Times New Roman"/>
                <w:color w:val="000000" w:themeColor="text1"/>
                <w:highlight w:val="none"/>
                <w:lang w:val="en-US" w:eastAsia="zh-CN"/>
                <w14:textFill>
                  <w14:solidFill>
                    <w14:schemeClr w14:val="tx1"/>
                  </w14:solidFill>
                </w14:textFill>
              </w:rPr>
              <w:instrText xml:space="preserve"> REF _Ref5470 \n \h </w:instrTex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separate"/>
            </w:r>
            <w:r>
              <w:rPr>
                <w:rFonts w:hint="default" w:ascii="Times New Roman" w:hAnsi="Times New Roman" w:cs="Times New Roman"/>
                <w:color w:val="000000" w:themeColor="text1"/>
                <w:highlight w:val="none"/>
                <w:lang w:val="en-US" w:eastAsia="zh-CN"/>
                <w14:textFill>
                  <w14:solidFill>
                    <w14:schemeClr w14:val="tx1"/>
                  </w14:solidFill>
                </w14:textFill>
              </w:rPr>
              <w:t>表2.2-1</w: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end"/>
            </w:r>
            <w:r>
              <w:rPr>
                <w:rFonts w:hint="default" w:ascii="Times New Roman" w:hAnsi="Times New Roman" w:cs="Times New Roman"/>
                <w:color w:val="000000" w:themeColor="text1"/>
                <w:highlight w:val="none"/>
                <w14:textFill>
                  <w14:solidFill>
                    <w14:schemeClr w14:val="tx1"/>
                  </w14:solidFill>
                </w14:textFill>
              </w:rPr>
              <w:t>所示。</w:t>
            </w:r>
          </w:p>
          <w:p w14:paraId="73491D4B">
            <w:pPr>
              <w:pStyle w:val="30"/>
              <w:bidi w:val="0"/>
              <w:rPr>
                <w:rFonts w:hint="default"/>
                <w:color w:val="000000" w:themeColor="text1"/>
                <w:highlight w:val="none"/>
                <w14:textFill>
                  <w14:solidFill>
                    <w14:schemeClr w14:val="tx1"/>
                  </w14:solidFill>
                </w14:textFill>
              </w:rPr>
            </w:pPr>
            <w:bookmarkStart w:id="82" w:name="_Ref5470"/>
            <w:r>
              <w:rPr>
                <w:rFonts w:hint="default"/>
                <w:color w:val="000000" w:themeColor="text1"/>
                <w:highlight w:val="none"/>
                <w14:textFill>
                  <w14:solidFill>
                    <w14:schemeClr w14:val="tx1"/>
                  </w14:solidFill>
                </w14:textFill>
              </w:rPr>
              <w:t>项目工程组成一览表</w:t>
            </w:r>
            <w:bookmarkEnd w:id="82"/>
          </w:p>
          <w:tbl>
            <w:tblPr>
              <w:tblStyle w:val="1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3"/>
              <w:gridCol w:w="967"/>
              <w:gridCol w:w="1234"/>
              <w:gridCol w:w="2531"/>
              <w:gridCol w:w="2532"/>
            </w:tblGrid>
            <w:tr w14:paraId="191C7D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6" w:type="pct"/>
                  <w:gridSpan w:val="3"/>
                  <w:noWrap w:val="0"/>
                  <w:vAlign w:val="center"/>
                </w:tcPr>
                <w:p w14:paraId="7EF5D4AE">
                  <w:pPr>
                    <w:pStyle w:val="26"/>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项目组成</w:t>
                  </w:r>
                </w:p>
              </w:tc>
              <w:tc>
                <w:tcPr>
                  <w:tcW w:w="1576" w:type="pct"/>
                  <w:noWrap w:val="0"/>
                  <w:vAlign w:val="center"/>
                </w:tcPr>
                <w:p w14:paraId="020D206F">
                  <w:pPr>
                    <w:pStyle w:val="26"/>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一期</w:t>
                  </w:r>
                  <w:r>
                    <w:rPr>
                      <w:rFonts w:hint="eastAsia" w:cs="Times New Roman"/>
                      <w:color w:val="000000" w:themeColor="text1"/>
                      <w:highlight w:val="none"/>
                      <w:lang w:val="en-US" w:eastAsia="zh-CN"/>
                      <w14:textFill>
                        <w14:solidFill>
                          <w14:schemeClr w14:val="tx1"/>
                        </w14:solidFill>
                      </w14:textFill>
                    </w:rPr>
                    <w:t>建设</w:t>
                  </w:r>
                  <w:r>
                    <w:rPr>
                      <w:rFonts w:hint="default" w:ascii="Times New Roman" w:hAnsi="Times New Roman" w:cs="Times New Roman"/>
                      <w:color w:val="000000" w:themeColor="text1"/>
                      <w:highlight w:val="none"/>
                      <w:lang w:val="en-US" w:eastAsia="zh-CN"/>
                      <w14:textFill>
                        <w14:solidFill>
                          <w14:schemeClr w14:val="tx1"/>
                        </w14:solidFill>
                      </w14:textFill>
                    </w:rPr>
                    <w:t>内容</w:t>
                  </w:r>
                </w:p>
              </w:tc>
              <w:tc>
                <w:tcPr>
                  <w:tcW w:w="1577" w:type="pct"/>
                  <w:noWrap w:val="0"/>
                  <w:vAlign w:val="center"/>
                </w:tcPr>
                <w:p w14:paraId="400E5D24">
                  <w:pPr>
                    <w:pStyle w:val="26"/>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二期建设</w:t>
                  </w:r>
                  <w:r>
                    <w:rPr>
                      <w:rFonts w:hint="default" w:ascii="Times New Roman" w:hAnsi="Times New Roman" w:cs="Times New Roman"/>
                      <w:color w:val="000000" w:themeColor="text1"/>
                      <w:highlight w:val="none"/>
                      <w:lang w:val="en-US" w:eastAsia="zh-CN"/>
                      <w14:textFill>
                        <w14:solidFill>
                          <w14:schemeClr w14:val="tx1"/>
                        </w14:solidFill>
                      </w14:textFill>
                    </w:rPr>
                    <w:t>内容</w:t>
                  </w:r>
                </w:p>
              </w:tc>
            </w:tr>
            <w:tr w14:paraId="6C14BB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 w:type="pct"/>
                  <w:vMerge w:val="restart"/>
                  <w:noWrap w:val="0"/>
                  <w:vAlign w:val="center"/>
                </w:tcPr>
                <w:p w14:paraId="56841351">
                  <w:pPr>
                    <w:pStyle w:val="26"/>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主体工程</w:t>
                  </w:r>
                </w:p>
              </w:tc>
              <w:tc>
                <w:tcPr>
                  <w:tcW w:w="1370" w:type="pct"/>
                  <w:gridSpan w:val="2"/>
                  <w:noWrap w:val="0"/>
                  <w:vAlign w:val="center"/>
                </w:tcPr>
                <w:p w14:paraId="703DCDA8">
                  <w:pPr>
                    <w:pStyle w:val="26"/>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1#车间</w:t>
                  </w:r>
                </w:p>
              </w:tc>
              <w:tc>
                <w:tcPr>
                  <w:tcW w:w="1576" w:type="pct"/>
                  <w:noWrap w:val="0"/>
                  <w:vAlign w:val="center"/>
                </w:tcPr>
                <w:p w14:paraId="433D679B">
                  <w:pPr>
                    <w:pStyle w:val="26"/>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w:t>
                  </w:r>
                </w:p>
              </w:tc>
              <w:tc>
                <w:tcPr>
                  <w:tcW w:w="1577" w:type="pct"/>
                  <w:noWrap w:val="0"/>
                  <w:vAlign w:val="center"/>
                </w:tcPr>
                <w:p w14:paraId="665F888B">
                  <w:pPr>
                    <w:pStyle w:val="26"/>
                    <w:rPr>
                      <w:rFonts w:hint="default"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租赁面积3100 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2</w:t>
                  </w:r>
                  <w:r>
                    <w:rPr>
                      <w:rFonts w:hint="eastAsia" w:ascii="Times New Roman" w:hAnsi="Times New Roman" w:cs="Times New Roman"/>
                      <w:color w:val="000000" w:themeColor="text1"/>
                      <w:highlight w:val="none"/>
                      <w:vertAlign w:val="baseline"/>
                      <w:lang w:val="en-US" w:eastAsia="zh-CN"/>
                      <w14:textFill>
                        <w14:solidFill>
                          <w14:schemeClr w14:val="tx1"/>
                        </w14:solidFill>
                      </w14:textFill>
                    </w:rPr>
                    <w:t>，建设年产70 t的</w:t>
                  </w:r>
                  <w:r>
                    <w:rPr>
                      <w:rFonts w:hint="eastAsia"/>
                      <w:color w:val="000000" w:themeColor="text1"/>
                      <w:highlight w:val="none"/>
                      <w:lang w:val="en-US" w:eastAsia="zh-CN"/>
                      <w14:textFill>
                        <w14:solidFill>
                          <w14:schemeClr w14:val="tx1"/>
                        </w14:solidFill>
                      </w14:textFill>
                    </w:rPr>
                    <w:t>单壁碳纳米管生产线</w:t>
                  </w:r>
                  <w:r>
                    <w:rPr>
                      <w:rFonts w:hint="eastAsia" w:ascii="Times New Roman" w:hAnsi="Times New Roman" w:cs="Times New Roman"/>
                      <w:color w:val="000000" w:themeColor="text1"/>
                      <w:highlight w:val="none"/>
                      <w:vertAlign w:val="baseline"/>
                      <w:lang w:val="en-US" w:eastAsia="zh-CN"/>
                      <w14:textFill>
                        <w14:solidFill>
                          <w14:schemeClr w14:val="tx1"/>
                        </w14:solidFill>
                      </w14:textFill>
                    </w:rPr>
                    <w:t>和</w:t>
                  </w:r>
                  <w:r>
                    <w:rPr>
                      <w:rFonts w:hint="eastAsia" w:ascii="Times New Roman" w:hAnsi="Times New Roman" w:cs="Times New Roman"/>
                      <w:color w:val="000000" w:themeColor="text1"/>
                      <w:highlight w:val="none"/>
                      <w:lang w:val="en-US" w:eastAsia="zh-CN"/>
                      <w14:textFill>
                        <w14:solidFill>
                          <w14:schemeClr w14:val="tx1"/>
                        </w14:solidFill>
                      </w14:textFill>
                    </w:rPr>
                    <w:t>年产700 t的硅碳负极材料生产线</w:t>
                  </w:r>
                </w:p>
              </w:tc>
            </w:tr>
            <w:tr w14:paraId="0F6DB8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 w:type="pct"/>
                  <w:vMerge w:val="continue"/>
                  <w:noWrap w:val="0"/>
                  <w:vAlign w:val="center"/>
                </w:tcPr>
                <w:p w14:paraId="13E88805">
                  <w:pPr>
                    <w:pStyle w:val="26"/>
                    <w:rPr>
                      <w:rFonts w:hint="default" w:ascii="Times New Roman" w:hAnsi="Times New Roman" w:cs="Times New Roman"/>
                      <w:color w:val="000000" w:themeColor="text1"/>
                      <w:highlight w:val="none"/>
                      <w:lang w:val="en-US" w:eastAsia="zh-CN"/>
                      <w14:textFill>
                        <w14:solidFill>
                          <w14:schemeClr w14:val="tx1"/>
                        </w14:solidFill>
                      </w14:textFill>
                    </w:rPr>
                  </w:pPr>
                </w:p>
              </w:tc>
              <w:tc>
                <w:tcPr>
                  <w:tcW w:w="1370" w:type="pct"/>
                  <w:gridSpan w:val="2"/>
                  <w:noWrap w:val="0"/>
                  <w:vAlign w:val="center"/>
                </w:tcPr>
                <w:p w14:paraId="14CA7BBC">
                  <w:pPr>
                    <w:pStyle w:val="26"/>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3#车间</w:t>
                  </w:r>
                </w:p>
              </w:tc>
              <w:tc>
                <w:tcPr>
                  <w:tcW w:w="1576" w:type="pct"/>
                  <w:noWrap w:val="0"/>
                  <w:vAlign w:val="center"/>
                </w:tcPr>
                <w:p w14:paraId="73BE19FB">
                  <w:pPr>
                    <w:pStyle w:val="26"/>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租赁面积1550 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2</w:t>
                  </w:r>
                  <w:r>
                    <w:rPr>
                      <w:rFonts w:hint="eastAsia" w:ascii="Times New Roman" w:hAnsi="Times New Roman" w:cs="Times New Roman"/>
                      <w:color w:val="000000" w:themeColor="text1"/>
                      <w:highlight w:val="none"/>
                      <w:lang w:val="en-US" w:eastAsia="zh-CN"/>
                      <w14:textFill>
                        <w14:solidFill>
                          <w14:schemeClr w14:val="tx1"/>
                        </w14:solidFill>
                      </w14:textFill>
                    </w:rPr>
                    <w:t>，建设</w:t>
                  </w:r>
                  <w:r>
                    <w:rPr>
                      <w:rFonts w:hint="eastAsia" w:ascii="Times New Roman" w:hAnsi="Times New Roman" w:cs="Times New Roman"/>
                      <w:color w:val="000000" w:themeColor="text1"/>
                      <w:highlight w:val="none"/>
                      <w:vertAlign w:val="baseline"/>
                      <w:lang w:val="en-US" w:eastAsia="zh-CN"/>
                      <w14:textFill>
                        <w14:solidFill>
                          <w14:schemeClr w14:val="tx1"/>
                        </w14:solidFill>
                      </w14:textFill>
                    </w:rPr>
                    <w:t>年产30 t的</w:t>
                  </w:r>
                  <w:r>
                    <w:rPr>
                      <w:rFonts w:hint="eastAsia"/>
                      <w:color w:val="000000" w:themeColor="text1"/>
                      <w:highlight w:val="none"/>
                      <w:lang w:val="en-US" w:eastAsia="zh-CN"/>
                      <w14:textFill>
                        <w14:solidFill>
                          <w14:schemeClr w14:val="tx1"/>
                        </w14:solidFill>
                      </w14:textFill>
                    </w:rPr>
                    <w:t>单壁碳纳米管生产线</w:t>
                  </w:r>
                  <w:r>
                    <w:rPr>
                      <w:rFonts w:hint="eastAsia" w:ascii="Times New Roman" w:hAnsi="Times New Roman" w:cs="Times New Roman"/>
                      <w:color w:val="000000" w:themeColor="text1"/>
                      <w:highlight w:val="none"/>
                      <w:vertAlign w:val="baseline"/>
                      <w:lang w:val="en-US" w:eastAsia="zh-CN"/>
                      <w14:textFill>
                        <w14:solidFill>
                          <w14:schemeClr w14:val="tx1"/>
                        </w14:solidFill>
                      </w14:textFill>
                    </w:rPr>
                    <w:t>和</w:t>
                  </w:r>
                  <w:r>
                    <w:rPr>
                      <w:rFonts w:hint="eastAsia" w:ascii="Times New Roman" w:hAnsi="Times New Roman" w:cs="Times New Roman"/>
                      <w:color w:val="000000" w:themeColor="text1"/>
                      <w:highlight w:val="none"/>
                      <w:lang w:val="en-US" w:eastAsia="zh-CN"/>
                      <w14:textFill>
                        <w14:solidFill>
                          <w14:schemeClr w14:val="tx1"/>
                        </w14:solidFill>
                      </w14:textFill>
                    </w:rPr>
                    <w:t>年产300 t的硅碳负极材料生产线</w:t>
                  </w:r>
                </w:p>
              </w:tc>
              <w:tc>
                <w:tcPr>
                  <w:tcW w:w="1577" w:type="pct"/>
                  <w:noWrap w:val="0"/>
                  <w:vAlign w:val="center"/>
                </w:tcPr>
                <w:p w14:paraId="52637725">
                  <w:pPr>
                    <w:pStyle w:val="26"/>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r>
            <w:tr w14:paraId="6832C3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 w:type="pct"/>
                  <w:vMerge w:val="restart"/>
                  <w:noWrap w:val="0"/>
                  <w:vAlign w:val="center"/>
                </w:tcPr>
                <w:p w14:paraId="03DFBFEF">
                  <w:pPr>
                    <w:pStyle w:val="26"/>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辅助工程</w:t>
                  </w:r>
                </w:p>
              </w:tc>
              <w:tc>
                <w:tcPr>
                  <w:tcW w:w="1370" w:type="pct"/>
                  <w:gridSpan w:val="2"/>
                  <w:noWrap w:val="0"/>
                  <w:vAlign w:val="center"/>
                </w:tcPr>
                <w:p w14:paraId="51D4EFC7">
                  <w:pPr>
                    <w:pStyle w:val="26"/>
                    <w:ind w:firstLine="0" w:firstLineChars="0"/>
                    <w:rPr>
                      <w:rFonts w:hint="default"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t>综合楼</w:t>
                  </w:r>
                </w:p>
              </w:tc>
              <w:tc>
                <w:tcPr>
                  <w:tcW w:w="3153" w:type="pct"/>
                  <w:gridSpan w:val="2"/>
                  <w:noWrap w:val="0"/>
                  <w:vAlign w:val="center"/>
                </w:tcPr>
                <w:p w14:paraId="53923A38">
                  <w:pPr>
                    <w:pStyle w:val="26"/>
                    <w:rPr>
                      <w:rFonts w:hint="default"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租赁面积200 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2</w:t>
                  </w:r>
                  <w:r>
                    <w:rPr>
                      <w:rFonts w:hint="eastAsia" w:ascii="Times New Roman" w:hAnsi="Times New Roman" w:cs="Times New Roman"/>
                      <w:color w:val="000000" w:themeColor="text1"/>
                      <w:highlight w:val="none"/>
                      <w:lang w:val="en-US" w:eastAsia="zh-CN"/>
                      <w14:textFill>
                        <w14:solidFill>
                          <w14:schemeClr w14:val="tx1"/>
                        </w14:solidFill>
                      </w14:textFill>
                    </w:rPr>
                    <w:t>，用于办公、宿舍和检验室</w:t>
                  </w:r>
                </w:p>
              </w:tc>
            </w:tr>
            <w:tr w14:paraId="71BAF1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 w:type="pct"/>
                  <w:vMerge w:val="continue"/>
                  <w:noWrap w:val="0"/>
                  <w:vAlign w:val="center"/>
                </w:tcPr>
                <w:p w14:paraId="6C21F92D">
                  <w:pPr>
                    <w:pStyle w:val="26"/>
                    <w:rPr>
                      <w:rFonts w:hint="eastAsia" w:cs="Times New Roman"/>
                      <w:color w:val="000000" w:themeColor="text1"/>
                      <w:highlight w:val="none"/>
                      <w:lang w:val="en-US" w:eastAsia="zh-CN"/>
                      <w14:textFill>
                        <w14:solidFill>
                          <w14:schemeClr w14:val="tx1"/>
                        </w14:solidFill>
                      </w14:textFill>
                    </w:rPr>
                  </w:pPr>
                </w:p>
              </w:tc>
              <w:tc>
                <w:tcPr>
                  <w:tcW w:w="1370" w:type="pct"/>
                  <w:gridSpan w:val="2"/>
                  <w:noWrap w:val="0"/>
                  <w:vAlign w:val="center"/>
                </w:tcPr>
                <w:p w14:paraId="64581B6C">
                  <w:pPr>
                    <w:pStyle w:val="26"/>
                    <w:ind w:firstLine="0" w:firstLineChars="0"/>
                    <w:rPr>
                      <w:rFonts w:hint="default"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t>食堂</w:t>
                  </w:r>
                </w:p>
              </w:tc>
              <w:tc>
                <w:tcPr>
                  <w:tcW w:w="3153" w:type="pct"/>
                  <w:gridSpan w:val="2"/>
                  <w:noWrap w:val="0"/>
                  <w:vAlign w:val="center"/>
                </w:tcPr>
                <w:p w14:paraId="4E494F7C">
                  <w:pPr>
                    <w:pStyle w:val="26"/>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依托出租方食堂</w:t>
                  </w:r>
                </w:p>
              </w:tc>
            </w:tr>
            <w:tr w14:paraId="2F51B3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 w:type="pct"/>
                  <w:vMerge w:val="restart"/>
                  <w:noWrap w:val="0"/>
                  <w:vAlign w:val="center"/>
                </w:tcPr>
                <w:p w14:paraId="5F932805">
                  <w:pPr>
                    <w:pStyle w:val="26"/>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储运工程</w:t>
                  </w:r>
                </w:p>
              </w:tc>
              <w:tc>
                <w:tcPr>
                  <w:tcW w:w="1370" w:type="pct"/>
                  <w:gridSpan w:val="2"/>
                  <w:noWrap w:val="0"/>
                  <w:vAlign w:val="center"/>
                </w:tcPr>
                <w:p w14:paraId="49E72063">
                  <w:pPr>
                    <w:pStyle w:val="26"/>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原料仓库</w:t>
                  </w:r>
                </w:p>
              </w:tc>
              <w:tc>
                <w:tcPr>
                  <w:tcW w:w="1576" w:type="pct"/>
                  <w:noWrap w:val="0"/>
                  <w:vAlign w:val="center"/>
                </w:tcPr>
                <w:p w14:paraId="066664BA">
                  <w:pPr>
                    <w:pStyle w:val="26"/>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位于3#车间西南侧，面积约50 m</w:t>
                  </w:r>
                  <w:r>
                    <w:rPr>
                      <w:rFonts w:hint="eastAsia" w:cs="Times New Roman"/>
                      <w:color w:val="000000" w:themeColor="text1"/>
                      <w:highlight w:val="none"/>
                      <w:vertAlign w:val="superscript"/>
                      <w:lang w:val="en-US" w:eastAsia="zh-CN"/>
                      <w14:textFill>
                        <w14:solidFill>
                          <w14:schemeClr w14:val="tx1"/>
                        </w14:solidFill>
                      </w14:textFill>
                    </w:rPr>
                    <w:t>2</w:t>
                  </w:r>
                </w:p>
              </w:tc>
              <w:tc>
                <w:tcPr>
                  <w:tcW w:w="1577" w:type="pct"/>
                  <w:noWrap w:val="0"/>
                  <w:vAlign w:val="center"/>
                </w:tcPr>
                <w:p w14:paraId="7AA6EE95">
                  <w:pPr>
                    <w:pStyle w:val="26"/>
                    <w:ind w:firstLine="0" w:firstLineChars="0"/>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位于1#车间西北侧，面积约200 m</w:t>
                  </w:r>
                  <w:r>
                    <w:rPr>
                      <w:rFonts w:hint="eastAsia" w:cs="Times New Roman"/>
                      <w:color w:val="000000" w:themeColor="text1"/>
                      <w:highlight w:val="none"/>
                      <w:vertAlign w:val="superscript"/>
                      <w:lang w:val="en-US" w:eastAsia="zh-CN"/>
                      <w14:textFill>
                        <w14:solidFill>
                          <w14:schemeClr w14:val="tx1"/>
                        </w14:solidFill>
                      </w14:textFill>
                    </w:rPr>
                    <w:t>2</w:t>
                  </w:r>
                </w:p>
              </w:tc>
            </w:tr>
            <w:tr w14:paraId="771BFE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 w:type="pct"/>
                  <w:vMerge w:val="continue"/>
                  <w:noWrap w:val="0"/>
                  <w:vAlign w:val="center"/>
                </w:tcPr>
                <w:p w14:paraId="4F96B8BE">
                  <w:pPr>
                    <w:pStyle w:val="26"/>
                    <w:rPr>
                      <w:rFonts w:hint="eastAsia" w:cs="Times New Roman"/>
                      <w:color w:val="000000" w:themeColor="text1"/>
                      <w:highlight w:val="none"/>
                      <w:lang w:val="en-US" w:eastAsia="zh-CN"/>
                      <w14:textFill>
                        <w14:solidFill>
                          <w14:schemeClr w14:val="tx1"/>
                        </w14:solidFill>
                      </w14:textFill>
                    </w:rPr>
                  </w:pPr>
                </w:p>
              </w:tc>
              <w:tc>
                <w:tcPr>
                  <w:tcW w:w="2201" w:type="dxa"/>
                  <w:gridSpan w:val="2"/>
                  <w:noWrap w:val="0"/>
                  <w:vAlign w:val="center"/>
                </w:tcPr>
                <w:p w14:paraId="62E12F69">
                  <w:pPr>
                    <w:pStyle w:val="26"/>
                    <w:ind w:firstLine="0" w:firstLineChars="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氩气储罐</w:t>
                  </w:r>
                </w:p>
              </w:tc>
              <w:tc>
                <w:tcPr>
                  <w:tcW w:w="2531" w:type="dxa"/>
                  <w:noWrap w:val="0"/>
                  <w:vAlign w:val="center"/>
                </w:tcPr>
                <w:p w14:paraId="73BE8A72">
                  <w:pPr>
                    <w:pStyle w:val="26"/>
                    <w:ind w:firstLine="0" w:firstLineChars="0"/>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1个20m</w:t>
                  </w:r>
                  <w:r>
                    <w:rPr>
                      <w:rFonts w:hint="eastAsia" w:cs="Times New Roman"/>
                      <w:color w:val="000000" w:themeColor="text1"/>
                      <w:highlight w:val="none"/>
                      <w:vertAlign w:val="superscript"/>
                      <w:lang w:val="en-US" w:eastAsia="zh-CN"/>
                      <w14:textFill>
                        <w14:solidFill>
                          <w14:schemeClr w14:val="tx1"/>
                        </w14:solidFill>
                      </w14:textFill>
                    </w:rPr>
                    <w:t>3</w:t>
                  </w:r>
                  <w:r>
                    <w:rPr>
                      <w:rFonts w:hint="eastAsia" w:cs="Times New Roman"/>
                      <w:color w:val="000000" w:themeColor="text1"/>
                      <w:highlight w:val="none"/>
                      <w:lang w:val="en-US" w:eastAsia="zh-CN"/>
                      <w14:textFill>
                        <w14:solidFill>
                          <w14:schemeClr w14:val="tx1"/>
                        </w14:solidFill>
                      </w14:textFill>
                    </w:rPr>
                    <w:t>氩气储罐，位于3#车间内</w:t>
                  </w:r>
                </w:p>
              </w:tc>
              <w:tc>
                <w:tcPr>
                  <w:tcW w:w="2532" w:type="dxa"/>
                  <w:noWrap w:val="0"/>
                  <w:vAlign w:val="center"/>
                </w:tcPr>
                <w:p w14:paraId="1DDF6A53">
                  <w:pPr>
                    <w:pStyle w:val="26"/>
                    <w:ind w:firstLine="0" w:firstLineChars="0"/>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1个20m</w:t>
                  </w:r>
                  <w:r>
                    <w:rPr>
                      <w:rFonts w:hint="eastAsia" w:cs="Times New Roman"/>
                      <w:color w:val="000000" w:themeColor="text1"/>
                      <w:highlight w:val="none"/>
                      <w:vertAlign w:val="superscript"/>
                      <w:lang w:val="en-US" w:eastAsia="zh-CN"/>
                      <w14:textFill>
                        <w14:solidFill>
                          <w14:schemeClr w14:val="tx1"/>
                        </w14:solidFill>
                      </w14:textFill>
                    </w:rPr>
                    <w:t>3</w:t>
                  </w:r>
                  <w:r>
                    <w:rPr>
                      <w:rFonts w:hint="eastAsia" w:cs="Times New Roman"/>
                      <w:color w:val="000000" w:themeColor="text1"/>
                      <w:highlight w:val="none"/>
                      <w:lang w:val="en-US" w:eastAsia="zh-CN"/>
                      <w14:textFill>
                        <w14:solidFill>
                          <w14:schemeClr w14:val="tx1"/>
                        </w14:solidFill>
                      </w14:textFill>
                    </w:rPr>
                    <w:t>氩气储罐，位于1#车间内</w:t>
                  </w:r>
                </w:p>
              </w:tc>
            </w:tr>
            <w:tr w14:paraId="6BDB80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 w:type="pct"/>
                  <w:vMerge w:val="continue"/>
                  <w:noWrap w:val="0"/>
                  <w:vAlign w:val="center"/>
                </w:tcPr>
                <w:p w14:paraId="6F9D619A">
                  <w:pPr>
                    <w:pStyle w:val="26"/>
                    <w:rPr>
                      <w:rFonts w:hint="eastAsia" w:cs="Times New Roman"/>
                      <w:color w:val="000000" w:themeColor="text1"/>
                      <w:highlight w:val="none"/>
                      <w:lang w:val="en-US" w:eastAsia="zh-CN"/>
                      <w14:textFill>
                        <w14:solidFill>
                          <w14:schemeClr w14:val="tx1"/>
                        </w14:solidFill>
                      </w14:textFill>
                    </w:rPr>
                  </w:pPr>
                </w:p>
              </w:tc>
              <w:tc>
                <w:tcPr>
                  <w:tcW w:w="1370" w:type="pct"/>
                  <w:gridSpan w:val="2"/>
                  <w:noWrap w:val="0"/>
                  <w:vAlign w:val="center"/>
                </w:tcPr>
                <w:p w14:paraId="4A7C7325">
                  <w:pPr>
                    <w:pStyle w:val="26"/>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乙醇储罐区</w:t>
                  </w:r>
                </w:p>
              </w:tc>
              <w:tc>
                <w:tcPr>
                  <w:tcW w:w="1576" w:type="pct"/>
                  <w:noWrap w:val="0"/>
                  <w:vAlign w:val="center"/>
                </w:tcPr>
                <w:p w14:paraId="255703A2">
                  <w:pPr>
                    <w:pStyle w:val="26"/>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2个1.5 m</w:t>
                  </w:r>
                  <w:r>
                    <w:rPr>
                      <w:rFonts w:hint="eastAsia" w:cs="Times New Roman"/>
                      <w:color w:val="000000" w:themeColor="text1"/>
                      <w:highlight w:val="none"/>
                      <w:vertAlign w:val="superscript"/>
                      <w:lang w:val="en-US" w:eastAsia="zh-CN"/>
                      <w14:textFill>
                        <w14:solidFill>
                          <w14:schemeClr w14:val="tx1"/>
                        </w14:solidFill>
                      </w14:textFill>
                    </w:rPr>
                    <w:t>3</w:t>
                  </w:r>
                  <w:r>
                    <w:rPr>
                      <w:rFonts w:hint="eastAsia" w:cs="Times New Roman"/>
                      <w:color w:val="000000" w:themeColor="text1"/>
                      <w:highlight w:val="none"/>
                      <w:lang w:val="en-US" w:eastAsia="zh-CN"/>
                      <w14:textFill>
                        <w14:solidFill>
                          <w14:schemeClr w14:val="tx1"/>
                        </w14:solidFill>
                      </w14:textFill>
                    </w:rPr>
                    <w:t>乙醇储罐，位于3#车间内</w:t>
                  </w:r>
                </w:p>
              </w:tc>
              <w:tc>
                <w:tcPr>
                  <w:tcW w:w="1577" w:type="pct"/>
                  <w:noWrap w:val="0"/>
                  <w:vAlign w:val="center"/>
                </w:tcPr>
                <w:p w14:paraId="2D06B4B0">
                  <w:pPr>
                    <w:pStyle w:val="26"/>
                    <w:ind w:firstLine="0" w:firstLineChars="0"/>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2个3.5m</w:t>
                  </w:r>
                  <w:r>
                    <w:rPr>
                      <w:rFonts w:hint="eastAsia" w:cs="Times New Roman"/>
                      <w:color w:val="000000" w:themeColor="text1"/>
                      <w:highlight w:val="none"/>
                      <w:vertAlign w:val="superscript"/>
                      <w:lang w:val="en-US" w:eastAsia="zh-CN"/>
                      <w14:textFill>
                        <w14:solidFill>
                          <w14:schemeClr w14:val="tx1"/>
                        </w14:solidFill>
                      </w14:textFill>
                    </w:rPr>
                    <w:t>3</w:t>
                  </w:r>
                  <w:r>
                    <w:rPr>
                      <w:rFonts w:hint="eastAsia" w:cs="Times New Roman"/>
                      <w:color w:val="000000" w:themeColor="text1"/>
                      <w:highlight w:val="none"/>
                      <w:lang w:val="en-US" w:eastAsia="zh-CN"/>
                      <w14:textFill>
                        <w14:solidFill>
                          <w14:schemeClr w14:val="tx1"/>
                        </w14:solidFill>
                      </w14:textFill>
                    </w:rPr>
                    <w:t>乙醇储罐，位于1#车间内</w:t>
                  </w:r>
                </w:p>
              </w:tc>
            </w:tr>
            <w:tr w14:paraId="65D621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 w:type="pct"/>
                  <w:vMerge w:val="continue"/>
                  <w:noWrap w:val="0"/>
                  <w:vAlign w:val="center"/>
                </w:tcPr>
                <w:p w14:paraId="242AAA75">
                  <w:pPr>
                    <w:pStyle w:val="26"/>
                    <w:rPr>
                      <w:rFonts w:hint="eastAsia" w:cs="Times New Roman"/>
                      <w:color w:val="000000" w:themeColor="text1"/>
                      <w:highlight w:val="none"/>
                      <w:lang w:val="en-US" w:eastAsia="zh-CN"/>
                      <w14:textFill>
                        <w14:solidFill>
                          <w14:schemeClr w14:val="tx1"/>
                        </w14:solidFill>
                      </w14:textFill>
                    </w:rPr>
                  </w:pPr>
                </w:p>
              </w:tc>
              <w:tc>
                <w:tcPr>
                  <w:tcW w:w="1370" w:type="pct"/>
                  <w:gridSpan w:val="2"/>
                  <w:noWrap w:val="0"/>
                  <w:vAlign w:val="center"/>
                </w:tcPr>
                <w:p w14:paraId="0E105087">
                  <w:pPr>
                    <w:pStyle w:val="26"/>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成品仓库</w:t>
                  </w:r>
                </w:p>
              </w:tc>
              <w:tc>
                <w:tcPr>
                  <w:tcW w:w="1576" w:type="pct"/>
                  <w:noWrap w:val="0"/>
                  <w:vAlign w:val="center"/>
                </w:tcPr>
                <w:p w14:paraId="46664F6C">
                  <w:pPr>
                    <w:pStyle w:val="26"/>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位于3#车间西侧，面积约50 m</w:t>
                  </w:r>
                  <w:r>
                    <w:rPr>
                      <w:rFonts w:hint="eastAsia" w:cs="Times New Roman"/>
                      <w:color w:val="000000" w:themeColor="text1"/>
                      <w:highlight w:val="none"/>
                      <w:vertAlign w:val="superscript"/>
                      <w:lang w:val="en-US" w:eastAsia="zh-CN"/>
                      <w14:textFill>
                        <w14:solidFill>
                          <w14:schemeClr w14:val="tx1"/>
                        </w14:solidFill>
                      </w14:textFill>
                    </w:rPr>
                    <w:t>2</w:t>
                  </w:r>
                </w:p>
              </w:tc>
              <w:tc>
                <w:tcPr>
                  <w:tcW w:w="1577" w:type="pct"/>
                  <w:noWrap w:val="0"/>
                  <w:vAlign w:val="center"/>
                </w:tcPr>
                <w:p w14:paraId="6A080D10">
                  <w:pPr>
                    <w:pStyle w:val="26"/>
                    <w:ind w:firstLine="0" w:firstLineChars="0"/>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位于3#车间西侧，面积约100 m</w:t>
                  </w:r>
                  <w:r>
                    <w:rPr>
                      <w:rFonts w:hint="eastAsia" w:cs="Times New Roman"/>
                      <w:color w:val="000000" w:themeColor="text1"/>
                      <w:highlight w:val="none"/>
                      <w:vertAlign w:val="superscript"/>
                      <w:lang w:val="en-US" w:eastAsia="zh-CN"/>
                      <w14:textFill>
                        <w14:solidFill>
                          <w14:schemeClr w14:val="tx1"/>
                        </w14:solidFill>
                      </w14:textFill>
                    </w:rPr>
                    <w:t>2</w:t>
                  </w:r>
                </w:p>
              </w:tc>
            </w:tr>
            <w:tr w14:paraId="1E5612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 w:type="pct"/>
                  <w:vMerge w:val="restart"/>
                  <w:noWrap w:val="0"/>
                  <w:vAlign w:val="center"/>
                </w:tcPr>
                <w:p w14:paraId="176A9637">
                  <w:pPr>
                    <w:pStyle w:val="26"/>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公用工程</w:t>
                  </w:r>
                </w:p>
              </w:tc>
              <w:tc>
                <w:tcPr>
                  <w:tcW w:w="1370" w:type="pct"/>
                  <w:gridSpan w:val="2"/>
                  <w:noWrap w:val="0"/>
                  <w:vAlign w:val="center"/>
                </w:tcPr>
                <w:p w14:paraId="2B328EA0">
                  <w:pPr>
                    <w:pStyle w:val="26"/>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给水系统</w:t>
                  </w:r>
                </w:p>
              </w:tc>
              <w:tc>
                <w:tcPr>
                  <w:tcW w:w="3153" w:type="pct"/>
                  <w:gridSpan w:val="2"/>
                  <w:noWrap w:val="0"/>
                  <w:vAlign w:val="center"/>
                </w:tcPr>
                <w:p w14:paraId="72F797A3">
                  <w:pPr>
                    <w:pStyle w:val="26"/>
                    <w:rPr>
                      <w:rFonts w:hint="default" w:cs="Times New Roman"/>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园区供水管网提供</w:t>
                  </w:r>
                </w:p>
              </w:tc>
            </w:tr>
            <w:tr w14:paraId="0D1E35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 w:type="pct"/>
                  <w:vMerge w:val="continue"/>
                  <w:noWrap w:val="0"/>
                  <w:vAlign w:val="center"/>
                </w:tcPr>
                <w:p w14:paraId="59BB4572">
                  <w:pPr>
                    <w:pStyle w:val="26"/>
                    <w:rPr>
                      <w:rFonts w:hint="eastAsia" w:cs="Times New Roman"/>
                      <w:color w:val="000000" w:themeColor="text1"/>
                      <w:highlight w:val="none"/>
                      <w:lang w:val="en-US" w:eastAsia="zh-CN"/>
                      <w14:textFill>
                        <w14:solidFill>
                          <w14:schemeClr w14:val="tx1"/>
                        </w14:solidFill>
                      </w14:textFill>
                    </w:rPr>
                  </w:pPr>
                </w:p>
              </w:tc>
              <w:tc>
                <w:tcPr>
                  <w:tcW w:w="1370" w:type="pct"/>
                  <w:gridSpan w:val="2"/>
                  <w:noWrap w:val="0"/>
                  <w:vAlign w:val="center"/>
                </w:tcPr>
                <w:p w14:paraId="2B74FA50">
                  <w:pPr>
                    <w:pStyle w:val="26"/>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供电系统</w:t>
                  </w:r>
                </w:p>
              </w:tc>
              <w:tc>
                <w:tcPr>
                  <w:tcW w:w="3153" w:type="pct"/>
                  <w:gridSpan w:val="2"/>
                  <w:noWrap w:val="0"/>
                  <w:vAlign w:val="center"/>
                </w:tcPr>
                <w:p w14:paraId="6F77B136">
                  <w:pPr>
                    <w:pStyle w:val="26"/>
                    <w:rPr>
                      <w:rFonts w:hint="default" w:cs="Times New Roman"/>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园区供电系统提供</w:t>
                  </w:r>
                </w:p>
              </w:tc>
            </w:tr>
            <w:tr w14:paraId="62452E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 w:type="pct"/>
                  <w:vMerge w:val="continue"/>
                  <w:noWrap w:val="0"/>
                  <w:vAlign w:val="center"/>
                </w:tcPr>
                <w:p w14:paraId="67B2480A">
                  <w:pPr>
                    <w:pStyle w:val="26"/>
                    <w:rPr>
                      <w:rFonts w:hint="eastAsia" w:cs="Times New Roman"/>
                      <w:color w:val="000000" w:themeColor="text1"/>
                      <w:highlight w:val="none"/>
                      <w:lang w:val="en-US" w:eastAsia="zh-CN"/>
                      <w14:textFill>
                        <w14:solidFill>
                          <w14:schemeClr w14:val="tx1"/>
                        </w14:solidFill>
                      </w14:textFill>
                    </w:rPr>
                  </w:pPr>
                </w:p>
              </w:tc>
              <w:tc>
                <w:tcPr>
                  <w:tcW w:w="1370" w:type="pct"/>
                  <w:gridSpan w:val="2"/>
                  <w:noWrap w:val="0"/>
                  <w:vAlign w:val="center"/>
                </w:tcPr>
                <w:p w14:paraId="52C9277A">
                  <w:pPr>
                    <w:pStyle w:val="26"/>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排水系统</w:t>
                  </w:r>
                </w:p>
              </w:tc>
              <w:tc>
                <w:tcPr>
                  <w:tcW w:w="3153" w:type="pct"/>
                  <w:gridSpan w:val="2"/>
                  <w:noWrap w:val="0"/>
                  <w:vAlign w:val="center"/>
                </w:tcPr>
                <w:p w14:paraId="65B5C5FA">
                  <w:pPr>
                    <w:pStyle w:val="26"/>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雨污分流制</w:t>
                  </w:r>
                </w:p>
              </w:tc>
            </w:tr>
            <w:tr w14:paraId="3BE088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 w:type="pct"/>
                  <w:vMerge w:val="continue"/>
                  <w:noWrap w:val="0"/>
                  <w:vAlign w:val="center"/>
                </w:tcPr>
                <w:p w14:paraId="5C2E6E67">
                  <w:pPr>
                    <w:pStyle w:val="26"/>
                    <w:rPr>
                      <w:rFonts w:hint="eastAsia" w:cs="Times New Roman"/>
                      <w:color w:val="000000" w:themeColor="text1"/>
                      <w:highlight w:val="none"/>
                      <w:lang w:val="en-US" w:eastAsia="zh-CN"/>
                      <w14:textFill>
                        <w14:solidFill>
                          <w14:schemeClr w14:val="tx1"/>
                        </w14:solidFill>
                      </w14:textFill>
                    </w:rPr>
                  </w:pPr>
                </w:p>
              </w:tc>
              <w:tc>
                <w:tcPr>
                  <w:tcW w:w="1370" w:type="pct"/>
                  <w:gridSpan w:val="2"/>
                  <w:vMerge w:val="restart"/>
                  <w:noWrap w:val="0"/>
                  <w:vAlign w:val="center"/>
                </w:tcPr>
                <w:p w14:paraId="44A64C3E">
                  <w:pPr>
                    <w:pStyle w:val="26"/>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空压系统</w:t>
                  </w:r>
                </w:p>
              </w:tc>
              <w:tc>
                <w:tcPr>
                  <w:tcW w:w="1576" w:type="pct"/>
                  <w:noWrap w:val="0"/>
                  <w:vAlign w:val="center"/>
                </w:tcPr>
                <w:p w14:paraId="407A0540">
                  <w:pPr>
                    <w:pStyle w:val="26"/>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制氮系统一套，Q=80Nm</w:t>
                  </w:r>
                  <w:r>
                    <w:rPr>
                      <w:rFonts w:hint="eastAsia"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lang w:val="en-US" w:eastAsia="zh-CN"/>
                      <w14:textFill>
                        <w14:solidFill>
                          <w14:schemeClr w14:val="tx1"/>
                        </w14:solidFill>
                      </w14:textFill>
                    </w:rPr>
                    <w:t>/h，纯度：≥99.999%，项目所需氮气可就近接入</w:t>
                  </w:r>
                </w:p>
              </w:tc>
              <w:tc>
                <w:tcPr>
                  <w:tcW w:w="1577" w:type="pct"/>
                  <w:noWrap w:val="0"/>
                  <w:vAlign w:val="center"/>
                </w:tcPr>
                <w:p w14:paraId="5940455D">
                  <w:pPr>
                    <w:pStyle w:val="26"/>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依托一期</w:t>
                  </w:r>
                </w:p>
              </w:tc>
            </w:tr>
            <w:tr w14:paraId="77664F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 w:type="pct"/>
                  <w:vMerge w:val="continue"/>
                  <w:noWrap w:val="0"/>
                  <w:vAlign w:val="center"/>
                </w:tcPr>
                <w:p w14:paraId="4E65A2DE">
                  <w:pPr>
                    <w:pStyle w:val="26"/>
                    <w:rPr>
                      <w:rFonts w:hint="eastAsia" w:cs="Times New Roman"/>
                      <w:color w:val="000000" w:themeColor="text1"/>
                      <w:highlight w:val="none"/>
                      <w:lang w:val="en-US" w:eastAsia="zh-CN"/>
                      <w14:textFill>
                        <w14:solidFill>
                          <w14:schemeClr w14:val="tx1"/>
                        </w14:solidFill>
                      </w14:textFill>
                    </w:rPr>
                  </w:pPr>
                </w:p>
              </w:tc>
              <w:tc>
                <w:tcPr>
                  <w:tcW w:w="1370" w:type="pct"/>
                  <w:gridSpan w:val="2"/>
                  <w:vMerge w:val="continue"/>
                  <w:noWrap w:val="0"/>
                  <w:vAlign w:val="center"/>
                </w:tcPr>
                <w:p w14:paraId="2F1A5051">
                  <w:pPr>
                    <w:pStyle w:val="26"/>
                    <w:rPr>
                      <w:rFonts w:hint="eastAsia" w:cs="Times New Roman"/>
                      <w:color w:val="000000" w:themeColor="text1"/>
                      <w:highlight w:val="none"/>
                      <w:lang w:val="en-US" w:eastAsia="zh-CN"/>
                      <w14:textFill>
                        <w14:solidFill>
                          <w14:schemeClr w14:val="tx1"/>
                        </w14:solidFill>
                      </w14:textFill>
                    </w:rPr>
                  </w:pPr>
                </w:p>
              </w:tc>
              <w:tc>
                <w:tcPr>
                  <w:tcW w:w="1576" w:type="pct"/>
                  <w:noWrap w:val="0"/>
                  <w:vAlign w:val="center"/>
                </w:tcPr>
                <w:p w14:paraId="6E8C62CD">
                  <w:pPr>
                    <w:pStyle w:val="26"/>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一期氩气外购，待二期建成后自制</w:t>
                  </w:r>
                </w:p>
              </w:tc>
              <w:tc>
                <w:tcPr>
                  <w:tcW w:w="1577" w:type="pct"/>
                  <w:noWrap w:val="0"/>
                  <w:vAlign w:val="center"/>
                </w:tcPr>
                <w:p w14:paraId="38A3EE56">
                  <w:pPr>
                    <w:pStyle w:val="26"/>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制氩系统1套，</w:t>
                  </w:r>
                  <w:r>
                    <w:rPr>
                      <w:rFonts w:hint="default" w:ascii="Times New Roman" w:hAnsi="Times New Roman" w:eastAsia="宋体" w:cs="Times New Roman"/>
                      <w:color w:val="000000" w:themeColor="text1"/>
                      <w:highlight w:val="none"/>
                      <w:lang w:val="en-US" w:eastAsia="zh-CN"/>
                      <w14:textFill>
                        <w14:solidFill>
                          <w14:schemeClr w14:val="tx1"/>
                        </w14:solidFill>
                      </w14:textFill>
                    </w:rPr>
                    <w:t>Q=</w:t>
                  </w:r>
                  <w:r>
                    <w:rPr>
                      <w:rFonts w:hint="eastAsia" w:ascii="Times New Roman" w:hAnsi="Times New Roman" w:eastAsia="宋体" w:cs="Times New Roman"/>
                      <w:color w:val="000000" w:themeColor="text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highlight w:val="none"/>
                      <w:lang w:val="en-US" w:eastAsia="zh-CN"/>
                      <w14:textFill>
                        <w14:solidFill>
                          <w14:schemeClr w14:val="tx1"/>
                        </w14:solidFill>
                      </w14:textFill>
                    </w:rPr>
                    <w:t>Nm</w:t>
                  </w:r>
                  <w:r>
                    <w:rPr>
                      <w:rFonts w:hint="eastAsia"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lang w:val="en-US" w:eastAsia="zh-CN"/>
                      <w14:textFill>
                        <w14:solidFill>
                          <w14:schemeClr w14:val="tx1"/>
                        </w14:solidFill>
                      </w14:textFill>
                    </w:rPr>
                    <w:t>/h，纯度：≥99.999%，项目所需</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氩气</w:t>
                  </w:r>
                  <w:r>
                    <w:rPr>
                      <w:rFonts w:hint="default" w:ascii="Times New Roman" w:hAnsi="Times New Roman" w:eastAsia="宋体" w:cs="Times New Roman"/>
                      <w:color w:val="000000" w:themeColor="text1"/>
                      <w:highlight w:val="none"/>
                      <w:lang w:val="en-US" w:eastAsia="zh-CN"/>
                      <w14:textFill>
                        <w14:solidFill>
                          <w14:schemeClr w14:val="tx1"/>
                        </w14:solidFill>
                      </w14:textFill>
                    </w:rPr>
                    <w:t>可就近接入</w:t>
                  </w:r>
                </w:p>
              </w:tc>
            </w:tr>
            <w:tr w14:paraId="00B976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 w:type="pct"/>
                  <w:vMerge w:val="restart"/>
                  <w:noWrap w:val="0"/>
                  <w:vAlign w:val="center"/>
                </w:tcPr>
                <w:p w14:paraId="5DF67430">
                  <w:pPr>
                    <w:pStyle w:val="26"/>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环保工程</w:t>
                  </w:r>
                </w:p>
              </w:tc>
              <w:tc>
                <w:tcPr>
                  <w:tcW w:w="1370" w:type="pct"/>
                  <w:gridSpan w:val="2"/>
                  <w:noWrap w:val="0"/>
                  <w:vAlign w:val="center"/>
                </w:tcPr>
                <w:p w14:paraId="11828A09">
                  <w:pPr>
                    <w:pStyle w:val="26"/>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废水处理设施</w:t>
                  </w:r>
                </w:p>
              </w:tc>
              <w:tc>
                <w:tcPr>
                  <w:tcW w:w="3153" w:type="pct"/>
                  <w:gridSpan w:val="2"/>
                  <w:noWrap w:val="0"/>
                  <w:vAlign w:val="center"/>
                </w:tcPr>
                <w:p w14:paraId="0049935C">
                  <w:pPr>
                    <w:pStyle w:val="26"/>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冷却水循环使用，不外排；生活污水依托出租方化粪池预处理后排入园区污水管网，最终进入</w:t>
                  </w:r>
                  <w:r>
                    <w:rPr>
                      <w:rFonts w:hint="eastAsia"/>
                      <w:color w:val="000000" w:themeColor="text1"/>
                      <w:highlight w:val="none"/>
                      <w:lang w:val="en-US" w:eastAsia="zh-CN"/>
                      <w14:textFill>
                        <w14:solidFill>
                          <w14:schemeClr w14:val="tx1"/>
                        </w14:solidFill>
                      </w14:textFill>
                    </w:rPr>
                    <w:t>永安市贡川产业园水东工业集中区污水处理厂深度处理</w:t>
                  </w:r>
                </w:p>
              </w:tc>
            </w:tr>
            <w:tr w14:paraId="478D7F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 w:type="pct"/>
                  <w:vMerge w:val="continue"/>
                  <w:noWrap w:val="0"/>
                  <w:vAlign w:val="center"/>
                </w:tcPr>
                <w:p w14:paraId="65F7D409">
                  <w:pPr>
                    <w:pStyle w:val="26"/>
                    <w:rPr>
                      <w:rFonts w:hint="default" w:ascii="Times New Roman" w:hAnsi="Times New Roman" w:cs="Times New Roman"/>
                      <w:color w:val="000000" w:themeColor="text1"/>
                      <w:highlight w:val="none"/>
                      <w:lang w:val="en-US" w:eastAsia="zh-CN"/>
                      <w14:textFill>
                        <w14:solidFill>
                          <w14:schemeClr w14:val="tx1"/>
                        </w14:solidFill>
                      </w14:textFill>
                    </w:rPr>
                  </w:pPr>
                </w:p>
              </w:tc>
              <w:tc>
                <w:tcPr>
                  <w:tcW w:w="1370" w:type="pct"/>
                  <w:gridSpan w:val="2"/>
                  <w:noWrap w:val="0"/>
                  <w:vAlign w:val="center"/>
                </w:tcPr>
                <w:p w14:paraId="74C011F7">
                  <w:pPr>
                    <w:pStyle w:val="26"/>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废气处理设施</w:t>
                  </w:r>
                </w:p>
              </w:tc>
              <w:tc>
                <w:tcPr>
                  <w:tcW w:w="1576" w:type="pct"/>
                  <w:noWrap w:val="0"/>
                  <w:vAlign w:val="center"/>
                </w:tcPr>
                <w:p w14:paraId="71504145">
                  <w:pPr>
                    <w:pStyle w:val="26"/>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共用1套废气处理设施，采用“布袋除尘+两级活性炭吸附装置+15 m高排气筒”</w:t>
                  </w:r>
                </w:p>
              </w:tc>
              <w:tc>
                <w:tcPr>
                  <w:tcW w:w="1577" w:type="pct"/>
                  <w:noWrap w:val="0"/>
                  <w:vAlign w:val="center"/>
                </w:tcPr>
                <w:p w14:paraId="0FFD3E24">
                  <w:pPr>
                    <w:pStyle w:val="26"/>
                    <w:bidi w:val="0"/>
                    <w:rPr>
                      <w:rFonts w:hint="default"/>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拆除一期废气处理设施，全厂废气共用1套，采用“布袋除尘+RCO催化燃烧+15 m高排气筒”</w:t>
                  </w:r>
                </w:p>
              </w:tc>
            </w:tr>
            <w:tr w14:paraId="5B1594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 w:type="pct"/>
                  <w:vMerge w:val="continue"/>
                  <w:noWrap w:val="0"/>
                  <w:vAlign w:val="center"/>
                </w:tcPr>
                <w:p w14:paraId="3E148D7C">
                  <w:pPr>
                    <w:pStyle w:val="26"/>
                    <w:rPr>
                      <w:rFonts w:hint="default" w:ascii="Times New Roman" w:hAnsi="Times New Roman" w:cs="Times New Roman"/>
                      <w:color w:val="000000" w:themeColor="text1"/>
                      <w:highlight w:val="none"/>
                      <w:lang w:val="en-US" w:eastAsia="zh-CN"/>
                      <w14:textFill>
                        <w14:solidFill>
                          <w14:schemeClr w14:val="tx1"/>
                        </w14:solidFill>
                      </w14:textFill>
                    </w:rPr>
                  </w:pPr>
                </w:p>
              </w:tc>
              <w:tc>
                <w:tcPr>
                  <w:tcW w:w="1370" w:type="pct"/>
                  <w:gridSpan w:val="2"/>
                  <w:noWrap w:val="0"/>
                  <w:vAlign w:val="center"/>
                </w:tcPr>
                <w:p w14:paraId="2948DE4B">
                  <w:pPr>
                    <w:pStyle w:val="26"/>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噪声污染防治措施</w:t>
                  </w:r>
                </w:p>
              </w:tc>
              <w:tc>
                <w:tcPr>
                  <w:tcW w:w="3153" w:type="pct"/>
                  <w:gridSpan w:val="2"/>
                  <w:noWrap w:val="0"/>
                  <w:vAlign w:val="center"/>
                </w:tcPr>
                <w:p w14:paraId="65C517A0">
                  <w:pPr>
                    <w:pStyle w:val="26"/>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选用低噪声设备，设置基础减振、厂房隔声等综合降噪措施</w:t>
                  </w:r>
                </w:p>
              </w:tc>
            </w:tr>
            <w:tr w14:paraId="5DE1BA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 w:type="pct"/>
                  <w:vMerge w:val="continue"/>
                  <w:noWrap w:val="0"/>
                  <w:vAlign w:val="center"/>
                </w:tcPr>
                <w:p w14:paraId="214AA201">
                  <w:pPr>
                    <w:pStyle w:val="26"/>
                    <w:rPr>
                      <w:rFonts w:hint="default" w:ascii="Times New Roman" w:hAnsi="Times New Roman" w:cs="Times New Roman"/>
                      <w:color w:val="000000" w:themeColor="text1"/>
                      <w:highlight w:val="none"/>
                      <w:lang w:val="en-US" w:eastAsia="zh-CN"/>
                      <w14:textFill>
                        <w14:solidFill>
                          <w14:schemeClr w14:val="tx1"/>
                        </w14:solidFill>
                      </w14:textFill>
                    </w:rPr>
                  </w:pPr>
                </w:p>
              </w:tc>
              <w:tc>
                <w:tcPr>
                  <w:tcW w:w="602" w:type="pct"/>
                  <w:vMerge w:val="restart"/>
                  <w:noWrap w:val="0"/>
                  <w:vAlign w:val="center"/>
                </w:tcPr>
                <w:p w14:paraId="536A0D19">
                  <w:pPr>
                    <w:pStyle w:val="26"/>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固体废物贮存设施</w:t>
                  </w:r>
                </w:p>
              </w:tc>
              <w:tc>
                <w:tcPr>
                  <w:tcW w:w="768" w:type="pct"/>
                  <w:noWrap w:val="0"/>
                  <w:vAlign w:val="center"/>
                </w:tcPr>
                <w:p w14:paraId="40B5A6DB">
                  <w:pPr>
                    <w:pStyle w:val="26"/>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一般工业固体废物</w:t>
                  </w:r>
                </w:p>
              </w:tc>
              <w:tc>
                <w:tcPr>
                  <w:tcW w:w="3153" w:type="pct"/>
                  <w:gridSpan w:val="2"/>
                  <w:noWrap w:val="0"/>
                  <w:vAlign w:val="center"/>
                </w:tcPr>
                <w:p w14:paraId="203D10E0">
                  <w:pPr>
                    <w:pStyle w:val="26"/>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3#车间</w:t>
                  </w:r>
                  <w:r>
                    <w:rPr>
                      <w:rFonts w:hint="default" w:cs="Times New Roman"/>
                      <w:color w:val="000000" w:themeColor="text1"/>
                      <w:highlight w:val="none"/>
                      <w:lang w:val="en-US" w:eastAsia="zh-CN"/>
                      <w14:textFill>
                        <w14:solidFill>
                          <w14:schemeClr w14:val="tx1"/>
                        </w14:solidFill>
                      </w14:textFill>
                    </w:rPr>
                    <w:t>南侧设置1</w:t>
                  </w:r>
                  <w:r>
                    <w:rPr>
                      <w:rFonts w:hint="eastAsia" w:cs="Times New Roman"/>
                      <w:color w:val="000000" w:themeColor="text1"/>
                      <w:highlight w:val="none"/>
                      <w:lang w:val="en-US" w:eastAsia="zh-CN"/>
                      <w14:textFill>
                        <w14:solidFill>
                          <w14:schemeClr w14:val="tx1"/>
                        </w14:solidFill>
                      </w14:textFill>
                    </w:rPr>
                    <w:t>间</w:t>
                  </w:r>
                  <w:r>
                    <w:rPr>
                      <w:rFonts w:hint="default" w:cs="Times New Roman"/>
                      <w:color w:val="000000" w:themeColor="text1"/>
                      <w:highlight w:val="none"/>
                      <w:lang w:val="en-US" w:eastAsia="zh-CN"/>
                      <w14:textFill>
                        <w14:solidFill>
                          <w14:schemeClr w14:val="tx1"/>
                        </w14:solidFill>
                      </w14:textFill>
                    </w:rPr>
                    <w:t>一般</w:t>
                  </w:r>
                  <w:r>
                    <w:rPr>
                      <w:rFonts w:hint="eastAsia" w:cs="Times New Roman"/>
                      <w:color w:val="000000" w:themeColor="text1"/>
                      <w:highlight w:val="none"/>
                      <w:lang w:val="en-US" w:eastAsia="zh-CN"/>
                      <w14:textFill>
                        <w14:solidFill>
                          <w14:schemeClr w14:val="tx1"/>
                        </w14:solidFill>
                      </w14:textFill>
                    </w:rPr>
                    <w:t>工业固体</w:t>
                  </w:r>
                  <w:r>
                    <w:rPr>
                      <w:rFonts w:hint="default" w:cs="Times New Roman"/>
                      <w:color w:val="000000" w:themeColor="text1"/>
                      <w:highlight w:val="none"/>
                      <w:lang w:val="en-US" w:eastAsia="zh-CN"/>
                      <w14:textFill>
                        <w14:solidFill>
                          <w14:schemeClr w14:val="tx1"/>
                        </w14:solidFill>
                      </w14:textFill>
                    </w:rPr>
                    <w:t>废物</w:t>
                  </w:r>
                  <w:r>
                    <w:rPr>
                      <w:rFonts w:hint="eastAsia" w:cs="Times New Roman"/>
                      <w:color w:val="000000" w:themeColor="text1"/>
                      <w:highlight w:val="none"/>
                      <w:lang w:val="en-US" w:eastAsia="zh-CN"/>
                      <w14:textFill>
                        <w14:solidFill>
                          <w14:schemeClr w14:val="tx1"/>
                        </w14:solidFill>
                      </w14:textFill>
                    </w:rPr>
                    <w:t>贮存间，面积</w:t>
                  </w:r>
                  <w:r>
                    <w:rPr>
                      <w:rFonts w:hint="default" w:cs="Times New Roman"/>
                      <w:color w:val="000000" w:themeColor="text1"/>
                      <w:highlight w:val="none"/>
                      <w:lang w:val="en-US" w:eastAsia="zh-CN"/>
                      <w14:textFill>
                        <w14:solidFill>
                          <w14:schemeClr w14:val="tx1"/>
                        </w14:solidFill>
                      </w14:textFill>
                    </w:rPr>
                    <w:t>约</w:t>
                  </w:r>
                  <w:r>
                    <w:rPr>
                      <w:rFonts w:hint="eastAsia" w:cs="Times New Roman"/>
                      <w:color w:val="000000" w:themeColor="text1"/>
                      <w:highlight w:val="none"/>
                      <w:lang w:val="en-US" w:eastAsia="zh-CN"/>
                      <w14:textFill>
                        <w14:solidFill>
                          <w14:schemeClr w14:val="tx1"/>
                        </w14:solidFill>
                      </w14:textFill>
                    </w:rPr>
                    <w:t xml:space="preserve">40 </w:t>
                  </w:r>
                  <w:r>
                    <w:rPr>
                      <w:rFonts w:hint="default" w:cs="Times New Roman"/>
                      <w:color w:val="000000" w:themeColor="text1"/>
                      <w:highlight w:val="none"/>
                      <w:lang w:val="en-US" w:eastAsia="zh-CN"/>
                      <w14:textFill>
                        <w14:solidFill>
                          <w14:schemeClr w14:val="tx1"/>
                        </w14:solidFill>
                      </w14:textFill>
                    </w:rPr>
                    <w:t>m</w:t>
                  </w:r>
                  <w:r>
                    <w:rPr>
                      <w:rFonts w:hint="default" w:cs="Times New Roman"/>
                      <w:color w:val="000000" w:themeColor="text1"/>
                      <w:highlight w:val="none"/>
                      <w:vertAlign w:val="superscript"/>
                      <w:lang w:val="en-US" w:eastAsia="zh-CN"/>
                      <w14:textFill>
                        <w14:solidFill>
                          <w14:schemeClr w14:val="tx1"/>
                        </w14:solidFill>
                      </w14:textFill>
                    </w:rPr>
                    <w:t>2</w:t>
                  </w:r>
                </w:p>
              </w:tc>
            </w:tr>
            <w:tr w14:paraId="26B0C7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 w:type="pct"/>
                  <w:vMerge w:val="continue"/>
                  <w:noWrap w:val="0"/>
                  <w:vAlign w:val="center"/>
                </w:tcPr>
                <w:p w14:paraId="18491927">
                  <w:pPr>
                    <w:pStyle w:val="26"/>
                    <w:rPr>
                      <w:rFonts w:hint="default" w:ascii="Times New Roman" w:hAnsi="Times New Roman" w:cs="Times New Roman"/>
                      <w:color w:val="000000" w:themeColor="text1"/>
                      <w:highlight w:val="none"/>
                      <w:lang w:val="en-US" w:eastAsia="zh-CN"/>
                      <w14:textFill>
                        <w14:solidFill>
                          <w14:schemeClr w14:val="tx1"/>
                        </w14:solidFill>
                      </w14:textFill>
                    </w:rPr>
                  </w:pPr>
                  <w:bookmarkStart w:id="83" w:name="_Toc32239"/>
                </w:p>
              </w:tc>
              <w:tc>
                <w:tcPr>
                  <w:tcW w:w="602" w:type="pct"/>
                  <w:vMerge w:val="continue"/>
                  <w:noWrap w:val="0"/>
                  <w:vAlign w:val="center"/>
                </w:tcPr>
                <w:p w14:paraId="152DDB2F">
                  <w:pPr>
                    <w:pStyle w:val="26"/>
                    <w:rPr>
                      <w:rFonts w:hint="eastAsia" w:cs="Times New Roman"/>
                      <w:color w:val="000000" w:themeColor="text1"/>
                      <w:highlight w:val="none"/>
                      <w:lang w:val="en-US" w:eastAsia="zh-CN"/>
                      <w14:textFill>
                        <w14:solidFill>
                          <w14:schemeClr w14:val="tx1"/>
                        </w14:solidFill>
                      </w14:textFill>
                    </w:rPr>
                  </w:pPr>
                </w:p>
              </w:tc>
              <w:tc>
                <w:tcPr>
                  <w:tcW w:w="768" w:type="pct"/>
                  <w:noWrap w:val="0"/>
                  <w:vAlign w:val="center"/>
                </w:tcPr>
                <w:p w14:paraId="5B260428">
                  <w:pPr>
                    <w:pStyle w:val="26"/>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危险废物</w:t>
                  </w:r>
                </w:p>
              </w:tc>
              <w:tc>
                <w:tcPr>
                  <w:tcW w:w="3153" w:type="pct"/>
                  <w:gridSpan w:val="2"/>
                  <w:noWrap w:val="0"/>
                  <w:vAlign w:val="center"/>
                </w:tcPr>
                <w:p w14:paraId="334B512A">
                  <w:pPr>
                    <w:pStyle w:val="26"/>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3#车间</w:t>
                  </w:r>
                  <w:r>
                    <w:rPr>
                      <w:rFonts w:hint="default" w:cs="Times New Roman"/>
                      <w:color w:val="000000" w:themeColor="text1"/>
                      <w:highlight w:val="none"/>
                      <w:lang w:val="en-US" w:eastAsia="zh-CN"/>
                      <w14:textFill>
                        <w14:solidFill>
                          <w14:schemeClr w14:val="tx1"/>
                        </w14:solidFill>
                      </w14:textFill>
                    </w:rPr>
                    <w:t>南侧设置1</w:t>
                  </w:r>
                  <w:r>
                    <w:rPr>
                      <w:rFonts w:hint="eastAsia" w:cs="Times New Roman"/>
                      <w:color w:val="000000" w:themeColor="text1"/>
                      <w:highlight w:val="none"/>
                      <w:lang w:val="en-US" w:eastAsia="zh-CN"/>
                      <w14:textFill>
                        <w14:solidFill>
                          <w14:schemeClr w14:val="tx1"/>
                        </w14:solidFill>
                      </w14:textFill>
                    </w:rPr>
                    <w:t>间危险</w:t>
                  </w:r>
                  <w:r>
                    <w:rPr>
                      <w:rFonts w:hint="default" w:cs="Times New Roman"/>
                      <w:color w:val="000000" w:themeColor="text1"/>
                      <w:highlight w:val="none"/>
                      <w:lang w:val="en-US" w:eastAsia="zh-CN"/>
                      <w14:textFill>
                        <w14:solidFill>
                          <w14:schemeClr w14:val="tx1"/>
                        </w14:solidFill>
                      </w14:textFill>
                    </w:rPr>
                    <w:t>废物</w:t>
                  </w:r>
                  <w:r>
                    <w:rPr>
                      <w:rFonts w:hint="eastAsia" w:cs="Times New Roman"/>
                      <w:color w:val="000000" w:themeColor="text1"/>
                      <w:highlight w:val="none"/>
                      <w:lang w:val="en-US" w:eastAsia="zh-CN"/>
                      <w14:textFill>
                        <w14:solidFill>
                          <w14:schemeClr w14:val="tx1"/>
                        </w14:solidFill>
                      </w14:textFill>
                    </w:rPr>
                    <w:t>贮存间，面积</w:t>
                  </w:r>
                  <w:r>
                    <w:rPr>
                      <w:rFonts w:hint="default" w:cs="Times New Roman"/>
                      <w:color w:val="000000" w:themeColor="text1"/>
                      <w:highlight w:val="none"/>
                      <w:lang w:val="en-US" w:eastAsia="zh-CN"/>
                      <w14:textFill>
                        <w14:solidFill>
                          <w14:schemeClr w14:val="tx1"/>
                        </w14:solidFill>
                      </w14:textFill>
                    </w:rPr>
                    <w:t>约</w:t>
                  </w:r>
                  <w:r>
                    <w:rPr>
                      <w:rFonts w:hint="eastAsia" w:cs="Times New Roman"/>
                      <w:color w:val="000000" w:themeColor="text1"/>
                      <w:highlight w:val="none"/>
                      <w:lang w:val="en-US" w:eastAsia="zh-CN"/>
                      <w14:textFill>
                        <w14:solidFill>
                          <w14:schemeClr w14:val="tx1"/>
                        </w14:solidFill>
                      </w14:textFill>
                    </w:rPr>
                    <w:t xml:space="preserve">30 </w:t>
                  </w:r>
                  <w:r>
                    <w:rPr>
                      <w:rFonts w:hint="default" w:cs="Times New Roman"/>
                      <w:color w:val="000000" w:themeColor="text1"/>
                      <w:highlight w:val="none"/>
                      <w:lang w:val="en-US" w:eastAsia="zh-CN"/>
                      <w14:textFill>
                        <w14:solidFill>
                          <w14:schemeClr w14:val="tx1"/>
                        </w14:solidFill>
                      </w14:textFill>
                    </w:rPr>
                    <w:t>m</w:t>
                  </w:r>
                  <w:r>
                    <w:rPr>
                      <w:rFonts w:hint="default" w:cs="Times New Roman"/>
                      <w:color w:val="000000" w:themeColor="text1"/>
                      <w:highlight w:val="none"/>
                      <w:vertAlign w:val="superscript"/>
                      <w:lang w:val="en-US" w:eastAsia="zh-CN"/>
                      <w14:textFill>
                        <w14:solidFill>
                          <w14:schemeClr w14:val="tx1"/>
                        </w14:solidFill>
                      </w14:textFill>
                    </w:rPr>
                    <w:t>2</w:t>
                  </w:r>
                </w:p>
              </w:tc>
            </w:tr>
            <w:tr w14:paraId="3BDBA8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 w:type="pct"/>
                  <w:vMerge w:val="continue"/>
                  <w:noWrap w:val="0"/>
                  <w:vAlign w:val="center"/>
                </w:tcPr>
                <w:p w14:paraId="4AD6EE6B">
                  <w:pPr>
                    <w:pStyle w:val="26"/>
                    <w:rPr>
                      <w:rFonts w:hint="default" w:ascii="Times New Roman" w:hAnsi="Times New Roman" w:cs="Times New Roman"/>
                      <w:color w:val="000000" w:themeColor="text1"/>
                      <w:highlight w:val="none"/>
                      <w:lang w:val="en-US" w:eastAsia="zh-CN"/>
                      <w14:textFill>
                        <w14:solidFill>
                          <w14:schemeClr w14:val="tx1"/>
                        </w14:solidFill>
                      </w14:textFill>
                    </w:rPr>
                  </w:pPr>
                </w:p>
              </w:tc>
              <w:tc>
                <w:tcPr>
                  <w:tcW w:w="602" w:type="pct"/>
                  <w:vMerge w:val="continue"/>
                  <w:noWrap w:val="0"/>
                  <w:vAlign w:val="center"/>
                </w:tcPr>
                <w:p w14:paraId="14ECF7A7">
                  <w:pPr>
                    <w:pStyle w:val="26"/>
                    <w:rPr>
                      <w:rFonts w:hint="eastAsia" w:cs="Times New Roman"/>
                      <w:color w:val="000000" w:themeColor="text1"/>
                      <w:highlight w:val="none"/>
                      <w:lang w:val="en-US" w:eastAsia="zh-CN"/>
                      <w14:textFill>
                        <w14:solidFill>
                          <w14:schemeClr w14:val="tx1"/>
                        </w14:solidFill>
                      </w14:textFill>
                    </w:rPr>
                  </w:pPr>
                </w:p>
              </w:tc>
              <w:tc>
                <w:tcPr>
                  <w:tcW w:w="768" w:type="pct"/>
                  <w:noWrap w:val="0"/>
                  <w:vAlign w:val="center"/>
                </w:tcPr>
                <w:p w14:paraId="5CA33AD8">
                  <w:pPr>
                    <w:pStyle w:val="26"/>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生活垃圾</w:t>
                  </w:r>
                </w:p>
              </w:tc>
              <w:tc>
                <w:tcPr>
                  <w:tcW w:w="3153" w:type="pct"/>
                  <w:gridSpan w:val="2"/>
                  <w:noWrap w:val="0"/>
                  <w:vAlign w:val="center"/>
                </w:tcPr>
                <w:p w14:paraId="16AB3C00">
                  <w:pPr>
                    <w:pStyle w:val="26"/>
                    <w:rPr>
                      <w:rFonts w:hint="default" w:cs="Times New Roman"/>
                      <w:color w:val="000000" w:themeColor="text1"/>
                      <w:highlight w:val="none"/>
                      <w:lang w:val="en-US" w:eastAsia="zh-CN"/>
                      <w14:textFill>
                        <w14:solidFill>
                          <w14:schemeClr w14:val="tx1"/>
                        </w14:solidFill>
                      </w14:textFill>
                    </w:rPr>
                  </w:pPr>
                  <w:r>
                    <w:rPr>
                      <w:rFonts w:hint="default" w:cs="Times New Roman"/>
                      <w:color w:val="000000" w:themeColor="text1"/>
                      <w:highlight w:val="none"/>
                      <w:lang w:val="en-US" w:eastAsia="zh-CN"/>
                      <w14:textFill>
                        <w14:solidFill>
                          <w14:schemeClr w14:val="tx1"/>
                        </w14:solidFill>
                      </w14:textFill>
                    </w:rPr>
                    <w:t>厂区内设置生活垃圾收集桶，由环卫部门清运处置</w:t>
                  </w:r>
                </w:p>
              </w:tc>
            </w:tr>
            <w:tr w14:paraId="2B17FE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475" w:type="pct"/>
                  <w:vMerge w:val="restart"/>
                  <w:noWrap w:val="0"/>
                  <w:vAlign w:val="center"/>
                </w:tcPr>
                <w:p w14:paraId="1022275E">
                  <w:pPr>
                    <w:pStyle w:val="26"/>
                    <w:rPr>
                      <w:rFonts w:hint="default" w:ascii="Times New Roman" w:hAnsi="Times New Roman" w:cs="Times New Roman"/>
                      <w:color w:val="000000" w:themeColor="text1"/>
                      <w:highlight w:val="none"/>
                      <w:lang w:val="en-US" w:eastAsia="zh-CN"/>
                      <w14:textFill>
                        <w14:solidFill>
                          <w14:schemeClr w14:val="tx1"/>
                        </w14:solidFill>
                      </w14:textFill>
                    </w:rPr>
                  </w:pPr>
                  <w:bookmarkStart w:id="84" w:name="_Toc15258"/>
                  <w:r>
                    <w:rPr>
                      <w:rFonts w:hint="eastAsia" w:cs="Times New Roman"/>
                      <w:color w:val="000000" w:themeColor="text1"/>
                      <w:highlight w:val="none"/>
                      <w:lang w:val="en-US" w:eastAsia="zh-CN"/>
                      <w14:textFill>
                        <w14:solidFill>
                          <w14:schemeClr w14:val="tx1"/>
                        </w14:solidFill>
                      </w14:textFill>
                    </w:rPr>
                    <w:t>依托工程</w:t>
                  </w:r>
                </w:p>
              </w:tc>
              <w:tc>
                <w:tcPr>
                  <w:tcW w:w="1370" w:type="pct"/>
                  <w:gridSpan w:val="2"/>
                  <w:noWrap w:val="0"/>
                  <w:vAlign w:val="center"/>
                </w:tcPr>
                <w:p w14:paraId="327AB285">
                  <w:pPr>
                    <w:pStyle w:val="26"/>
                    <w:ind w:firstLine="0" w:firstLineChars="0"/>
                    <w:rPr>
                      <w:rFonts w:hint="eastAsia"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t>食堂</w:t>
                  </w:r>
                </w:p>
              </w:tc>
              <w:tc>
                <w:tcPr>
                  <w:tcW w:w="3153" w:type="pct"/>
                  <w:gridSpan w:val="2"/>
                  <w:shd w:val="clear" w:color="auto" w:fill="auto"/>
                  <w:noWrap w:val="0"/>
                  <w:vAlign w:val="center"/>
                </w:tcPr>
                <w:p w14:paraId="700745C0">
                  <w:pPr>
                    <w:pStyle w:val="26"/>
                    <w:ind w:firstLine="0" w:firstLineChars="0"/>
                    <w:rPr>
                      <w:rFonts w:hint="default" w:ascii="Times New Roman" w:hAnsi="Times New Roman" w:eastAsia="宋体" w:cs="Times New Roman"/>
                      <w:color w:val="000000" w:themeColor="text1"/>
                      <w:sz w:val="21"/>
                      <w:szCs w:val="22"/>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依托出租方食堂</w:t>
                  </w:r>
                </w:p>
              </w:tc>
            </w:tr>
            <w:tr w14:paraId="1305AE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 w:type="pct"/>
                  <w:vMerge w:val="continue"/>
                  <w:noWrap w:val="0"/>
                  <w:vAlign w:val="center"/>
                </w:tcPr>
                <w:p w14:paraId="67FFB126">
                  <w:pPr>
                    <w:pStyle w:val="26"/>
                    <w:rPr>
                      <w:rFonts w:hint="eastAsia" w:cs="Times New Roman"/>
                      <w:color w:val="000000" w:themeColor="text1"/>
                      <w:highlight w:val="none"/>
                      <w:lang w:val="en-US" w:eastAsia="zh-CN"/>
                      <w14:textFill>
                        <w14:solidFill>
                          <w14:schemeClr w14:val="tx1"/>
                        </w14:solidFill>
                      </w14:textFill>
                    </w:rPr>
                  </w:pPr>
                </w:p>
              </w:tc>
              <w:tc>
                <w:tcPr>
                  <w:tcW w:w="1370" w:type="pct"/>
                  <w:gridSpan w:val="2"/>
                  <w:shd w:val="clear" w:color="auto" w:fill="auto"/>
                  <w:noWrap w:val="0"/>
                  <w:vAlign w:val="center"/>
                </w:tcPr>
                <w:p w14:paraId="3F222D4C">
                  <w:pPr>
                    <w:pStyle w:val="26"/>
                    <w:ind w:firstLine="0" w:firstLineChars="0"/>
                    <w:rPr>
                      <w:rFonts w:hint="eastAsia" w:ascii="Times New Roman" w:hAnsi="Times New Roman" w:eastAsia="宋体" w:cs="Times New Roman"/>
                      <w:color w:val="000000" w:themeColor="text1"/>
                      <w:sz w:val="21"/>
                      <w:szCs w:val="22"/>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排水系统</w:t>
                  </w:r>
                </w:p>
              </w:tc>
              <w:tc>
                <w:tcPr>
                  <w:tcW w:w="3153" w:type="pct"/>
                  <w:gridSpan w:val="2"/>
                  <w:shd w:val="clear" w:color="auto" w:fill="auto"/>
                  <w:noWrap w:val="0"/>
                  <w:vAlign w:val="center"/>
                </w:tcPr>
                <w:p w14:paraId="61E04A1A">
                  <w:pPr>
                    <w:pStyle w:val="26"/>
                    <w:ind w:firstLine="0" w:firstLineChars="0"/>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依托出租方已建设的雨污管网，采取雨污分流制</w:t>
                  </w:r>
                </w:p>
              </w:tc>
            </w:tr>
            <w:tr w14:paraId="191A00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 w:type="pct"/>
                  <w:vMerge w:val="continue"/>
                  <w:noWrap w:val="0"/>
                  <w:vAlign w:val="center"/>
                </w:tcPr>
                <w:p w14:paraId="4EE94E78">
                  <w:pPr>
                    <w:pStyle w:val="26"/>
                    <w:rPr>
                      <w:rFonts w:hint="eastAsia" w:cs="Times New Roman"/>
                      <w:color w:val="000000" w:themeColor="text1"/>
                      <w:highlight w:val="none"/>
                      <w:lang w:val="en-US" w:eastAsia="zh-CN"/>
                      <w14:textFill>
                        <w14:solidFill>
                          <w14:schemeClr w14:val="tx1"/>
                        </w14:solidFill>
                      </w14:textFill>
                    </w:rPr>
                  </w:pPr>
                </w:p>
              </w:tc>
              <w:tc>
                <w:tcPr>
                  <w:tcW w:w="1370" w:type="pct"/>
                  <w:gridSpan w:val="2"/>
                  <w:shd w:val="clear" w:color="auto" w:fill="auto"/>
                  <w:noWrap w:val="0"/>
                  <w:vAlign w:val="center"/>
                </w:tcPr>
                <w:p w14:paraId="430269A1">
                  <w:pPr>
                    <w:pStyle w:val="26"/>
                    <w:ind w:firstLine="0" w:firstLineChars="0"/>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废水处理设施</w:t>
                  </w:r>
                </w:p>
              </w:tc>
              <w:tc>
                <w:tcPr>
                  <w:tcW w:w="3153" w:type="pct"/>
                  <w:gridSpan w:val="2"/>
                  <w:shd w:val="clear" w:color="auto" w:fill="auto"/>
                  <w:noWrap w:val="0"/>
                  <w:vAlign w:val="center"/>
                </w:tcPr>
                <w:p w14:paraId="0AA2294C">
                  <w:pPr>
                    <w:pStyle w:val="26"/>
                    <w:ind w:firstLine="0" w:firstLineChars="0"/>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生活污水依托出租方化粪池预处理后排入园区污水管网</w:t>
                  </w:r>
                </w:p>
              </w:tc>
            </w:tr>
            <w:tr w14:paraId="660A06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 w:type="pct"/>
                  <w:vMerge w:val="continue"/>
                  <w:noWrap w:val="0"/>
                  <w:vAlign w:val="center"/>
                </w:tcPr>
                <w:p w14:paraId="18C8BB0F">
                  <w:pPr>
                    <w:pStyle w:val="26"/>
                    <w:rPr>
                      <w:rFonts w:hint="eastAsia" w:cs="Times New Roman"/>
                      <w:color w:val="000000" w:themeColor="text1"/>
                      <w:highlight w:val="none"/>
                      <w:lang w:val="en-US" w:eastAsia="zh-CN"/>
                      <w14:textFill>
                        <w14:solidFill>
                          <w14:schemeClr w14:val="tx1"/>
                        </w14:solidFill>
                      </w14:textFill>
                    </w:rPr>
                  </w:pPr>
                </w:p>
              </w:tc>
              <w:tc>
                <w:tcPr>
                  <w:tcW w:w="1370" w:type="pct"/>
                  <w:gridSpan w:val="2"/>
                  <w:shd w:val="clear" w:color="auto" w:fill="auto"/>
                  <w:noWrap w:val="0"/>
                  <w:vAlign w:val="center"/>
                </w:tcPr>
                <w:p w14:paraId="6B316969">
                  <w:pPr>
                    <w:pStyle w:val="26"/>
                    <w:ind w:firstLine="0" w:firstLineChars="0"/>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风险防范措施</w:t>
                  </w:r>
                </w:p>
              </w:tc>
              <w:tc>
                <w:tcPr>
                  <w:tcW w:w="3153" w:type="pct"/>
                  <w:gridSpan w:val="2"/>
                  <w:shd w:val="clear" w:color="auto" w:fill="auto"/>
                  <w:noWrap w:val="0"/>
                  <w:vAlign w:val="center"/>
                </w:tcPr>
                <w:p w14:paraId="5860F0FA">
                  <w:pPr>
                    <w:pStyle w:val="26"/>
                    <w:ind w:firstLine="0" w:firstLineChars="0"/>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依托出租方1个200 m</w:t>
                  </w:r>
                  <w:r>
                    <w:rPr>
                      <w:rFonts w:hint="eastAsia" w:cs="Times New Roman"/>
                      <w:color w:val="000000" w:themeColor="text1"/>
                      <w:highlight w:val="none"/>
                      <w:vertAlign w:val="superscript"/>
                      <w:lang w:val="en-US" w:eastAsia="zh-CN"/>
                      <w14:textFill>
                        <w14:solidFill>
                          <w14:schemeClr w14:val="tx1"/>
                        </w14:solidFill>
                      </w14:textFill>
                    </w:rPr>
                    <w:t>3</w:t>
                  </w:r>
                  <w:r>
                    <w:rPr>
                      <w:rFonts w:hint="eastAsia" w:cs="Times New Roman"/>
                      <w:color w:val="000000" w:themeColor="text1"/>
                      <w:highlight w:val="none"/>
                      <w:lang w:val="en-US" w:eastAsia="zh-CN"/>
                      <w14:textFill>
                        <w14:solidFill>
                          <w14:schemeClr w14:val="tx1"/>
                        </w14:solidFill>
                      </w14:textFill>
                    </w:rPr>
                    <w:t>事故应急池</w:t>
                  </w:r>
                </w:p>
              </w:tc>
            </w:tr>
          </w:tbl>
          <w:p w14:paraId="7FF74596">
            <w:pPr>
              <w:pStyle w:val="2"/>
              <w:bidi w:val="0"/>
              <w:rPr>
                <w:rFonts w:hint="default"/>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主要原辅材料</w:t>
            </w:r>
            <w:r>
              <w:rPr>
                <w:rFonts w:hint="default" w:ascii="Times New Roman" w:hAnsi="Times New Roman" w:cs="Times New Roman"/>
                <w:color w:val="000000" w:themeColor="text1"/>
                <w:highlight w:val="none"/>
                <w:lang w:val="en-US" w:eastAsia="zh-CN"/>
                <w14:textFill>
                  <w14:solidFill>
                    <w14:schemeClr w14:val="tx1"/>
                  </w14:solidFill>
                </w14:textFill>
              </w:rPr>
              <w:t>及能源消耗</w:t>
            </w:r>
            <w:bookmarkEnd w:id="83"/>
            <w:bookmarkEnd w:id="84"/>
          </w:p>
          <w:p w14:paraId="403225EB">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（1）主要原辅材料</w:t>
            </w:r>
          </w:p>
          <w:p w14:paraId="76089423">
            <w:pPr>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w:t>
            </w:r>
            <w:r>
              <w:rPr>
                <w:rFonts w:hint="eastAsia"/>
                <w:color w:val="000000" w:themeColor="text1"/>
                <w:highlight w:val="none"/>
                <w14:textFill>
                  <w14:solidFill>
                    <w14:schemeClr w14:val="tx1"/>
                  </w14:solidFill>
                </w14:textFill>
              </w:rPr>
              <w:t>项目主要原辅材料</w:t>
            </w:r>
            <w:r>
              <w:rPr>
                <w:rFonts w:hint="eastAsia"/>
                <w:color w:val="000000" w:themeColor="text1"/>
                <w:highlight w:val="none"/>
                <w:lang w:val="en-US" w:eastAsia="zh-CN"/>
                <w14:textFill>
                  <w14:solidFill>
                    <w14:schemeClr w14:val="tx1"/>
                  </w14:solidFill>
                </w14:textFill>
              </w:rPr>
              <w:t>及能源消耗</w:t>
            </w:r>
            <w:r>
              <w:rPr>
                <w:rFonts w:hint="eastAsia"/>
                <w:color w:val="000000" w:themeColor="text1"/>
                <w:highlight w:val="none"/>
                <w14:textFill>
                  <w14:solidFill>
                    <w14:schemeClr w14:val="tx1"/>
                  </w14:solidFill>
                </w14:textFill>
              </w:rPr>
              <w:t>详见</w:t>
            </w:r>
            <w:r>
              <w:rPr>
                <w:rFonts w:hint="eastAsia"/>
                <w:color w:val="000000" w:themeColor="text1"/>
                <w:highlight w:val="none"/>
                <w:lang w:eastAsia="zh-CN"/>
                <w14:textFill>
                  <w14:solidFill>
                    <w14:schemeClr w14:val="tx1"/>
                  </w14:solidFill>
                </w14:textFill>
              </w:rPr>
              <w:fldChar w:fldCharType="begin"/>
            </w:r>
            <w:r>
              <w:rPr>
                <w:rFonts w:hint="eastAsia"/>
                <w:color w:val="000000" w:themeColor="text1"/>
                <w:highlight w:val="none"/>
                <w:lang w:eastAsia="zh-CN"/>
                <w14:textFill>
                  <w14:solidFill>
                    <w14:schemeClr w14:val="tx1"/>
                  </w14:solidFill>
                </w14:textFill>
              </w:rPr>
              <w:instrText xml:space="preserve"> REF _Ref5872 \n \h </w:instrText>
            </w:r>
            <w:r>
              <w:rPr>
                <w:rFonts w:hint="eastAsia"/>
                <w:color w:val="000000" w:themeColor="text1"/>
                <w:highlight w:val="none"/>
                <w:lang w:eastAsia="zh-CN"/>
                <w14:textFill>
                  <w14:solidFill>
                    <w14:schemeClr w14:val="tx1"/>
                  </w14:solidFill>
                </w14:textFill>
              </w:rPr>
              <w:fldChar w:fldCharType="separate"/>
            </w:r>
            <w:r>
              <w:rPr>
                <w:rFonts w:hint="eastAsia"/>
                <w:color w:val="000000" w:themeColor="text1"/>
                <w:highlight w:val="none"/>
                <w:lang w:eastAsia="zh-CN"/>
                <w14:textFill>
                  <w14:solidFill>
                    <w14:schemeClr w14:val="tx1"/>
                  </w14:solidFill>
                </w14:textFill>
              </w:rPr>
              <w:t>表2.3-1</w:t>
            </w:r>
            <w:r>
              <w:rPr>
                <w:rFonts w:hint="eastAsia"/>
                <w:color w:val="000000" w:themeColor="text1"/>
                <w:highlight w:val="none"/>
                <w:lang w:eastAsia="zh-CN"/>
                <w14:textFill>
                  <w14:solidFill>
                    <w14:schemeClr w14:val="tx1"/>
                  </w14:solidFill>
                </w14:textFill>
              </w:rPr>
              <w:fldChar w:fldCharType="end"/>
            </w:r>
            <w:r>
              <w:rPr>
                <w:rFonts w:hint="eastAsia"/>
                <w:color w:val="000000" w:themeColor="text1"/>
                <w:highlight w:val="none"/>
                <w:lang w:eastAsia="zh-CN"/>
                <w14:textFill>
                  <w14:solidFill>
                    <w14:schemeClr w14:val="tx1"/>
                  </w14:solidFill>
                </w14:textFill>
              </w:rPr>
              <w:t>。</w:t>
            </w:r>
          </w:p>
          <w:p w14:paraId="6A87C8B6">
            <w:pPr>
              <w:pStyle w:val="30"/>
              <w:bidi w:val="0"/>
              <w:rPr>
                <w:rFonts w:hint="default"/>
                <w:color w:val="000000" w:themeColor="text1"/>
                <w:highlight w:val="none"/>
                <w:lang w:val="en-US" w:eastAsia="zh-CN"/>
                <w14:textFill>
                  <w14:solidFill>
                    <w14:schemeClr w14:val="tx1"/>
                  </w14:solidFill>
                </w14:textFill>
              </w:rPr>
            </w:pPr>
            <w:bookmarkStart w:id="85" w:name="_Ref5872"/>
            <w:r>
              <w:rPr>
                <w:rFonts w:hint="eastAsia"/>
                <w:color w:val="000000" w:themeColor="text1"/>
                <w:szCs w:val="24"/>
                <w:highlight w:val="none"/>
                <w14:textFill>
                  <w14:solidFill>
                    <w14:schemeClr w14:val="tx1"/>
                  </w14:solidFill>
                </w14:textFill>
              </w:rPr>
              <w:t>本项目主要原辅材料</w:t>
            </w:r>
            <w:r>
              <w:rPr>
                <w:rFonts w:hint="eastAsia"/>
                <w:color w:val="000000" w:themeColor="text1"/>
                <w:highlight w:val="none"/>
                <w:lang w:val="en-US" w:eastAsia="zh-CN"/>
                <w14:textFill>
                  <w14:solidFill>
                    <w14:schemeClr w14:val="tx1"/>
                  </w14:solidFill>
                </w14:textFill>
              </w:rPr>
              <w:t>及能源消耗</w:t>
            </w:r>
            <w:r>
              <w:rPr>
                <w:rFonts w:hint="eastAsia"/>
                <w:color w:val="000000" w:themeColor="text1"/>
                <w:szCs w:val="24"/>
                <w:highlight w:val="none"/>
                <w14:textFill>
                  <w14:solidFill>
                    <w14:schemeClr w14:val="tx1"/>
                  </w14:solidFill>
                </w14:textFill>
              </w:rPr>
              <w:t>一览表</w:t>
            </w:r>
            <w:bookmarkEnd w:id="85"/>
          </w:p>
          <w:p w14:paraId="4923332E">
            <w:pPr>
              <w:jc w:val="center"/>
              <w:rPr>
                <w:rFonts w:hint="default" w:eastAsia="宋体"/>
                <w:color w:val="FF0000"/>
                <w:sz w:val="36"/>
                <w:szCs w:val="36"/>
                <w:highlight w:val="yellow"/>
                <w:lang w:val="en-US" w:eastAsia="zh-CN"/>
              </w:rPr>
            </w:pPr>
            <w:r>
              <w:rPr>
                <w:rFonts w:hint="eastAsia"/>
                <w:b/>
                <w:bCs/>
                <w:color w:val="FF0000"/>
                <w:sz w:val="36"/>
                <w:szCs w:val="36"/>
                <w:highlight w:val="yellow"/>
                <w:lang w:val="en-US" w:eastAsia="zh-CN"/>
              </w:rPr>
              <w:t>涉密，删除</w:t>
            </w:r>
          </w:p>
          <w:p w14:paraId="2B9AE234">
            <w:pPr>
              <w:rPr>
                <w:rFonts w:hint="default"/>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2</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主要原辅材料的理化性质</w:t>
            </w:r>
          </w:p>
          <w:p w14:paraId="049FE07A">
            <w:pP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w:t>
            </w:r>
            <w:r>
              <w:rPr>
                <w:rFonts w:hint="default"/>
                <w:color w:val="000000" w:themeColor="text1"/>
                <w:highlight w:val="none"/>
                <w:lang w:val="en-US" w:eastAsia="zh-CN"/>
                <w14:textFill>
                  <w14:solidFill>
                    <w14:schemeClr w14:val="tx1"/>
                  </w14:solidFill>
                </w14:textFill>
              </w:rPr>
              <w:t>项目主要原辅材料理化性质见</w:t>
            </w:r>
            <w:r>
              <w:rPr>
                <w:rFonts w:hint="default"/>
                <w:color w:val="000000" w:themeColor="text1"/>
                <w:highlight w:val="none"/>
                <w:lang w:val="en-US" w:eastAsia="zh-CN"/>
                <w14:textFill>
                  <w14:solidFill>
                    <w14:schemeClr w14:val="tx1"/>
                  </w14:solidFill>
                </w14:textFill>
              </w:rPr>
              <w:fldChar w:fldCharType="begin"/>
            </w:r>
            <w:r>
              <w:rPr>
                <w:rFonts w:hint="default"/>
                <w:color w:val="000000" w:themeColor="text1"/>
                <w:highlight w:val="none"/>
                <w:lang w:val="en-US" w:eastAsia="zh-CN"/>
                <w14:textFill>
                  <w14:solidFill>
                    <w14:schemeClr w14:val="tx1"/>
                  </w14:solidFill>
                </w14:textFill>
              </w:rPr>
              <w:instrText xml:space="preserve"> REF _Ref25183 \n \h </w:instrText>
            </w:r>
            <w:r>
              <w:rPr>
                <w:rFonts w:hint="default"/>
                <w:color w:val="000000" w:themeColor="text1"/>
                <w:highlight w:val="none"/>
                <w:lang w:val="en-US" w:eastAsia="zh-CN"/>
                <w14:textFill>
                  <w14:solidFill>
                    <w14:schemeClr w14:val="tx1"/>
                  </w14:solidFill>
                </w14:textFill>
              </w:rPr>
              <w:fldChar w:fldCharType="separate"/>
            </w:r>
            <w:r>
              <w:rPr>
                <w:rFonts w:hint="default"/>
                <w:color w:val="000000" w:themeColor="text1"/>
                <w:highlight w:val="none"/>
                <w:lang w:val="en-US" w:eastAsia="zh-CN"/>
                <w14:textFill>
                  <w14:solidFill>
                    <w14:schemeClr w14:val="tx1"/>
                  </w14:solidFill>
                </w14:textFill>
              </w:rPr>
              <w:t>表2.3-2</w:t>
            </w:r>
            <w:r>
              <w:rPr>
                <w:rFonts w:hint="default"/>
                <w:color w:val="000000" w:themeColor="text1"/>
                <w:highlight w:val="none"/>
                <w:lang w:val="en-US" w:eastAsia="zh-CN"/>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w:t>
            </w:r>
          </w:p>
          <w:p w14:paraId="5D05B02F">
            <w:pPr>
              <w:pStyle w:val="30"/>
              <w:bidi w:val="0"/>
              <w:rPr>
                <w:rFonts w:hint="default"/>
                <w:color w:val="000000" w:themeColor="text1"/>
                <w:highlight w:val="none"/>
                <w:lang w:val="en-US" w:eastAsia="zh-CN"/>
                <w14:textFill>
                  <w14:solidFill>
                    <w14:schemeClr w14:val="tx1"/>
                  </w14:solidFill>
                </w14:textFill>
              </w:rPr>
            </w:pPr>
            <w:bookmarkStart w:id="86" w:name="_Ref25183"/>
            <w:r>
              <w:rPr>
                <w:rFonts w:hint="default"/>
                <w:color w:val="000000" w:themeColor="text1"/>
                <w:highlight w:val="none"/>
                <w:lang w:val="en-US" w:eastAsia="zh-CN"/>
                <w14:textFill>
                  <w14:solidFill>
                    <w14:schemeClr w14:val="tx1"/>
                  </w14:solidFill>
                </w14:textFill>
              </w:rPr>
              <w:t>本项目主要原辅材料理化性质一览表</w:t>
            </w:r>
            <w:bookmarkEnd w:id="86"/>
          </w:p>
          <w:p w14:paraId="42898FD4">
            <w:pPr>
              <w:jc w:val="center"/>
              <w:rPr>
                <w:rFonts w:hint="default" w:eastAsia="宋体"/>
                <w:color w:val="FF0000"/>
                <w:sz w:val="36"/>
                <w:szCs w:val="36"/>
                <w:highlight w:val="yellow"/>
                <w:lang w:val="en-US" w:eastAsia="zh-CN"/>
              </w:rPr>
            </w:pPr>
            <w:r>
              <w:rPr>
                <w:rFonts w:hint="eastAsia"/>
                <w:b/>
                <w:bCs/>
                <w:color w:val="FF0000"/>
                <w:sz w:val="36"/>
                <w:szCs w:val="36"/>
                <w:highlight w:val="yellow"/>
                <w:lang w:val="en-US" w:eastAsia="zh-CN"/>
              </w:rPr>
              <w:t>涉密，删除</w:t>
            </w:r>
          </w:p>
          <w:p w14:paraId="77FE6463">
            <w:pPr>
              <w:pStyle w:val="2"/>
              <w:bidi w:val="0"/>
              <w:rPr>
                <w:rFonts w:hint="default"/>
                <w:color w:val="000000" w:themeColor="text1"/>
                <w:highlight w:val="none"/>
                <w:lang w:val="en-US" w:eastAsia="zh-CN"/>
                <w14:textFill>
                  <w14:solidFill>
                    <w14:schemeClr w14:val="tx1"/>
                  </w14:solidFill>
                </w14:textFill>
              </w:rPr>
            </w:pPr>
            <w:bookmarkStart w:id="87" w:name="_Toc26603"/>
            <w:bookmarkStart w:id="88" w:name="_Toc1583"/>
            <w:r>
              <w:rPr>
                <w:rFonts w:hint="eastAsia"/>
                <w:color w:val="000000" w:themeColor="text1"/>
                <w:highlight w:val="none"/>
                <w:lang w:val="en-US" w:eastAsia="zh-CN"/>
                <w14:textFill>
                  <w14:solidFill>
                    <w14:schemeClr w14:val="tx1"/>
                  </w14:solidFill>
                </w14:textFill>
              </w:rPr>
              <w:t>主要生产设备</w:t>
            </w:r>
            <w:bookmarkEnd w:id="87"/>
            <w:bookmarkEnd w:id="88"/>
          </w:p>
          <w:p w14:paraId="4342B1D1">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本项目主要生产设备详见</w:t>
            </w:r>
            <w:r>
              <w:rPr>
                <w:rFonts w:hint="eastAsia"/>
                <w:color w:val="000000" w:themeColor="text1"/>
                <w:highlight w:val="none"/>
                <w:lang w:val="en-US" w:eastAsia="zh-CN"/>
                <w14:textFill>
                  <w14:solidFill>
                    <w14:schemeClr w14:val="tx1"/>
                  </w14:solidFill>
                </w14:textFill>
              </w:rPr>
              <w:fldChar w:fldCharType="begin"/>
            </w:r>
            <w:r>
              <w:rPr>
                <w:rFonts w:hint="eastAsia"/>
                <w:color w:val="000000" w:themeColor="text1"/>
                <w:highlight w:val="none"/>
                <w:lang w:val="en-US" w:eastAsia="zh-CN"/>
                <w14:textFill>
                  <w14:solidFill>
                    <w14:schemeClr w14:val="tx1"/>
                  </w14:solidFill>
                </w14:textFill>
              </w:rPr>
              <w:instrText xml:space="preserve"> REF _Ref29149 \n \h </w:instrText>
            </w:r>
            <w:r>
              <w:rPr>
                <w:rFonts w:hint="eastAsia"/>
                <w:color w:val="000000" w:themeColor="text1"/>
                <w:highlight w:val="none"/>
                <w:lang w:val="en-US" w:eastAsia="zh-CN"/>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表2.4-1</w:t>
            </w:r>
            <w:r>
              <w:rPr>
                <w:rFonts w:hint="eastAsia"/>
                <w:color w:val="000000" w:themeColor="text1"/>
                <w:highlight w:val="none"/>
                <w:lang w:val="en-US" w:eastAsia="zh-CN"/>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w:t>
            </w:r>
          </w:p>
          <w:p w14:paraId="23C235D4">
            <w:pPr>
              <w:pStyle w:val="30"/>
              <w:bidi w:val="0"/>
              <w:rPr>
                <w:rFonts w:hint="default"/>
                <w:color w:val="000000" w:themeColor="text1"/>
                <w:highlight w:val="none"/>
                <w:lang w:val="en-US" w:eastAsia="zh-CN"/>
                <w14:textFill>
                  <w14:solidFill>
                    <w14:schemeClr w14:val="tx1"/>
                  </w14:solidFill>
                </w14:textFill>
              </w:rPr>
            </w:pPr>
            <w:bookmarkStart w:id="89" w:name="_Ref29149"/>
            <w:r>
              <w:rPr>
                <w:rFonts w:hint="eastAsia"/>
                <w:color w:val="000000" w:themeColor="text1"/>
                <w:highlight w:val="none"/>
                <w:lang w:val="en-US" w:eastAsia="zh-CN"/>
                <w14:textFill>
                  <w14:solidFill>
                    <w14:schemeClr w14:val="tx1"/>
                  </w14:solidFill>
                </w14:textFill>
              </w:rPr>
              <w:t>主要生产设备一览表</w:t>
            </w:r>
            <w:bookmarkEnd w:id="89"/>
          </w:p>
          <w:p w14:paraId="684048A7">
            <w:pPr>
              <w:jc w:val="center"/>
              <w:rPr>
                <w:rFonts w:hint="default" w:eastAsia="宋体"/>
                <w:color w:val="FF0000"/>
                <w:sz w:val="36"/>
                <w:szCs w:val="36"/>
                <w:highlight w:val="yellow"/>
                <w:lang w:val="en-US" w:eastAsia="zh-CN"/>
              </w:rPr>
            </w:pPr>
            <w:r>
              <w:rPr>
                <w:rFonts w:hint="eastAsia"/>
                <w:b/>
                <w:bCs/>
                <w:color w:val="FF0000"/>
                <w:sz w:val="36"/>
                <w:szCs w:val="36"/>
                <w:highlight w:val="yellow"/>
                <w:lang w:val="en-US" w:eastAsia="zh-CN"/>
              </w:rPr>
              <w:t>涉密，删除</w:t>
            </w:r>
          </w:p>
          <w:p w14:paraId="7CDE8453">
            <w:pPr>
              <w:pStyle w:val="2"/>
              <w:keepNext w:val="0"/>
              <w:keepLines w:val="0"/>
              <w:pageBreakBefore w:val="0"/>
              <w:widowControl w:val="0"/>
              <w:kinsoku/>
              <w:wordWrap/>
              <w:topLinePunct w:val="0"/>
              <w:autoSpaceDE/>
              <w:autoSpaceDN/>
              <w:bidi w:val="0"/>
              <w:adjustRightInd/>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bookmarkStart w:id="90" w:name="_Toc17453"/>
            <w:bookmarkStart w:id="91" w:name="_Toc14350"/>
            <w:bookmarkStart w:id="92" w:name="_Toc18408"/>
            <w:bookmarkStart w:id="93" w:name="_Toc13298"/>
            <w:bookmarkStart w:id="94" w:name="_Toc10527"/>
            <w:bookmarkStart w:id="95" w:name="_Toc229"/>
            <w:r>
              <w:rPr>
                <w:rFonts w:hint="default" w:ascii="Times New Roman" w:hAnsi="Times New Roman" w:cs="Times New Roman"/>
                <w:color w:val="000000" w:themeColor="text1"/>
                <w:highlight w:val="none"/>
                <w:lang w:val="en-US" w:eastAsia="zh-CN"/>
                <w14:textFill>
                  <w14:solidFill>
                    <w14:schemeClr w14:val="tx1"/>
                  </w14:solidFill>
                </w14:textFill>
              </w:rPr>
              <w:t>公用工程</w:t>
            </w:r>
            <w:bookmarkEnd w:id="90"/>
            <w:bookmarkEnd w:id="91"/>
            <w:bookmarkEnd w:id="92"/>
            <w:bookmarkEnd w:id="93"/>
            <w:bookmarkEnd w:id="94"/>
            <w:bookmarkEnd w:id="95"/>
          </w:p>
          <w:p w14:paraId="7F6EF4B1">
            <w:pPr>
              <w:pStyle w:val="3"/>
              <w:keepNext w:val="0"/>
              <w:keepLines w:val="0"/>
              <w:pageBreakBefore w:val="0"/>
              <w:widowControl w:val="0"/>
              <w:kinsoku/>
              <w:wordWrap/>
              <w:topLinePunct w:val="0"/>
              <w:autoSpaceDE/>
              <w:autoSpaceDN/>
              <w:bidi w:val="0"/>
              <w:adjustRightInd/>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bookmarkStart w:id="96" w:name="_Toc22903"/>
            <w:bookmarkStart w:id="97" w:name="_Toc20338"/>
            <w:bookmarkStart w:id="98" w:name="_Toc3614"/>
            <w:r>
              <w:rPr>
                <w:rFonts w:hint="default" w:ascii="Times New Roman" w:hAnsi="Times New Roman" w:cs="Times New Roman"/>
                <w:color w:val="000000" w:themeColor="text1"/>
                <w:highlight w:val="none"/>
                <w:lang w:val="en-US" w:eastAsia="zh-CN"/>
                <w14:textFill>
                  <w14:solidFill>
                    <w14:schemeClr w14:val="tx1"/>
                  </w14:solidFill>
                </w14:textFill>
              </w:rPr>
              <w:t>给排水工程</w:t>
            </w:r>
            <w:bookmarkEnd w:id="96"/>
            <w:bookmarkEnd w:id="97"/>
            <w:bookmarkEnd w:id="98"/>
          </w:p>
          <w:p w14:paraId="296DF71F">
            <w:pPr>
              <w:keepNext w:val="0"/>
              <w:keepLines w:val="0"/>
              <w:pageBreakBefore w:val="0"/>
              <w:widowControl w:val="0"/>
              <w:kinsoku/>
              <w:wordWrap/>
              <w:topLinePunct w:val="0"/>
              <w:autoSpaceDE/>
              <w:autoSpaceDN/>
              <w:bidi w:val="0"/>
              <w:adjustRightInd/>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（1）给水</w:t>
            </w:r>
          </w:p>
          <w:p w14:paraId="0EA24CCC">
            <w:pPr>
              <w:keepNext w:val="0"/>
              <w:keepLines w:val="0"/>
              <w:pageBreakBefore w:val="0"/>
              <w:widowControl w:val="0"/>
              <w:kinsoku/>
              <w:wordWrap/>
              <w:topLinePunct w:val="0"/>
              <w:autoSpaceDE/>
              <w:autoSpaceDN/>
              <w:bidi w:val="0"/>
              <w:adjustRightInd/>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olor w:val="000000" w:themeColor="text1"/>
                <w:spacing w:val="-6"/>
                <w:highlight w:val="none"/>
                <w:lang w:val="en-US" w:eastAsia="zh-CN"/>
                <w14:textFill>
                  <w14:solidFill>
                    <w14:schemeClr w14:val="tx1"/>
                  </w14:solidFill>
                </w14:textFill>
              </w:rPr>
              <w:t>本项目所需新鲜水由市政供水，生产、生活用水合用一个工业管路系统，从市政管网引入的管道，水量能满足生产、生活用水的需要。工业园供水管供应该区域的供水压力不小于0.3Mpa</w:t>
            </w:r>
            <w:r>
              <w:rPr>
                <w:rFonts w:hint="default" w:ascii="Times New Roman" w:hAnsi="Times New Roman" w:cs="Times New Roman"/>
                <w:color w:val="000000" w:themeColor="text1"/>
                <w:highlight w:val="none"/>
                <w:lang w:val="en-US" w:eastAsia="zh-CN"/>
                <w14:textFill>
                  <w14:solidFill>
                    <w14:schemeClr w14:val="tx1"/>
                  </w14:solidFill>
                </w14:textFill>
              </w:rPr>
              <w:t>。</w:t>
            </w:r>
          </w:p>
          <w:p w14:paraId="201C8149">
            <w:pPr>
              <w:keepNext w:val="0"/>
              <w:keepLines w:val="0"/>
              <w:pageBreakBefore w:val="0"/>
              <w:widowControl w:val="0"/>
              <w:kinsoku/>
              <w:wordWrap/>
              <w:topLinePunct w:val="0"/>
              <w:autoSpaceDE/>
              <w:autoSpaceDN/>
              <w:bidi w:val="0"/>
              <w:adjustRightInd/>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（2）排水</w:t>
            </w:r>
          </w:p>
          <w:p w14:paraId="34AC467F">
            <w:pPr>
              <w:keepNext w:val="0"/>
              <w:keepLines w:val="0"/>
              <w:widowControl/>
              <w:suppressLineNumbers w:val="0"/>
              <w:jc w:val="left"/>
              <w:rPr>
                <w:rFonts w:hint="eastAsia"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项目</w:t>
            </w:r>
            <w:r>
              <w:rPr>
                <w:rFonts w:hint="eastAsia" w:ascii="Times New Roman" w:hAnsi="Times New Roman" w:cs="Times New Roman"/>
                <w:color w:val="000000" w:themeColor="text1"/>
                <w:highlight w:val="none"/>
                <w:lang w:val="en-US" w:eastAsia="zh-CN"/>
                <w14:textFill>
                  <w14:solidFill>
                    <w14:schemeClr w14:val="tx1"/>
                  </w14:solidFill>
                </w14:textFill>
              </w:rPr>
              <w:t>厂区</w:t>
            </w:r>
            <w:r>
              <w:rPr>
                <w:rFonts w:hint="default" w:ascii="Times New Roman" w:hAnsi="Times New Roman" w:cs="Times New Roman"/>
                <w:color w:val="000000" w:themeColor="text1"/>
                <w:highlight w:val="none"/>
                <w:lang w:val="en-US" w:eastAsia="zh-CN"/>
                <w14:textFill>
                  <w14:solidFill>
                    <w14:schemeClr w14:val="tx1"/>
                  </w14:solidFill>
                </w14:textFill>
              </w:rPr>
              <w:t>排水</w:t>
            </w:r>
            <w:r>
              <w:rPr>
                <w:rFonts w:hint="eastAsia" w:ascii="Times New Roman" w:hAnsi="Times New Roman" w:cs="Times New Roman"/>
                <w:color w:val="000000" w:themeColor="text1"/>
                <w:highlight w:val="none"/>
                <w:lang w:val="en-US" w:eastAsia="zh-CN"/>
                <w14:textFill>
                  <w14:solidFill>
                    <w14:schemeClr w14:val="tx1"/>
                  </w14:solidFill>
                </w14:textFill>
              </w:rPr>
              <w:t>依托出租方已建排水管网，</w:t>
            </w:r>
            <w:r>
              <w:rPr>
                <w:rFonts w:hint="default" w:ascii="Times New Roman" w:hAnsi="Times New Roman" w:cs="Times New Roman"/>
                <w:color w:val="000000" w:themeColor="text1"/>
                <w:highlight w:val="none"/>
                <w:lang w:val="en-US" w:eastAsia="zh-CN"/>
                <w14:textFill>
                  <w14:solidFill>
                    <w14:schemeClr w14:val="tx1"/>
                  </w14:solidFill>
                </w14:textFill>
              </w:rPr>
              <w:t>实行“雨污分流、清污分流”</w:t>
            </w:r>
            <w:r>
              <w:rPr>
                <w:rFonts w:hint="eastAsia" w:ascii="Times New Roman" w:hAnsi="Times New Roman" w:cs="Times New Roman"/>
                <w:color w:val="000000" w:themeColor="text1"/>
                <w:highlight w:val="none"/>
                <w:lang w:val="en-US" w:eastAsia="zh-CN"/>
                <w14:textFill>
                  <w14:solidFill>
                    <w14:schemeClr w14:val="tx1"/>
                  </w14:solidFill>
                </w14:textFill>
              </w:rPr>
              <w:t>的原则</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厂区雨水经雨水口排入西北侧园区雨</w:t>
            </w:r>
            <w:r>
              <w:rPr>
                <w:rFonts w:hint="default" w:ascii="Times New Roman" w:hAnsi="Times New Roman" w:eastAsia="宋体" w:cs="Times New Roman"/>
                <w:color w:val="000000" w:themeColor="text1"/>
                <w:highlight w:val="none"/>
                <w:lang w:val="en-US" w:eastAsia="zh-CN"/>
                <w14:textFill>
                  <w14:solidFill>
                    <w14:schemeClr w14:val="tx1"/>
                  </w14:solidFill>
                </w14:textFill>
              </w:rPr>
              <w:t>水管网。生活污水</w:t>
            </w:r>
            <w:r>
              <w:rPr>
                <w:rFonts w:hint="eastAsia" w:cs="Times New Roman"/>
                <w:color w:val="000000" w:themeColor="text1"/>
                <w:highlight w:val="none"/>
                <w:lang w:val="en-US" w:eastAsia="zh-CN"/>
                <w14:textFill>
                  <w14:solidFill>
                    <w14:schemeClr w14:val="tx1"/>
                  </w14:solidFill>
                </w14:textFill>
              </w:rPr>
              <w:t>依托出租方</w:t>
            </w:r>
            <w:r>
              <w:rPr>
                <w:rFonts w:hint="default" w:ascii="Times New Roman" w:hAnsi="Times New Roman" w:eastAsia="宋体" w:cs="Times New Roman"/>
                <w:color w:val="000000" w:themeColor="text1"/>
                <w:highlight w:val="none"/>
                <w:lang w:val="en-US" w:eastAsia="zh-CN"/>
                <w14:textFill>
                  <w14:solidFill>
                    <w14:schemeClr w14:val="tx1"/>
                  </w14:solidFill>
                </w14:textFill>
              </w:rPr>
              <w:t>化粪池</w:t>
            </w:r>
            <w:r>
              <w:rPr>
                <w:rFonts w:hint="eastAsia" w:cs="Times New Roman"/>
                <w:color w:val="000000" w:themeColor="text1"/>
                <w:highlight w:val="none"/>
                <w:lang w:val="en-US" w:eastAsia="zh-CN"/>
                <w14:textFill>
                  <w14:solidFill>
                    <w14:schemeClr w14:val="tx1"/>
                  </w14:solidFill>
                </w14:textFill>
              </w:rPr>
              <w:t>预</w:t>
            </w:r>
            <w:r>
              <w:rPr>
                <w:rFonts w:hint="default" w:ascii="Times New Roman" w:hAnsi="Times New Roman" w:eastAsia="宋体" w:cs="Times New Roman"/>
                <w:color w:val="000000" w:themeColor="text1"/>
                <w:highlight w:val="none"/>
                <w:lang w:val="en-US" w:eastAsia="zh-CN"/>
                <w14:textFill>
                  <w14:solidFill>
                    <w14:schemeClr w14:val="tx1"/>
                  </w14:solidFill>
                </w14:textFill>
              </w:rPr>
              <w:t>处理</w:t>
            </w:r>
            <w:r>
              <w:rPr>
                <w:rFonts w:hint="eastAsia" w:cs="Times New Roman"/>
                <w:color w:val="000000" w:themeColor="text1"/>
                <w:highlight w:val="none"/>
                <w:lang w:val="en-US" w:eastAsia="zh-CN"/>
                <w14:textFill>
                  <w14:solidFill>
                    <w14:schemeClr w14:val="tx1"/>
                  </w14:solidFill>
                </w14:textFill>
              </w:rPr>
              <w:t>后进入园区污水管网，最终纳入</w:t>
            </w:r>
            <w:r>
              <w:rPr>
                <w:rFonts w:hint="eastAsia"/>
                <w:color w:val="000000" w:themeColor="text1"/>
                <w:highlight w:val="none"/>
                <w14:textFill>
                  <w14:solidFill>
                    <w14:schemeClr w14:val="tx1"/>
                  </w14:solidFill>
                </w14:textFill>
              </w:rPr>
              <w:t>永安市贡川产业园水东工业集中区污水处理厂</w:t>
            </w:r>
            <w:r>
              <w:rPr>
                <w:rFonts w:hint="eastAsia"/>
                <w:color w:val="000000" w:themeColor="text1"/>
                <w:highlight w:val="none"/>
                <w:lang w:val="en-US" w:eastAsia="zh-CN"/>
                <w14:textFill>
                  <w14:solidFill>
                    <w14:schemeClr w14:val="tx1"/>
                  </w14:solidFill>
                </w14:textFill>
              </w:rPr>
              <w:t>深度处理</w:t>
            </w:r>
            <w:r>
              <w:rPr>
                <w:rFonts w:hint="eastAsia" w:eastAsia="宋体" w:cs="Times New Roman"/>
                <w:color w:val="000000" w:themeColor="text1"/>
                <w:kern w:val="0"/>
                <w:sz w:val="24"/>
                <w:szCs w:val="24"/>
                <w:highlight w:val="none"/>
                <w:lang w:val="en-US" w:eastAsia="zh-CN" w:bidi="ar"/>
                <w14:textFill>
                  <w14:solidFill>
                    <w14:schemeClr w14:val="tx1"/>
                  </w14:solidFill>
                </w14:textFill>
              </w:rPr>
              <w:t>。</w:t>
            </w:r>
          </w:p>
          <w:p w14:paraId="52816CF6">
            <w:pPr>
              <w:pStyle w:val="3"/>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供热工程</w:t>
            </w:r>
          </w:p>
          <w:p w14:paraId="79271A2C">
            <w:pPr>
              <w:keepNext w:val="0"/>
              <w:keepLines w:val="0"/>
              <w:pageBreakBefore w:val="0"/>
              <w:widowControl w:val="0"/>
              <w:kinsoku/>
              <w:wordWrap/>
              <w:topLinePunct w:val="0"/>
              <w:autoSpaceDE/>
              <w:autoSpaceDN/>
              <w:bidi w:val="0"/>
              <w:adjustRightInd/>
              <w:textAlignment w:val="auto"/>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本项目生产采用电加热；生产车间不设采暖、制冷设施。</w:t>
            </w:r>
          </w:p>
          <w:p w14:paraId="1FD75DB7">
            <w:pPr>
              <w:pStyle w:val="3"/>
              <w:keepNext w:val="0"/>
              <w:keepLines w:val="0"/>
              <w:pageBreakBefore w:val="0"/>
              <w:widowControl w:val="0"/>
              <w:kinsoku/>
              <w:wordWrap/>
              <w:topLinePunct w:val="0"/>
              <w:autoSpaceDE/>
              <w:autoSpaceDN/>
              <w:bidi w:val="0"/>
              <w:adjustRightInd/>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bookmarkStart w:id="99" w:name="_Toc1718"/>
            <w:bookmarkStart w:id="100" w:name="_Toc871"/>
            <w:bookmarkStart w:id="101" w:name="_Toc14431"/>
            <w:r>
              <w:rPr>
                <w:rFonts w:hint="default" w:ascii="Times New Roman" w:hAnsi="Times New Roman" w:cs="Times New Roman"/>
                <w:color w:val="000000" w:themeColor="text1"/>
                <w:highlight w:val="none"/>
                <w:lang w:val="en-US" w:eastAsia="zh-CN"/>
                <w14:textFill>
                  <w14:solidFill>
                    <w14:schemeClr w14:val="tx1"/>
                  </w14:solidFill>
                </w14:textFill>
              </w:rPr>
              <w:t>供电工程</w:t>
            </w:r>
            <w:bookmarkEnd w:id="99"/>
            <w:bookmarkEnd w:id="100"/>
            <w:bookmarkEnd w:id="101"/>
          </w:p>
          <w:p w14:paraId="0127B19E">
            <w:pPr>
              <w:keepNext w:val="0"/>
              <w:keepLines w:val="0"/>
              <w:pageBreakBefore w:val="0"/>
              <w:widowControl w:val="0"/>
              <w:kinsoku/>
              <w:wordWrap/>
              <w:topLinePunct w:val="0"/>
              <w:autoSpaceDE/>
              <w:autoSpaceDN/>
              <w:bidi w:val="0"/>
              <w:adjustRightInd/>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本项目用电由</w:t>
            </w:r>
            <w:r>
              <w:rPr>
                <w:rFonts w:hint="eastAsia"/>
                <w:color w:val="000000" w:themeColor="text1"/>
                <w:highlight w:val="none"/>
                <w14:textFill>
                  <w14:solidFill>
                    <w14:schemeClr w14:val="tx1"/>
                  </w14:solidFill>
                </w14:textFill>
              </w:rPr>
              <w:t>园区供电系统提供</w:t>
            </w:r>
            <w:r>
              <w:rPr>
                <w:rFonts w:hint="default" w:ascii="Times New Roman" w:hAnsi="Times New Roman" w:cs="Times New Roman"/>
                <w:color w:val="000000" w:themeColor="text1"/>
                <w:highlight w:val="none"/>
                <w:lang w:val="en-US" w:eastAsia="zh-CN"/>
                <w14:textFill>
                  <w14:solidFill>
                    <w14:schemeClr w14:val="tx1"/>
                  </w14:solidFill>
                </w14:textFill>
              </w:rPr>
              <w:t>。</w:t>
            </w:r>
          </w:p>
          <w:p w14:paraId="2F849038">
            <w:pPr>
              <w:pStyle w:val="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氮气制备系统</w:t>
            </w:r>
          </w:p>
          <w:p w14:paraId="391B91C2">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采用的制氮机为PSA变压吸附制氮装置，工作原理是以空气为原料，利用物理方法将其中的氧和氮分离而获得氮气的设备。采用变压吸附空分制氮，以优质进口碳分子筛（CMS）为吸附剂，根据碳分子筛在不同压力下对氧和氮的选择性吸附而使氮和氧分离的方法，制取高纯度的氮气，其余空气自然排出。制氮机中装有碳分子筛的吸附塔共有二个，一个塔工作时，另一个塔则减压脱附。洁净空气进入工作吸附塔，经过分子筛时氧、二氧化碳和水被其吸附，流至出口端的气体便是氮气。另一塔（脱附塔）使已吸附的氧气、二氧化碳和水从分子筛微孔中脱离排至大气中。这样两塔轮流进行，完成氮氧分离，连续输出氮气。氮气制备效率为80 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/hr，氮气通过管道输送至高温碳化炉，作为碳化过程中的保护气，隔绝空气、氧气。</w:t>
            </w:r>
          </w:p>
          <w:p w14:paraId="67039D2D">
            <w:pPr>
              <w:pStyle w:val="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氩气制备系统</w:t>
            </w:r>
          </w:p>
          <w:p w14:paraId="6490CE73">
            <w:pP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本项目采用的制氩机为PSA变压吸附制氮装置，工作原理是通过空气分离技术提取，基于气体组分（O</w:t>
            </w:r>
            <w:r>
              <w:rPr>
                <w:rFonts w:hint="eastAsia"/>
                <w:color w:val="000000" w:themeColor="text1"/>
                <w:highlight w:val="none"/>
                <w:vertAlign w:val="sub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、N</w:t>
            </w:r>
            <w:r>
              <w:rPr>
                <w:rFonts w:hint="eastAsia"/>
                <w:color w:val="000000" w:themeColor="text1"/>
                <w:highlight w:val="none"/>
                <w:vertAlign w:val="sub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、Ar）在吸附剂表面 吸附选择性差异及压力敏感特性，通过周期性变压操作实现氩气分离提纯。采用锂基分子筛（Li-X型沸石），优先吸附氧气（O</w:t>
            </w:r>
            <w:r>
              <w:rPr>
                <w:rFonts w:hint="eastAsia"/>
                <w:color w:val="000000" w:themeColor="text1"/>
                <w:highlight w:val="none"/>
                <w:vertAlign w:val="sub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）和氮气（N</w:t>
            </w:r>
            <w:r>
              <w:rPr>
                <w:rFonts w:hint="eastAsia"/>
                <w:color w:val="000000" w:themeColor="text1"/>
                <w:highlight w:val="none"/>
                <w:vertAlign w:val="sub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），氩气（Ar）因动力学直径较大（3.84A）吸附率低，成为穿透组分。制氩机中的四塔变压吸附循环先是通过压缩空气（0.6-0.8 MPa）进入A塔，O</w:t>
            </w:r>
            <w:r>
              <w:rPr>
                <w:rFonts w:hint="eastAsia"/>
                <w:color w:val="000000" w:themeColor="text1"/>
                <w:highlight w:val="none"/>
                <w:vertAlign w:val="sub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、N</w:t>
            </w:r>
            <w:r>
              <w:rPr>
                <w:rFonts w:hint="eastAsia"/>
                <w:color w:val="000000" w:themeColor="text1"/>
                <w:highlight w:val="none"/>
                <w:vertAlign w:val="sub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被吸附，Ar富集气（纯度60-80%）从塔顶输出，而后A塔压力降至0.3 MPa，部分气体转移至B塔，回收能量，A塔泄压至常压，排出吸附的O</w:t>
            </w:r>
            <w:r>
              <w:rPr>
                <w:rFonts w:hint="eastAsia"/>
                <w:color w:val="000000" w:themeColor="text1"/>
                <w:highlight w:val="none"/>
                <w:vertAlign w:val="sub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、N</w:t>
            </w:r>
            <w:r>
              <w:rPr>
                <w:rFonts w:hint="eastAsia"/>
                <w:color w:val="000000" w:themeColor="text1"/>
                <w:highlight w:val="none"/>
                <w:vertAlign w:val="sub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。这样两塔轮流进行，完成分离，连续输出氩气。在PSA产出的粗氩（80% Ar）进入二级吸附塔，采用碳分子筛（CMS）选择性吸附残留O</w:t>
            </w:r>
            <w:r>
              <w:rPr>
                <w:rFonts w:hint="eastAsia"/>
                <w:color w:val="000000" w:themeColor="text1"/>
                <w:highlight w:val="none"/>
                <w:vertAlign w:val="sub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，最终氩气纯度可达99.5%-99.9%。</w:t>
            </w:r>
          </w:p>
          <w:p w14:paraId="6B2D0DFF">
            <w:pPr>
              <w:pStyle w:val="2"/>
              <w:bidi w:val="0"/>
              <w:rPr>
                <w:rFonts w:hint="default"/>
                <w:color w:val="000000" w:themeColor="text1"/>
                <w:highlight w:val="none"/>
                <w:lang w:val="en-US" w:eastAsia="zh-CN"/>
                <w14:textFill>
                  <w14:solidFill>
                    <w14:schemeClr w14:val="tx1"/>
                  </w14:solidFill>
                </w14:textFill>
              </w:rPr>
            </w:pPr>
            <w:bookmarkStart w:id="102" w:name="_Toc28368"/>
            <w:bookmarkStart w:id="103" w:name="_Toc28678"/>
            <w:r>
              <w:rPr>
                <w:rFonts w:hint="default" w:ascii="Times New Roman" w:hAnsi="Times New Roman" w:cs="Times New Roman"/>
                <w:color w:val="000000" w:themeColor="text1"/>
                <w:highlight w:val="none"/>
                <w:lang w:val="en-US" w:eastAsia="zh-CN"/>
                <w14:textFill>
                  <w14:solidFill>
                    <w14:schemeClr w14:val="tx1"/>
                  </w14:solidFill>
                </w14:textFill>
              </w:rPr>
              <w:t>厂区平面布置</w:t>
            </w:r>
            <w:bookmarkEnd w:id="102"/>
            <w:bookmarkEnd w:id="103"/>
          </w:p>
          <w:p w14:paraId="58580E7E">
            <w:pP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按照产品生产工序流程和物料输送路径进行布置，在厂房内全过程形成一条方向和路径明确、合理迂回而减少地面交叉的主要生产物流线。厂区车间外道路为环状布置，以适应工艺生产特点及生产规模并满足消防要求。</w:t>
            </w:r>
          </w:p>
          <w:p w14:paraId="7E746747">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分两期建设，一期工程在3#车间设置单壁碳纳米管生产线、硅碳负极材料生产线、原料贮存仓库以及一般工业固体废物贮存间、危险废物贮存间；二期工程在3#车间设置单壁碳纳米管生产线、硅碳纳米材料生产线、原料仓库、成品仓库</w:t>
            </w:r>
            <w:r>
              <w:rPr>
                <w:rFonts w:hint="eastAsia"/>
                <w:color w:val="000000" w:themeColor="text1"/>
                <w:highlight w:val="none"/>
                <w14:textFill>
                  <w14:solidFill>
                    <w14:schemeClr w14:val="tx1"/>
                  </w14:solidFill>
                </w14:textFill>
              </w:rPr>
              <w:t>，设备布置按照生产工艺流程依次布设</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物料流向顺畅，符合防火、安全、卫生等有关规范，总体布局功能分区明确，便于生产的连续性。项目区域常年主导风向为东北风，其次为西南偏南风，本项目废气排气筒设置于1#车间和3#车间之间，办公、生活区相对排气筒位置，位于其侧风向，有利于减轻对办公、生活区产生的影响。</w:t>
            </w:r>
          </w:p>
          <w:p w14:paraId="5B8FA29F">
            <w:pP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因此，本项目平面布置基本合理。厂区平面布置图见附图3，管综图见附图4，车间平面布置图见附图5。</w:t>
            </w:r>
          </w:p>
          <w:p w14:paraId="27217597">
            <w:pPr>
              <w:pStyle w:val="2"/>
              <w:bidi w:val="0"/>
              <w:rPr>
                <w:rFonts w:hint="default"/>
                <w:color w:val="000000" w:themeColor="text1"/>
                <w:highlight w:val="none"/>
                <w:lang w:val="en-US" w:eastAsia="zh-CN"/>
                <w14:textFill>
                  <w14:solidFill>
                    <w14:schemeClr w14:val="tx1"/>
                  </w14:solidFill>
                </w14:textFill>
              </w:rPr>
            </w:pPr>
            <w:bookmarkStart w:id="104" w:name="_Toc8632"/>
            <w:bookmarkStart w:id="105" w:name="_Toc31164"/>
            <w:r>
              <w:rPr>
                <w:rFonts w:hint="default"/>
                <w:color w:val="000000" w:themeColor="text1"/>
                <w:highlight w:val="none"/>
                <w:lang w:val="en-US" w:eastAsia="zh-CN"/>
                <w14:textFill>
                  <w14:solidFill>
                    <w14:schemeClr w14:val="tx1"/>
                  </w14:solidFill>
                </w14:textFill>
              </w:rPr>
              <w:t>水平衡</w:t>
            </w:r>
            <w:bookmarkEnd w:id="104"/>
            <w:bookmarkEnd w:id="105"/>
          </w:p>
          <w:p w14:paraId="1832AA9E">
            <w:pPr>
              <w:pStyle w:val="3"/>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一期工程水平衡</w:t>
            </w:r>
          </w:p>
          <w:p w14:paraId="27F78235">
            <w:pP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（1）职工生活用水</w:t>
            </w:r>
          </w:p>
          <w:p w14:paraId="0D68239C">
            <w:pPr>
              <w:rPr>
                <w:rFonts w:hint="default" w:ascii="Times New Roman" w:hAnsi="Times New Roman" w:cs="Times New Roman"/>
                <w:color w:val="000000" w:themeColor="text1"/>
                <w:sz w:val="24"/>
                <w:highlight w:val="none"/>
                <w:u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一期工程拟新增职工人数为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5人，其中3人在厂食宿，2人不在厂食宿，年生产300天，</w:t>
            </w:r>
            <w:r>
              <w:rPr>
                <w:rFonts w:hint="default" w:ascii="Times New Roman" w:hAnsi="Times New Roman" w:cs="Times New Roman"/>
                <w:color w:val="000000" w:themeColor="text1"/>
                <w:highlight w:val="none"/>
                <w:lang w:val="en-US" w:eastAsia="zh-CN"/>
                <w14:textFill>
                  <w14:solidFill>
                    <w14:schemeClr w14:val="tx1"/>
                  </w14:solidFill>
                </w14:textFill>
              </w:rPr>
              <w:t>参照《建筑给水排水设计标准》（GB 50015-2019），</w:t>
            </w:r>
            <w:r>
              <w:rPr>
                <w:color w:val="000000" w:themeColor="text1"/>
                <w:highlight w:val="none"/>
                <w14:textFill>
                  <w14:solidFill>
                    <w14:schemeClr w14:val="tx1"/>
                  </w14:solidFill>
                </w14:textFill>
              </w:rPr>
              <w:t>不住厂职工的生活用水定额按</w:t>
            </w:r>
            <w:r>
              <w:rPr>
                <w:rFonts w:hint="eastAsia"/>
                <w:color w:val="000000" w:themeColor="text1"/>
                <w:highlight w:val="none"/>
                <w14:textFill>
                  <w14:solidFill>
                    <w14:schemeClr w14:val="tx1"/>
                  </w14:solidFill>
                </w14:textFill>
              </w:rPr>
              <w:t>50</w:t>
            </w:r>
            <w:r>
              <w:rPr>
                <w:color w:val="000000" w:themeColor="text1"/>
                <w:highlight w:val="none"/>
                <w14:textFill>
                  <w14:solidFill>
                    <w14:schemeClr w14:val="tx1"/>
                  </w14:solidFill>
                </w14:textFill>
              </w:rPr>
              <w:t xml:space="preserve"> L/（p·d）</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住厂职工</w:t>
            </w:r>
            <w:r>
              <w:rPr>
                <w:color w:val="000000" w:themeColor="text1"/>
                <w:highlight w:val="none"/>
                <w14:textFill>
                  <w14:solidFill>
                    <w14:schemeClr w14:val="tx1"/>
                  </w14:solidFill>
                </w14:textFill>
              </w:rPr>
              <w:t>的生活用水定额按</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50</w:t>
            </w:r>
            <w:r>
              <w:rPr>
                <w:color w:val="000000" w:themeColor="text1"/>
                <w:highlight w:val="none"/>
                <w14:textFill>
                  <w14:solidFill>
                    <w14:schemeClr w14:val="tx1"/>
                  </w14:solidFill>
                </w14:textFill>
              </w:rPr>
              <w:t xml:space="preserve"> L/（p·d）</w:t>
            </w:r>
            <w:r>
              <w:rPr>
                <w:rFonts w:hint="default" w:ascii="Times New Roman" w:hAnsi="Times New Roman" w:cs="Times New Roman"/>
                <w:color w:val="000000" w:themeColor="text1"/>
                <w:sz w:val="24"/>
                <w:highlight w:val="none"/>
                <w:u w:val="none"/>
                <w:lang w:eastAsia="zh-CN"/>
                <w14:textFill>
                  <w14:solidFill>
                    <w14:schemeClr w14:val="tx1"/>
                  </w14:solidFill>
                </w14:textFill>
              </w:rPr>
              <w:t>，则项目</w:t>
            </w:r>
            <w:r>
              <w:rPr>
                <w:rFonts w:hint="default" w:ascii="Times New Roman" w:hAnsi="Times New Roman" w:cs="Times New Roman"/>
                <w:color w:val="000000" w:themeColor="text1"/>
                <w:sz w:val="24"/>
                <w:highlight w:val="none"/>
                <w:u w:val="none"/>
                <w:lang w:val="en-US" w:eastAsia="zh-CN"/>
                <w14:textFill>
                  <w14:solidFill>
                    <w14:schemeClr w14:val="tx1"/>
                  </w14:solidFill>
                </w14:textFill>
              </w:rPr>
              <w:t>新增生活</w:t>
            </w:r>
            <w:r>
              <w:rPr>
                <w:rFonts w:hint="default" w:ascii="Times New Roman" w:hAnsi="Times New Roman" w:cs="Times New Roman"/>
                <w:color w:val="000000" w:themeColor="text1"/>
                <w:sz w:val="24"/>
                <w:highlight w:val="none"/>
                <w:u w:val="none"/>
                <w:lang w:eastAsia="zh-CN"/>
                <w14:textFill>
                  <w14:solidFill>
                    <w14:schemeClr w14:val="tx1"/>
                  </w14:solidFill>
                </w14:textFill>
              </w:rPr>
              <w:t>用水量为</w:t>
            </w:r>
            <w:r>
              <w:rPr>
                <w:rFonts w:hint="eastAsia" w:cs="Times New Roman"/>
                <w:color w:val="000000" w:themeColor="text1"/>
                <w:sz w:val="24"/>
                <w:highlight w:val="none"/>
                <w:u w:val="none"/>
                <w:lang w:val="en-US" w:eastAsia="zh-CN"/>
                <w14:textFill>
                  <w14:solidFill>
                    <w14:schemeClr w14:val="tx1"/>
                  </w14:solidFill>
                </w14:textFill>
              </w:rPr>
              <w:t>0.55</w:t>
            </w:r>
            <w:r>
              <w:rPr>
                <w:rFonts w:hint="default" w:ascii="Times New Roman" w:hAnsi="Times New Roman" w:cs="Times New Roman"/>
                <w:color w:val="000000" w:themeColor="text1"/>
                <w:sz w:val="24"/>
                <w:highlight w:val="none"/>
                <w:u w:val="none"/>
                <w:lang w:val="en-US" w:eastAsia="zh-CN"/>
                <w14:textFill>
                  <w14:solidFill>
                    <w14:schemeClr w14:val="tx1"/>
                  </w14:solidFill>
                </w14:textFill>
              </w:rPr>
              <w:t xml:space="preserve"> t/d（</w:t>
            </w:r>
            <w:r>
              <w:rPr>
                <w:rFonts w:hint="eastAsia" w:cs="Times New Roman"/>
                <w:color w:val="000000" w:themeColor="text1"/>
                <w:sz w:val="24"/>
                <w:highlight w:val="none"/>
                <w:u w:val="none"/>
                <w:lang w:val="en-US" w:eastAsia="zh-CN"/>
                <w14:textFill>
                  <w14:solidFill>
                    <w14:schemeClr w14:val="tx1"/>
                  </w14:solidFill>
                </w14:textFill>
              </w:rPr>
              <w:t>165.00</w:t>
            </w:r>
            <w:r>
              <w:rPr>
                <w:rFonts w:hint="default" w:ascii="Times New Roman" w:hAnsi="Times New Roman" w:cs="Times New Roman"/>
                <w:color w:val="000000" w:themeColor="text1"/>
                <w:sz w:val="24"/>
                <w:highlight w:val="none"/>
                <w:u w:val="none"/>
                <w:lang w:val="en-US" w:eastAsia="zh-CN"/>
                <w14:textFill>
                  <w14:solidFill>
                    <w14:schemeClr w14:val="tx1"/>
                  </w14:solidFill>
                </w14:textFill>
              </w:rPr>
              <w:t xml:space="preserve"> t/a），生活污水排放系数取0.8，则生活污水排放量为</w:t>
            </w:r>
            <w:r>
              <w:rPr>
                <w:rFonts w:hint="eastAsia" w:ascii="Times New Roman" w:hAnsi="Times New Roman" w:cs="Times New Roman"/>
                <w:color w:val="000000" w:themeColor="text1"/>
                <w:sz w:val="24"/>
                <w:highlight w:val="none"/>
                <w:u w:val="none"/>
                <w:lang w:val="en-US" w:eastAsia="zh-CN"/>
                <w14:textFill>
                  <w14:solidFill>
                    <w14:schemeClr w14:val="tx1"/>
                  </w14:solidFill>
                </w14:textFill>
              </w:rPr>
              <w:t>0.44</w:t>
            </w:r>
            <w:r>
              <w:rPr>
                <w:rFonts w:hint="default" w:ascii="Times New Roman" w:hAnsi="Times New Roman" w:cs="Times New Roman"/>
                <w:color w:val="000000" w:themeColor="text1"/>
                <w:sz w:val="24"/>
                <w:highlight w:val="none"/>
                <w:u w:val="none"/>
                <w:lang w:val="en-US" w:eastAsia="zh-CN"/>
                <w14:textFill>
                  <w14:solidFill>
                    <w14:schemeClr w14:val="tx1"/>
                  </w14:solidFill>
                </w14:textFill>
              </w:rPr>
              <w:t xml:space="preserve"> t/d（</w:t>
            </w:r>
            <w:r>
              <w:rPr>
                <w:rFonts w:hint="eastAsia" w:cs="Times New Roman"/>
                <w:color w:val="000000" w:themeColor="text1"/>
                <w:sz w:val="24"/>
                <w:highlight w:val="none"/>
                <w:u w:val="none"/>
                <w:lang w:val="en-US" w:eastAsia="zh-CN"/>
                <w14:textFill>
                  <w14:solidFill>
                    <w14:schemeClr w14:val="tx1"/>
                  </w14:solidFill>
                </w14:textFill>
              </w:rPr>
              <w:t>132</w:t>
            </w:r>
            <w:r>
              <w:rPr>
                <w:rFonts w:hint="default" w:ascii="Times New Roman" w:hAnsi="Times New Roman" w:cs="Times New Roman"/>
                <w:color w:val="000000" w:themeColor="text1"/>
                <w:sz w:val="24"/>
                <w:highlight w:val="none"/>
                <w:u w:val="none"/>
                <w:lang w:val="en-US" w:eastAsia="zh-CN"/>
                <w14:textFill>
                  <w14:solidFill>
                    <w14:schemeClr w14:val="tx1"/>
                  </w14:solidFill>
                </w14:textFill>
              </w:rPr>
              <w:t xml:space="preserve"> t/a）</w:t>
            </w:r>
            <w:r>
              <w:rPr>
                <w:rFonts w:hint="eastAsia" w:ascii="Times New Roman" w:hAnsi="Times New Roman" w:cs="Times New Roman"/>
                <w:color w:val="000000" w:themeColor="text1"/>
                <w:sz w:val="24"/>
                <w:highlight w:val="none"/>
                <w:u w:val="none"/>
                <w:lang w:val="en-US" w:eastAsia="zh-CN"/>
                <w14:textFill>
                  <w14:solidFill>
                    <w14:schemeClr w14:val="tx1"/>
                  </w14:solidFill>
                </w14:textFill>
              </w:rPr>
              <w:t>，生活污水依托出租方化粪池处理后排入园区污水管网，最终进入</w:t>
            </w:r>
            <w:r>
              <w:rPr>
                <w:rFonts w:hint="eastAsia"/>
                <w:color w:val="000000" w:themeColor="text1"/>
                <w:highlight w:val="none"/>
                <w:lang w:val="en-US" w:eastAsia="zh-CN"/>
                <w14:textFill>
                  <w14:solidFill>
                    <w14:schemeClr w14:val="tx1"/>
                  </w14:solidFill>
                </w14:textFill>
              </w:rPr>
              <w:t>永安市贡川产业园水东工业集中区污水处理厂深度处理</w:t>
            </w:r>
          </w:p>
          <w:p w14:paraId="2B9FEBAF">
            <w:pP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（2）循环冷却系统用水</w:t>
            </w:r>
          </w:p>
          <w:p w14:paraId="70593397">
            <w:pPr>
              <w:rPr>
                <w:rFonts w:hint="default"/>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根据建设单位提供资料，项目拟建设有1台20 t/h的循环冷却塔。在日常运行过程中，冷却水循环使用，不排放，循环过程中少量的水会因蒸发、风吹等因素损耗，需定期补充新鲜水。补充水量约占循环水量的1%，即新鲜水补充量为4.80 t/d（1440 t/a）。</w:t>
            </w:r>
          </w:p>
          <w:p w14:paraId="73A0FE6C">
            <w:pP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（3）检验室用水</w:t>
            </w:r>
          </w:p>
          <w:p w14:paraId="7D9D9A98">
            <w:pPr>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项目检验室使用的纯水均为外购，根据建设单位提供资料，用于配制标准溶液的纯水量约为0.001 t/d（0.30 t/a），配置的标准溶液中因含无机物、酸等物质，最终作为危险废物委托有危险废物处置资质的单位处置</w:t>
            </w:r>
            <w:r>
              <w:rPr>
                <w:rFonts w:hint="eastAsia"/>
                <w:color w:val="000000" w:themeColor="text1"/>
                <w:szCs w:val="20"/>
                <w:highlight w:val="none"/>
                <w14:textFill>
                  <w14:solidFill>
                    <w14:schemeClr w14:val="tx1"/>
                  </w14:solidFill>
                </w14:textFill>
              </w:rPr>
              <w:t>。</w:t>
            </w:r>
            <w:r>
              <w:rPr>
                <w:rFonts w:hint="eastAsia"/>
                <w:color w:val="000000" w:themeColor="text1"/>
                <w:szCs w:val="20"/>
                <w:highlight w:val="none"/>
                <w:lang w:val="en-US" w:eastAsia="zh-CN"/>
                <w14:textFill>
                  <w14:solidFill>
                    <w14:schemeClr w14:val="tx1"/>
                  </w14:solidFill>
                </w14:textFill>
              </w:rPr>
              <w:t>检验仪器及检验器皿使用完毕后续进行清洗，一般先用自来水多次冲洗，最后再用纯水润洗3次，根据建设单位提供资料，检验器材清洗新鲜水用量约为0.01 t/d（3.00 t/a），纯水润洗用水量约为0.003 t/d（0.90 t/a），清洗废水产生系数取0.8，则清洗废水产生量为0.0104 t/d（3.12 t/a），清洗废水全部作为危险废物委托有危险废物处置资质的单位处置。</w:t>
            </w:r>
          </w:p>
          <w:p w14:paraId="7CBDEF73">
            <w:pPr>
              <w:pStyle w:val="3"/>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二期工程水平衡</w:t>
            </w:r>
          </w:p>
          <w:p w14:paraId="278D6E4E">
            <w:pP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（1）职工生活用水</w:t>
            </w:r>
          </w:p>
          <w:p w14:paraId="4085BE55">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一期工程拟新增职工人数为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10人，其中5人在厂食宿，5人不在厂食宿，年生产300天，</w:t>
            </w:r>
            <w:r>
              <w:rPr>
                <w:rFonts w:hint="default" w:ascii="Times New Roman" w:hAnsi="Times New Roman" w:cs="Times New Roman"/>
                <w:color w:val="000000" w:themeColor="text1"/>
                <w:highlight w:val="none"/>
                <w:lang w:val="en-US" w:eastAsia="zh-CN"/>
                <w14:textFill>
                  <w14:solidFill>
                    <w14:schemeClr w14:val="tx1"/>
                  </w14:solidFill>
                </w14:textFill>
              </w:rPr>
              <w:t>参照《建筑给水排水设计标准》（GB 50015-2019），</w:t>
            </w:r>
            <w:r>
              <w:rPr>
                <w:color w:val="000000" w:themeColor="text1"/>
                <w:highlight w:val="none"/>
                <w14:textFill>
                  <w14:solidFill>
                    <w14:schemeClr w14:val="tx1"/>
                  </w14:solidFill>
                </w14:textFill>
              </w:rPr>
              <w:t>不住厂职工的生活用水定额按</w:t>
            </w:r>
            <w:r>
              <w:rPr>
                <w:rFonts w:hint="eastAsia"/>
                <w:color w:val="000000" w:themeColor="text1"/>
                <w:highlight w:val="none"/>
                <w14:textFill>
                  <w14:solidFill>
                    <w14:schemeClr w14:val="tx1"/>
                  </w14:solidFill>
                </w14:textFill>
              </w:rPr>
              <w:t>50</w:t>
            </w:r>
            <w:r>
              <w:rPr>
                <w:color w:val="000000" w:themeColor="text1"/>
                <w:highlight w:val="none"/>
                <w14:textFill>
                  <w14:solidFill>
                    <w14:schemeClr w14:val="tx1"/>
                  </w14:solidFill>
                </w14:textFill>
              </w:rPr>
              <w:t xml:space="preserve"> L/（p·d）</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住厂职工</w:t>
            </w:r>
            <w:r>
              <w:rPr>
                <w:color w:val="000000" w:themeColor="text1"/>
                <w:highlight w:val="none"/>
                <w14:textFill>
                  <w14:solidFill>
                    <w14:schemeClr w14:val="tx1"/>
                  </w14:solidFill>
                </w14:textFill>
              </w:rPr>
              <w:t>的生活用水定额按</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50</w:t>
            </w:r>
            <w:r>
              <w:rPr>
                <w:color w:val="000000" w:themeColor="text1"/>
                <w:highlight w:val="none"/>
                <w14:textFill>
                  <w14:solidFill>
                    <w14:schemeClr w14:val="tx1"/>
                  </w14:solidFill>
                </w14:textFill>
              </w:rPr>
              <w:t xml:space="preserve"> L/（p·d）</w:t>
            </w:r>
            <w:r>
              <w:rPr>
                <w:rFonts w:hint="default" w:ascii="Times New Roman" w:hAnsi="Times New Roman" w:cs="Times New Roman"/>
                <w:color w:val="000000" w:themeColor="text1"/>
                <w:sz w:val="24"/>
                <w:highlight w:val="none"/>
                <w:u w:val="none"/>
                <w:lang w:eastAsia="zh-CN"/>
                <w14:textFill>
                  <w14:solidFill>
                    <w14:schemeClr w14:val="tx1"/>
                  </w14:solidFill>
                </w14:textFill>
              </w:rPr>
              <w:t>，则项目</w:t>
            </w:r>
            <w:r>
              <w:rPr>
                <w:rFonts w:hint="default" w:ascii="Times New Roman" w:hAnsi="Times New Roman" w:cs="Times New Roman"/>
                <w:color w:val="000000" w:themeColor="text1"/>
                <w:sz w:val="24"/>
                <w:highlight w:val="none"/>
                <w:u w:val="none"/>
                <w:lang w:val="en-US" w:eastAsia="zh-CN"/>
                <w14:textFill>
                  <w14:solidFill>
                    <w14:schemeClr w14:val="tx1"/>
                  </w14:solidFill>
                </w14:textFill>
              </w:rPr>
              <w:t>新增生活</w:t>
            </w:r>
            <w:r>
              <w:rPr>
                <w:rFonts w:hint="default" w:ascii="Times New Roman" w:hAnsi="Times New Roman" w:cs="Times New Roman"/>
                <w:color w:val="000000" w:themeColor="text1"/>
                <w:sz w:val="24"/>
                <w:highlight w:val="none"/>
                <w:u w:val="none"/>
                <w:lang w:eastAsia="zh-CN"/>
                <w14:textFill>
                  <w14:solidFill>
                    <w14:schemeClr w14:val="tx1"/>
                  </w14:solidFill>
                </w14:textFill>
              </w:rPr>
              <w:t>用水量为</w:t>
            </w:r>
            <w:r>
              <w:rPr>
                <w:rFonts w:hint="eastAsia" w:cs="Times New Roman"/>
                <w:color w:val="000000" w:themeColor="text1"/>
                <w:sz w:val="24"/>
                <w:highlight w:val="none"/>
                <w:u w:val="none"/>
                <w:lang w:val="en-US" w:eastAsia="zh-CN"/>
                <w14:textFill>
                  <w14:solidFill>
                    <w14:schemeClr w14:val="tx1"/>
                  </w14:solidFill>
                </w14:textFill>
              </w:rPr>
              <w:t>1.00</w:t>
            </w:r>
            <w:r>
              <w:rPr>
                <w:rFonts w:hint="default" w:ascii="Times New Roman" w:hAnsi="Times New Roman" w:cs="Times New Roman"/>
                <w:color w:val="000000" w:themeColor="text1"/>
                <w:sz w:val="24"/>
                <w:highlight w:val="none"/>
                <w:u w:val="none"/>
                <w:lang w:val="en-US" w:eastAsia="zh-CN"/>
                <w14:textFill>
                  <w14:solidFill>
                    <w14:schemeClr w14:val="tx1"/>
                  </w14:solidFill>
                </w14:textFill>
              </w:rPr>
              <w:t xml:space="preserve"> t/d（</w:t>
            </w:r>
            <w:r>
              <w:rPr>
                <w:rFonts w:hint="eastAsia" w:cs="Times New Roman"/>
                <w:color w:val="000000" w:themeColor="text1"/>
                <w:sz w:val="24"/>
                <w:highlight w:val="none"/>
                <w:u w:val="none"/>
                <w:lang w:val="en-US" w:eastAsia="zh-CN"/>
                <w14:textFill>
                  <w14:solidFill>
                    <w14:schemeClr w14:val="tx1"/>
                  </w14:solidFill>
                </w14:textFill>
              </w:rPr>
              <w:t>300</w:t>
            </w:r>
            <w:r>
              <w:rPr>
                <w:rFonts w:hint="default" w:ascii="Times New Roman" w:hAnsi="Times New Roman" w:cs="Times New Roman"/>
                <w:color w:val="000000" w:themeColor="text1"/>
                <w:sz w:val="24"/>
                <w:highlight w:val="none"/>
                <w:u w:val="none"/>
                <w:lang w:val="en-US" w:eastAsia="zh-CN"/>
                <w14:textFill>
                  <w14:solidFill>
                    <w14:schemeClr w14:val="tx1"/>
                  </w14:solidFill>
                </w14:textFill>
              </w:rPr>
              <w:t xml:space="preserve"> t/a），生活污水排放系数取0.8，则生活污水排放量为</w:t>
            </w:r>
            <w:r>
              <w:rPr>
                <w:rFonts w:hint="eastAsia" w:cs="Times New Roman"/>
                <w:color w:val="000000" w:themeColor="text1"/>
                <w:sz w:val="24"/>
                <w:highlight w:val="none"/>
                <w:u w:val="none"/>
                <w:lang w:val="en-US" w:eastAsia="zh-CN"/>
                <w14:textFill>
                  <w14:solidFill>
                    <w14:schemeClr w14:val="tx1"/>
                  </w14:solidFill>
                </w14:textFill>
              </w:rPr>
              <w:t>0.80</w:t>
            </w:r>
            <w:r>
              <w:rPr>
                <w:rFonts w:hint="default" w:ascii="Times New Roman" w:hAnsi="Times New Roman" w:cs="Times New Roman"/>
                <w:color w:val="000000" w:themeColor="text1"/>
                <w:sz w:val="24"/>
                <w:highlight w:val="none"/>
                <w:u w:val="none"/>
                <w:lang w:val="en-US" w:eastAsia="zh-CN"/>
                <w14:textFill>
                  <w14:solidFill>
                    <w14:schemeClr w14:val="tx1"/>
                  </w14:solidFill>
                </w14:textFill>
              </w:rPr>
              <w:t xml:space="preserve"> t/d（</w:t>
            </w:r>
            <w:r>
              <w:rPr>
                <w:rFonts w:hint="eastAsia" w:cs="Times New Roman"/>
                <w:color w:val="000000" w:themeColor="text1"/>
                <w:sz w:val="24"/>
                <w:highlight w:val="none"/>
                <w:u w:val="none"/>
                <w:lang w:val="en-US" w:eastAsia="zh-CN"/>
                <w14:textFill>
                  <w14:solidFill>
                    <w14:schemeClr w14:val="tx1"/>
                  </w14:solidFill>
                </w14:textFill>
              </w:rPr>
              <w:t>240</w:t>
            </w:r>
            <w:r>
              <w:rPr>
                <w:rFonts w:hint="default" w:ascii="Times New Roman" w:hAnsi="Times New Roman" w:cs="Times New Roman"/>
                <w:color w:val="000000" w:themeColor="text1"/>
                <w:sz w:val="24"/>
                <w:highlight w:val="none"/>
                <w:u w:val="none"/>
                <w:lang w:val="en-US" w:eastAsia="zh-CN"/>
                <w14:textFill>
                  <w14:solidFill>
                    <w14:schemeClr w14:val="tx1"/>
                  </w14:solidFill>
                </w14:textFill>
              </w:rPr>
              <w:t xml:space="preserve"> t/a）</w:t>
            </w:r>
            <w:r>
              <w:rPr>
                <w:rFonts w:hint="eastAsia" w:ascii="Times New Roman" w:hAnsi="Times New Roman" w:cs="Times New Roman"/>
                <w:color w:val="000000" w:themeColor="text1"/>
                <w:sz w:val="24"/>
                <w:highlight w:val="none"/>
                <w:u w:val="none"/>
                <w:lang w:val="en-US" w:eastAsia="zh-CN"/>
                <w14:textFill>
                  <w14:solidFill>
                    <w14:schemeClr w14:val="tx1"/>
                  </w14:solidFill>
                </w14:textFill>
              </w:rPr>
              <w:t>，生活污水依托出租方化粪池处理后排入园区污水管网，最终进入</w:t>
            </w:r>
            <w:r>
              <w:rPr>
                <w:rFonts w:hint="eastAsia"/>
                <w:color w:val="000000" w:themeColor="text1"/>
                <w:highlight w:val="none"/>
                <w:lang w:val="en-US" w:eastAsia="zh-CN"/>
                <w14:textFill>
                  <w14:solidFill>
                    <w14:schemeClr w14:val="tx1"/>
                  </w14:solidFill>
                </w14:textFill>
              </w:rPr>
              <w:t>永安市贡川产业园水东工业集中区污水处理厂深度处理。</w:t>
            </w:r>
          </w:p>
          <w:p w14:paraId="102BB826">
            <w:pP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（2）循环冷却系统用水</w:t>
            </w:r>
          </w:p>
          <w:p w14:paraId="3922553D">
            <w:pP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根据建设单位提供资料，项目拟建设有1台60 t/h的循环冷却塔。在日常运行过程中，冷却水循环使用，不排放，循环过程中少量的水会因蒸发、风吹等因素损耗，需定期补充新鲜水。补充水量约占循环水量的1%，即新鲜水补充量为14.40 t/d（4320 t/a）。</w:t>
            </w:r>
          </w:p>
          <w:p w14:paraId="006E5A71">
            <w:pP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（3）检验室用水</w:t>
            </w:r>
          </w:p>
          <w:p w14:paraId="5EC25CDA">
            <w:pPr>
              <w:rPr>
                <w:rFonts w:hint="eastAsia"/>
                <w:color w:val="000000" w:themeColor="text1"/>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项目检验室使用的纯水均为外购，根据建设单位提供资料，用于配制标准溶液的纯水量约为0.003 t/d（0.90 t/a），配置的标准溶液中因含无机物、酸等物质，最终作为危险废物委托有危险废物处置资质的单位处置</w:t>
            </w:r>
            <w:r>
              <w:rPr>
                <w:rFonts w:hint="eastAsia"/>
                <w:color w:val="000000" w:themeColor="text1"/>
                <w:szCs w:val="20"/>
                <w:highlight w:val="none"/>
                <w14:textFill>
                  <w14:solidFill>
                    <w14:schemeClr w14:val="tx1"/>
                  </w14:solidFill>
                </w14:textFill>
              </w:rPr>
              <w:t>。</w:t>
            </w:r>
            <w:r>
              <w:rPr>
                <w:rFonts w:hint="eastAsia"/>
                <w:color w:val="000000" w:themeColor="text1"/>
                <w:szCs w:val="20"/>
                <w:highlight w:val="none"/>
                <w:lang w:val="en-US" w:eastAsia="zh-CN"/>
                <w14:textFill>
                  <w14:solidFill>
                    <w14:schemeClr w14:val="tx1"/>
                  </w14:solidFill>
                </w14:textFill>
              </w:rPr>
              <w:t>检验仪器及检验器皿使用完毕后续进行清洗，一般先用自来水多次冲洗，最后再用纯水润洗3次，根据建设单位提供资料，检验器材清洗新鲜水用量约为0.03 t/d（9.00 t/a），纯水润洗用水量约为0.007 t/d（2.10 t/a），清洗废水产生系数取0.8，则清洗废水产生量为0.0296 t/d（8.88 t/a），清洗废水全部作为危险废物委托有危险废物处置资质的单位处置。</w:t>
            </w:r>
          </w:p>
          <w:p w14:paraId="7F24C76A">
            <w:pPr>
              <w:rPr>
                <w:rFonts w:hint="eastAsia" w:eastAsia="宋体" w:cs="Times New Roman"/>
                <w:color w:val="000000" w:themeColor="text1"/>
                <w:kern w:val="0"/>
                <w:sz w:val="24"/>
                <w:szCs w:val="24"/>
                <w:highlight w:val="none"/>
                <w:lang w:val="en-US" w:eastAsia="zh-CN" w:bidi="ar"/>
                <w14:textFill>
                  <w14:solidFill>
                    <w14:schemeClr w14:val="tx1"/>
                  </w14:solidFill>
                </w14:textFill>
              </w:rPr>
            </w:pPr>
            <w:r>
              <w:rPr>
                <w:rFonts w:hint="eastAsia" w:eastAsia="宋体" w:cs="Times New Roman"/>
                <w:color w:val="000000" w:themeColor="text1"/>
                <w:kern w:val="0"/>
                <w:sz w:val="24"/>
                <w:szCs w:val="24"/>
                <w:highlight w:val="none"/>
                <w:lang w:val="en-US" w:eastAsia="zh-CN" w:bidi="ar"/>
                <w14:textFill>
                  <w14:solidFill>
                    <w14:schemeClr w14:val="tx1"/>
                  </w14:solidFill>
                </w14:textFill>
              </w:rPr>
              <w:t>本项目一期工程水平衡图详见</w:t>
            </w:r>
            <w:r>
              <w:rPr>
                <w:rFonts w:hint="eastAsia" w:eastAsia="宋体" w:cs="Times New Roman"/>
                <w:color w:val="000000" w:themeColor="text1"/>
                <w:kern w:val="0"/>
                <w:sz w:val="24"/>
                <w:szCs w:val="24"/>
                <w:highlight w:val="none"/>
                <w:lang w:val="en-US" w:eastAsia="zh-CN" w:bidi="ar"/>
                <w14:textFill>
                  <w14:solidFill>
                    <w14:schemeClr w14:val="tx1"/>
                  </w14:solidFill>
                </w14:textFill>
              </w:rPr>
              <w:fldChar w:fldCharType="begin"/>
            </w:r>
            <w:r>
              <w:rPr>
                <w:rFonts w:hint="eastAsia" w:eastAsia="宋体" w:cs="Times New Roman"/>
                <w:color w:val="000000" w:themeColor="text1"/>
                <w:kern w:val="0"/>
                <w:sz w:val="24"/>
                <w:szCs w:val="24"/>
                <w:highlight w:val="none"/>
                <w:lang w:val="en-US" w:eastAsia="zh-CN" w:bidi="ar"/>
                <w14:textFill>
                  <w14:solidFill>
                    <w14:schemeClr w14:val="tx1"/>
                  </w14:solidFill>
                </w14:textFill>
              </w:rPr>
              <w:instrText xml:space="preserve"> REF _Ref7268 \n \h </w:instrText>
            </w:r>
            <w:r>
              <w:rPr>
                <w:rFonts w:hint="eastAsia" w:eastAsia="宋体" w:cs="Times New Roman"/>
                <w:color w:val="000000" w:themeColor="text1"/>
                <w:kern w:val="0"/>
                <w:sz w:val="24"/>
                <w:szCs w:val="24"/>
                <w:highlight w:val="none"/>
                <w:lang w:val="en-US" w:eastAsia="zh-CN" w:bidi="ar"/>
                <w14:textFill>
                  <w14:solidFill>
                    <w14:schemeClr w14:val="tx1"/>
                  </w14:solidFill>
                </w14:textFill>
              </w:rPr>
              <w:fldChar w:fldCharType="separate"/>
            </w:r>
            <w:r>
              <w:rPr>
                <w:rFonts w:hint="eastAsia" w:eastAsia="宋体" w:cs="Times New Roman"/>
                <w:color w:val="000000" w:themeColor="text1"/>
                <w:kern w:val="0"/>
                <w:sz w:val="24"/>
                <w:szCs w:val="24"/>
                <w:highlight w:val="none"/>
                <w:lang w:val="en-US" w:eastAsia="zh-CN" w:bidi="ar"/>
                <w14:textFill>
                  <w14:solidFill>
                    <w14:schemeClr w14:val="tx1"/>
                  </w14:solidFill>
                </w14:textFill>
              </w:rPr>
              <w:t>图2.7-1</w:t>
            </w:r>
            <w:r>
              <w:rPr>
                <w:rFonts w:hint="eastAsia" w:eastAsia="宋体" w:cs="Times New Roman"/>
                <w:color w:val="000000" w:themeColor="text1"/>
                <w:kern w:val="0"/>
                <w:sz w:val="24"/>
                <w:szCs w:val="24"/>
                <w:highlight w:val="none"/>
                <w:lang w:val="en-US" w:eastAsia="zh-CN" w:bidi="ar"/>
                <w14:textFill>
                  <w14:solidFill>
                    <w14:schemeClr w14:val="tx1"/>
                  </w14:solidFill>
                </w14:textFill>
              </w:rPr>
              <w:fldChar w:fldCharType="end"/>
            </w:r>
            <w:r>
              <w:rPr>
                <w:rFonts w:hint="eastAsia" w:eastAsia="宋体" w:cs="Times New Roman"/>
                <w:color w:val="000000" w:themeColor="text1"/>
                <w:kern w:val="0"/>
                <w:sz w:val="24"/>
                <w:szCs w:val="24"/>
                <w:highlight w:val="none"/>
                <w:lang w:val="en-US" w:eastAsia="zh-CN" w:bidi="ar"/>
                <w14:textFill>
                  <w14:solidFill>
                    <w14:schemeClr w14:val="tx1"/>
                  </w14:solidFill>
                </w14:textFill>
              </w:rPr>
              <w:t>，二期工程水平衡图详见</w:t>
            </w:r>
            <w:r>
              <w:rPr>
                <w:rFonts w:hint="eastAsia" w:eastAsia="宋体" w:cs="Times New Roman"/>
                <w:color w:val="000000" w:themeColor="text1"/>
                <w:kern w:val="0"/>
                <w:sz w:val="24"/>
                <w:szCs w:val="24"/>
                <w:highlight w:val="none"/>
                <w:lang w:val="en-US" w:eastAsia="zh-CN" w:bidi="ar"/>
                <w14:textFill>
                  <w14:solidFill>
                    <w14:schemeClr w14:val="tx1"/>
                  </w14:solidFill>
                </w14:textFill>
              </w:rPr>
              <w:fldChar w:fldCharType="begin"/>
            </w:r>
            <w:r>
              <w:rPr>
                <w:rFonts w:hint="eastAsia" w:eastAsia="宋体" w:cs="Times New Roman"/>
                <w:color w:val="000000" w:themeColor="text1"/>
                <w:kern w:val="0"/>
                <w:sz w:val="24"/>
                <w:szCs w:val="24"/>
                <w:highlight w:val="none"/>
                <w:lang w:val="en-US" w:eastAsia="zh-CN" w:bidi="ar"/>
                <w14:textFill>
                  <w14:solidFill>
                    <w14:schemeClr w14:val="tx1"/>
                  </w14:solidFill>
                </w14:textFill>
              </w:rPr>
              <w:instrText xml:space="preserve"> REF _Ref18448 \n \h </w:instrText>
            </w:r>
            <w:r>
              <w:rPr>
                <w:rFonts w:hint="eastAsia" w:eastAsia="宋体" w:cs="Times New Roman"/>
                <w:color w:val="000000" w:themeColor="text1"/>
                <w:kern w:val="0"/>
                <w:sz w:val="24"/>
                <w:szCs w:val="24"/>
                <w:highlight w:val="none"/>
                <w:lang w:val="en-US" w:eastAsia="zh-CN" w:bidi="ar"/>
                <w14:textFill>
                  <w14:solidFill>
                    <w14:schemeClr w14:val="tx1"/>
                  </w14:solidFill>
                </w14:textFill>
              </w:rPr>
              <w:fldChar w:fldCharType="separate"/>
            </w:r>
            <w:r>
              <w:rPr>
                <w:rFonts w:hint="eastAsia" w:eastAsia="宋体" w:cs="Times New Roman"/>
                <w:color w:val="000000" w:themeColor="text1"/>
                <w:kern w:val="0"/>
                <w:sz w:val="24"/>
                <w:szCs w:val="24"/>
                <w:highlight w:val="none"/>
                <w:lang w:val="en-US" w:eastAsia="zh-CN" w:bidi="ar"/>
                <w14:textFill>
                  <w14:solidFill>
                    <w14:schemeClr w14:val="tx1"/>
                  </w14:solidFill>
                </w14:textFill>
              </w:rPr>
              <w:t>图2.7-2</w:t>
            </w:r>
            <w:r>
              <w:rPr>
                <w:rFonts w:hint="eastAsia" w:eastAsia="宋体" w:cs="Times New Roman"/>
                <w:color w:val="000000" w:themeColor="text1"/>
                <w:kern w:val="0"/>
                <w:sz w:val="24"/>
                <w:szCs w:val="24"/>
                <w:highlight w:val="none"/>
                <w:lang w:val="en-US" w:eastAsia="zh-CN" w:bidi="ar"/>
                <w14:textFill>
                  <w14:solidFill>
                    <w14:schemeClr w14:val="tx1"/>
                  </w14:solidFill>
                </w14:textFill>
              </w:rPr>
              <w:fldChar w:fldCharType="end"/>
            </w:r>
            <w:r>
              <w:rPr>
                <w:rFonts w:hint="eastAsia" w:eastAsia="宋体" w:cs="Times New Roman"/>
                <w:color w:val="000000" w:themeColor="text1"/>
                <w:kern w:val="0"/>
                <w:sz w:val="24"/>
                <w:szCs w:val="24"/>
                <w:highlight w:val="none"/>
                <w:lang w:val="en-US" w:eastAsia="zh-CN" w:bidi="ar"/>
                <w14:textFill>
                  <w14:solidFill>
                    <w14:schemeClr w14:val="tx1"/>
                  </w14:solidFill>
                </w14:textFill>
              </w:rPr>
              <w:t>，全厂水平衡图详见</w:t>
            </w:r>
            <w:r>
              <w:rPr>
                <w:rFonts w:hint="eastAsia" w:eastAsia="宋体" w:cs="Times New Roman"/>
                <w:color w:val="000000" w:themeColor="text1"/>
                <w:kern w:val="0"/>
                <w:sz w:val="24"/>
                <w:szCs w:val="24"/>
                <w:highlight w:val="none"/>
                <w:lang w:val="en-US" w:eastAsia="zh-CN" w:bidi="ar"/>
                <w14:textFill>
                  <w14:solidFill>
                    <w14:schemeClr w14:val="tx1"/>
                  </w14:solidFill>
                </w14:textFill>
              </w:rPr>
              <w:fldChar w:fldCharType="begin"/>
            </w:r>
            <w:r>
              <w:rPr>
                <w:rFonts w:hint="eastAsia" w:eastAsia="宋体" w:cs="Times New Roman"/>
                <w:color w:val="000000" w:themeColor="text1"/>
                <w:kern w:val="0"/>
                <w:sz w:val="24"/>
                <w:szCs w:val="24"/>
                <w:highlight w:val="none"/>
                <w:lang w:val="en-US" w:eastAsia="zh-CN" w:bidi="ar"/>
                <w14:textFill>
                  <w14:solidFill>
                    <w14:schemeClr w14:val="tx1"/>
                  </w14:solidFill>
                </w14:textFill>
              </w:rPr>
              <w:instrText xml:space="preserve"> REF _Ref18477 \n \h </w:instrText>
            </w:r>
            <w:r>
              <w:rPr>
                <w:rFonts w:hint="eastAsia" w:eastAsia="宋体" w:cs="Times New Roman"/>
                <w:color w:val="000000" w:themeColor="text1"/>
                <w:kern w:val="0"/>
                <w:sz w:val="24"/>
                <w:szCs w:val="24"/>
                <w:highlight w:val="none"/>
                <w:lang w:val="en-US" w:eastAsia="zh-CN" w:bidi="ar"/>
                <w14:textFill>
                  <w14:solidFill>
                    <w14:schemeClr w14:val="tx1"/>
                  </w14:solidFill>
                </w14:textFill>
              </w:rPr>
              <w:fldChar w:fldCharType="separate"/>
            </w:r>
            <w:r>
              <w:rPr>
                <w:rFonts w:hint="eastAsia" w:eastAsia="宋体" w:cs="Times New Roman"/>
                <w:color w:val="000000" w:themeColor="text1"/>
                <w:kern w:val="0"/>
                <w:sz w:val="24"/>
                <w:szCs w:val="24"/>
                <w:highlight w:val="none"/>
                <w:lang w:val="en-US" w:eastAsia="zh-CN" w:bidi="ar"/>
                <w14:textFill>
                  <w14:solidFill>
                    <w14:schemeClr w14:val="tx1"/>
                  </w14:solidFill>
                </w14:textFill>
              </w:rPr>
              <w:t>图2.7-3</w:t>
            </w:r>
            <w:r>
              <w:rPr>
                <w:rFonts w:hint="eastAsia" w:eastAsia="宋体" w:cs="Times New Roman"/>
                <w:color w:val="000000" w:themeColor="text1"/>
                <w:kern w:val="0"/>
                <w:sz w:val="24"/>
                <w:szCs w:val="24"/>
                <w:highlight w:val="none"/>
                <w:lang w:val="en-US" w:eastAsia="zh-CN" w:bidi="ar"/>
                <w14:textFill>
                  <w14:solidFill>
                    <w14:schemeClr w14:val="tx1"/>
                  </w14:solidFill>
                </w14:textFill>
              </w:rPr>
              <w:fldChar w:fldCharType="end"/>
            </w:r>
            <w:r>
              <w:rPr>
                <w:rFonts w:hint="eastAsia" w:eastAsia="宋体" w:cs="Times New Roman"/>
                <w:color w:val="000000" w:themeColor="text1"/>
                <w:kern w:val="0"/>
                <w:sz w:val="24"/>
                <w:szCs w:val="24"/>
                <w:highlight w:val="none"/>
                <w:lang w:val="en-US" w:eastAsia="zh-CN" w:bidi="ar"/>
                <w14:textFill>
                  <w14:solidFill>
                    <w14:schemeClr w14:val="tx1"/>
                  </w14:solidFill>
                </w14:textFill>
              </w:rPr>
              <w:t>。</w:t>
            </w:r>
          </w:p>
          <w:p w14:paraId="5191887C">
            <w:pPr>
              <w:ind w:left="0" w:leftChars="0" w:firstLine="0" w:firstLineChars="0"/>
              <w:jc w:val="center"/>
              <w:rPr>
                <w:rFonts w:hint="eastAsia" w:eastAsia="宋体" w:cs="Times New Roman"/>
                <w:color w:val="000000" w:themeColor="text1"/>
                <w:kern w:val="0"/>
                <w:sz w:val="24"/>
                <w:szCs w:val="24"/>
                <w:highlight w:val="none"/>
                <w:lang w:val="en-US" w:eastAsia="zh-CN" w:bidi="ar"/>
                <w14:textFill>
                  <w14:solidFill>
                    <w14:schemeClr w14:val="tx1"/>
                  </w14:solidFill>
                </w14:textFill>
              </w:rPr>
            </w:pPr>
            <w:r>
              <w:rPr>
                <w:rFonts w:hint="eastAsia" w:eastAsia="宋体" w:cs="Times New Roman"/>
                <w:color w:val="000000" w:themeColor="text1"/>
                <w:kern w:val="0"/>
                <w:sz w:val="24"/>
                <w:szCs w:val="24"/>
                <w:highlight w:val="none"/>
                <w:lang w:val="en-US" w:eastAsia="zh-CN" w:bidi="ar"/>
                <w14:textFill>
                  <w14:solidFill>
                    <w14:schemeClr w14:val="tx1"/>
                  </w14:solidFill>
                </w14:textFill>
              </w:rPr>
              <w:object>
                <v:shape id="_x0000_i1025" o:spt="75" type="#_x0000_t75" style="height:204.75pt;width:384.4pt;" o:ole="t" filled="f" o:preferrelative="t" stroked="f" coordsize="21600,21600">
                  <v:path/>
                  <v:fill on="f" focussize="0,0"/>
                  <v:stroke on="f"/>
                  <v:imagedata r:id="rId14" o:title=""/>
                  <o:lock v:ext="edit" aspectratio="t"/>
                  <w10:wrap type="none"/>
                  <w10:anchorlock/>
                </v:shape>
                <o:OLEObject Type="Embed" ProgID="Visio.Drawing.11" ShapeID="_x0000_i1025" DrawAspect="Content" ObjectID="_1468075725" r:id="rId13">
                  <o:LockedField>false</o:LockedField>
                </o:OLEObject>
              </w:object>
            </w:r>
          </w:p>
          <w:p w14:paraId="443C86A4">
            <w:pPr>
              <w:pStyle w:val="28"/>
              <w:bidi w:val="0"/>
              <w:rPr>
                <w:rFonts w:hint="eastAsia"/>
                <w:color w:val="000000" w:themeColor="text1"/>
                <w:highlight w:val="none"/>
                <w:lang w:val="en-US" w:eastAsia="zh-CN"/>
                <w14:textFill>
                  <w14:solidFill>
                    <w14:schemeClr w14:val="tx1"/>
                  </w14:solidFill>
                </w14:textFill>
              </w:rPr>
            </w:pPr>
            <w:bookmarkStart w:id="106" w:name="_Ref7268"/>
            <w:r>
              <w:rPr>
                <w:rFonts w:hint="eastAsia"/>
                <w:color w:val="000000" w:themeColor="text1"/>
                <w:highlight w:val="none"/>
                <w:lang w:val="en-US" w:eastAsia="zh-CN"/>
                <w14:textFill>
                  <w14:solidFill>
                    <w14:schemeClr w14:val="tx1"/>
                  </w14:solidFill>
                </w14:textFill>
              </w:rPr>
              <w:t>一期工程水平衡图</w:t>
            </w:r>
            <w:bookmarkEnd w:id="106"/>
            <w:r>
              <w:rPr>
                <w:rFonts w:hint="eastAsia"/>
                <w:color w:val="000000" w:themeColor="text1"/>
                <w:highlight w:val="none"/>
                <w:lang w:val="en-US" w:eastAsia="zh-CN"/>
                <w14:textFill>
                  <w14:solidFill>
                    <w14:schemeClr w14:val="tx1"/>
                  </w14:solidFill>
                </w14:textFill>
              </w:rPr>
              <w:t xml:space="preserve">  单位：t/d</w:t>
            </w:r>
          </w:p>
          <w:p w14:paraId="49104314">
            <w:pPr>
              <w:ind w:left="0" w:leftChars="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object>
                <v:shape id="_x0000_i1026" o:spt="75" type="#_x0000_t75" style="height:207.3pt;width:391.5pt;" o:ole="t" filled="f" o:preferrelative="t" stroked="f" coordsize="21600,21600">
                  <v:path/>
                  <v:fill on="f" focussize="0,0"/>
                  <v:stroke on="f"/>
                  <v:imagedata r:id="rId16" o:title=""/>
                  <o:lock v:ext="edit" aspectratio="t"/>
                  <w10:wrap type="none"/>
                  <w10:anchorlock/>
                </v:shape>
                <o:OLEObject Type="Embed" ProgID="Visio.Drawing.11" ShapeID="_x0000_i1026" DrawAspect="Content" ObjectID="_1468075726" r:id="rId15">
                  <o:LockedField>false</o:LockedField>
                </o:OLEObject>
              </w:object>
            </w:r>
          </w:p>
          <w:p w14:paraId="17D4A250">
            <w:pPr>
              <w:pStyle w:val="28"/>
              <w:bidi w:val="0"/>
              <w:rPr>
                <w:rFonts w:hint="default"/>
                <w:color w:val="000000" w:themeColor="text1"/>
                <w:highlight w:val="none"/>
                <w:lang w:val="en-US" w:eastAsia="zh-CN"/>
                <w14:textFill>
                  <w14:solidFill>
                    <w14:schemeClr w14:val="tx1"/>
                  </w14:solidFill>
                </w14:textFill>
              </w:rPr>
            </w:pPr>
            <w:bookmarkStart w:id="107" w:name="_Ref14958"/>
            <w:bookmarkStart w:id="108" w:name="_Ref18448"/>
            <w:r>
              <w:rPr>
                <w:rFonts w:hint="eastAsia"/>
                <w:color w:val="000000" w:themeColor="text1"/>
                <w:highlight w:val="none"/>
                <w:lang w:val="en-US" w:eastAsia="zh-CN"/>
                <w14:textFill>
                  <w14:solidFill>
                    <w14:schemeClr w14:val="tx1"/>
                  </w14:solidFill>
                </w14:textFill>
              </w:rPr>
              <w:t>二期工程水平衡图</w:t>
            </w:r>
            <w:bookmarkEnd w:id="107"/>
            <w:r>
              <w:rPr>
                <w:rFonts w:hint="eastAsia"/>
                <w:color w:val="000000" w:themeColor="text1"/>
                <w:highlight w:val="none"/>
                <w:lang w:val="en-US" w:eastAsia="zh-CN"/>
                <w14:textFill>
                  <w14:solidFill>
                    <w14:schemeClr w14:val="tx1"/>
                  </w14:solidFill>
                </w14:textFill>
              </w:rPr>
              <w:t xml:space="preserve"> 单位：t/d</w:t>
            </w:r>
            <w:bookmarkEnd w:id="108"/>
          </w:p>
          <w:p w14:paraId="57E38850">
            <w:pPr>
              <w:ind w:left="0" w:leftChars="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object>
                <v:shape id="_x0000_i1027" o:spt="75" type="#_x0000_t75" style="height:206.1pt;width:389.25pt;" o:ole="t" filled="f" o:preferrelative="t" stroked="f" coordsize="21600,21600">
                  <v:path/>
                  <v:fill on="f" focussize="0,0"/>
                  <v:stroke on="f"/>
                  <v:imagedata r:id="rId18" o:title=""/>
                  <o:lock v:ext="edit" aspectratio="t"/>
                  <w10:wrap type="none"/>
                  <w10:anchorlock/>
                </v:shape>
                <o:OLEObject Type="Embed" ProgID="Visio.Drawing.11" ShapeID="_x0000_i1027" DrawAspect="Content" ObjectID="_1468075727" r:id="rId17">
                  <o:LockedField>false</o:LockedField>
                </o:OLEObject>
              </w:object>
            </w:r>
          </w:p>
          <w:p w14:paraId="7784B92B">
            <w:pPr>
              <w:pStyle w:val="28"/>
              <w:bidi w:val="0"/>
              <w:rPr>
                <w:rFonts w:hint="default"/>
                <w:color w:val="000000" w:themeColor="text1"/>
                <w:highlight w:val="none"/>
                <w:lang w:val="en-US" w:eastAsia="zh-CN"/>
                <w14:textFill>
                  <w14:solidFill>
                    <w14:schemeClr w14:val="tx1"/>
                  </w14:solidFill>
                </w14:textFill>
              </w:rPr>
            </w:pPr>
            <w:bookmarkStart w:id="109" w:name="_Ref18477"/>
            <w:r>
              <w:rPr>
                <w:rFonts w:hint="eastAsia"/>
                <w:color w:val="000000" w:themeColor="text1"/>
                <w:highlight w:val="none"/>
                <w:lang w:val="en-US" w:eastAsia="zh-CN"/>
                <w14:textFill>
                  <w14:solidFill>
                    <w14:schemeClr w14:val="tx1"/>
                  </w14:solidFill>
                </w14:textFill>
              </w:rPr>
              <w:t>全厂水平衡图 单位：t/d</w:t>
            </w:r>
            <w:bookmarkEnd w:id="109"/>
          </w:p>
          <w:p w14:paraId="7D62A094">
            <w:pPr>
              <w:pStyle w:val="2"/>
              <w:bidi w:val="0"/>
              <w:rPr>
                <w:rFonts w:hint="default"/>
                <w:color w:val="000000" w:themeColor="text1"/>
                <w:highlight w:val="none"/>
                <w:lang w:val="en-US" w:eastAsia="zh-CN"/>
                <w14:textFill>
                  <w14:solidFill>
                    <w14:schemeClr w14:val="tx1"/>
                  </w14:solidFill>
                </w14:textFill>
              </w:rPr>
            </w:pPr>
            <w:bookmarkStart w:id="110" w:name="_Toc23912"/>
            <w:r>
              <w:rPr>
                <w:rFonts w:hint="eastAsia"/>
                <w:color w:val="000000" w:themeColor="text1"/>
                <w:highlight w:val="none"/>
                <w:lang w:val="en-US" w:eastAsia="zh-CN"/>
                <w14:textFill>
                  <w14:solidFill>
                    <w14:schemeClr w14:val="tx1"/>
                  </w14:solidFill>
                </w14:textFill>
              </w:rPr>
              <w:t>物料平衡</w:t>
            </w:r>
            <w:bookmarkEnd w:id="110"/>
          </w:p>
          <w:p w14:paraId="1BF4AE89">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本项目物料平衡详见下表。</w:t>
            </w:r>
          </w:p>
          <w:p w14:paraId="4E4B173F">
            <w:pPr>
              <w:jc w:val="center"/>
              <w:rPr>
                <w:rFonts w:hint="default"/>
                <w:color w:val="000000" w:themeColor="text1"/>
                <w:highlight w:val="none"/>
                <w:lang w:val="en-US" w:eastAsia="zh-CN"/>
                <w14:textFill>
                  <w14:solidFill>
                    <w14:schemeClr w14:val="tx1"/>
                  </w14:solidFill>
                </w14:textFill>
              </w:rPr>
            </w:pPr>
            <w:r>
              <w:rPr>
                <w:rFonts w:hint="eastAsia"/>
                <w:b/>
                <w:bCs/>
                <w:color w:val="FF0000"/>
                <w:sz w:val="36"/>
                <w:szCs w:val="36"/>
                <w:highlight w:val="yellow"/>
                <w:lang w:val="en-US" w:eastAsia="zh-CN"/>
              </w:rPr>
              <w:t>涉密，删除</w:t>
            </w:r>
          </w:p>
        </w:tc>
      </w:tr>
      <w:tr w14:paraId="3B6645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14" w:type="dxa"/>
            <w:noWrap w:val="0"/>
            <w:vAlign w:val="center"/>
          </w:tcPr>
          <w:p w14:paraId="6F4A31F1">
            <w:pPr>
              <w:pStyle w:val="26"/>
              <w:bidi w:val="0"/>
              <w:spacing w:line="360" w:lineRule="auto"/>
              <w:rPr>
                <w:rFonts w:hint="default" w:ascii="Times New Roman" w:hAnsi="Times New Roman" w:cs="Times New Roman"/>
                <w:color w:val="000000" w:themeColor="text1"/>
                <w:highlight w:val="none"/>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工艺流程及产排污环节</w:t>
            </w:r>
          </w:p>
        </w:tc>
        <w:tc>
          <w:tcPr>
            <w:tcW w:w="8246" w:type="dxa"/>
            <w:noWrap w:val="0"/>
            <w:vAlign w:val="top"/>
          </w:tcPr>
          <w:p w14:paraId="21061901">
            <w:pPr>
              <w:pStyle w:val="2"/>
              <w:numPr>
                <w:ilvl w:val="1"/>
                <w:numId w:val="3"/>
              </w:numPr>
              <w:tabs>
                <w:tab w:val="left" w:pos="420"/>
              </w:tabs>
              <w:bidi w:val="0"/>
              <w:jc w:val="left"/>
              <w:rPr>
                <w:rFonts w:hint="default" w:ascii="Times New Roman" w:hAnsi="Times New Roman" w:cs="Times New Roman"/>
                <w:color w:val="000000" w:themeColor="text1"/>
                <w:highlight w:val="none"/>
                <w:lang w:val="en-US" w:eastAsia="zh-CN"/>
                <w14:textFill>
                  <w14:solidFill>
                    <w14:schemeClr w14:val="tx1"/>
                  </w14:solidFill>
                </w14:textFill>
              </w:rPr>
            </w:pPr>
            <w:bookmarkStart w:id="111" w:name="_Toc24402"/>
            <w:bookmarkStart w:id="112" w:name="_Toc14482"/>
            <w:bookmarkStart w:id="113" w:name="_Toc29195"/>
            <w:bookmarkStart w:id="114" w:name="_Toc30103"/>
            <w:bookmarkStart w:id="115" w:name="_Toc11532"/>
            <w:bookmarkStart w:id="116" w:name="_Toc20034"/>
            <w:r>
              <w:rPr>
                <w:rFonts w:hint="default" w:ascii="Times New Roman" w:hAnsi="Times New Roman" w:cs="Times New Roman"/>
                <w:color w:val="000000" w:themeColor="text1"/>
                <w:highlight w:val="none"/>
                <w:lang w:val="en-US" w:eastAsia="zh-CN"/>
                <w14:textFill>
                  <w14:solidFill>
                    <w14:schemeClr w14:val="tx1"/>
                  </w14:solidFill>
                </w14:textFill>
              </w:rPr>
              <w:t>工艺流程及产排污环节</w:t>
            </w:r>
            <w:bookmarkEnd w:id="111"/>
            <w:bookmarkEnd w:id="112"/>
            <w:bookmarkEnd w:id="113"/>
            <w:bookmarkEnd w:id="114"/>
            <w:bookmarkEnd w:id="115"/>
            <w:bookmarkEnd w:id="116"/>
          </w:p>
          <w:p w14:paraId="76E45C62">
            <w:pPr>
              <w:pStyle w:val="3"/>
              <w:numPr>
                <w:ilvl w:val="2"/>
                <w:numId w:val="3"/>
              </w:numPr>
              <w:bidi w:val="0"/>
              <w:jc w:val="left"/>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单壁碳纳米管</w:t>
            </w:r>
            <w:r>
              <w:rPr>
                <w:rFonts w:hint="eastAsia" w:cs="Times New Roman"/>
                <w:color w:val="000000" w:themeColor="text1"/>
                <w:highlight w:val="none"/>
                <w:lang w:val="en-US" w:eastAsia="zh-CN"/>
                <w14:textFill>
                  <w14:solidFill>
                    <w14:schemeClr w14:val="tx1"/>
                  </w14:solidFill>
                </w14:textFill>
              </w:rPr>
              <w:t>生产工艺</w:t>
            </w:r>
          </w:p>
          <w:p w14:paraId="368DF4D4">
            <w:pPr>
              <w:jc w:val="center"/>
              <w:rPr>
                <w:rFonts w:hint="default"/>
                <w:lang w:val="en-US" w:eastAsia="zh-CN"/>
              </w:rPr>
            </w:pPr>
            <w:r>
              <w:rPr>
                <w:rFonts w:hint="eastAsia"/>
                <w:b/>
                <w:bCs/>
                <w:color w:val="FF0000"/>
                <w:sz w:val="36"/>
                <w:szCs w:val="36"/>
                <w:highlight w:val="yellow"/>
                <w:lang w:val="en-US" w:eastAsia="zh-CN"/>
              </w:rPr>
              <w:t>涉密，删除</w:t>
            </w:r>
          </w:p>
          <w:p w14:paraId="18A27D79">
            <w:pPr>
              <w:pStyle w:val="3"/>
              <w:numPr>
                <w:ilvl w:val="2"/>
                <w:numId w:val="3"/>
              </w:num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硅碳负极材料生产工艺</w:t>
            </w:r>
          </w:p>
          <w:p w14:paraId="32F2C455">
            <w:pPr>
              <w:bidi w:val="0"/>
              <w:jc w:val="center"/>
              <w:rPr>
                <w:rFonts w:hint="default"/>
                <w:b/>
                <w:bCs/>
                <w:lang w:val="en-US" w:eastAsia="zh-CN"/>
              </w:rPr>
            </w:pPr>
            <w:r>
              <w:rPr>
                <w:rFonts w:hint="eastAsia"/>
                <w:b/>
                <w:bCs/>
                <w:color w:val="FF0000"/>
                <w:sz w:val="36"/>
                <w:szCs w:val="36"/>
                <w:highlight w:val="yellow"/>
                <w:lang w:val="en-US" w:eastAsia="zh-CN"/>
              </w:rPr>
              <w:t>涉密，删除</w:t>
            </w:r>
          </w:p>
          <w:p w14:paraId="14F04EB7">
            <w:pPr>
              <w:pStyle w:val="3"/>
              <w:numPr>
                <w:ilvl w:val="2"/>
                <w:numId w:val="3"/>
              </w:num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其他产污环节</w:t>
            </w:r>
          </w:p>
          <w:p w14:paraId="067A036B">
            <w:pPr>
              <w:rPr>
                <w:rFonts w:hint="eastAsia" w:cs="Times New Roman"/>
                <w:color w:val="000000" w:themeColor="text1"/>
                <w:kern w:val="0"/>
                <w:sz w:val="24"/>
                <w:szCs w:val="24"/>
                <w:highlight w:val="none"/>
                <w:lang w:val="en-US" w:eastAsia="zh-CN" w:bidi="ar"/>
                <w14:textFill>
                  <w14:solidFill>
                    <w14:schemeClr w14:val="tx1"/>
                  </w14:solidFill>
                </w14:textFill>
              </w:rPr>
            </w:pPr>
            <w:r>
              <w:rPr>
                <w:rFonts w:hint="eastAsia" w:cs="Times New Roman"/>
                <w:color w:val="000000" w:themeColor="text1"/>
                <w:kern w:val="0"/>
                <w:sz w:val="24"/>
                <w:szCs w:val="24"/>
                <w:highlight w:val="none"/>
                <w:lang w:val="en-US" w:eastAsia="zh-CN" w:bidi="ar"/>
                <w14:textFill>
                  <w14:solidFill>
                    <w14:schemeClr w14:val="tx1"/>
                  </w14:solidFill>
                </w14:textFill>
              </w:rPr>
              <w:t>（1）日常生活办公：职工日常生活办公会产生生活污水W1和生活垃圾S13。</w:t>
            </w:r>
          </w:p>
          <w:p w14:paraId="26BEF13A">
            <w:pPr>
              <w:rPr>
                <w:rFonts w:hint="eastAsia" w:cs="Times New Roman"/>
                <w:color w:val="000000" w:themeColor="text1"/>
                <w:kern w:val="0"/>
                <w:sz w:val="24"/>
                <w:szCs w:val="24"/>
                <w:highlight w:val="none"/>
                <w:lang w:val="en-US" w:eastAsia="zh-CN" w:bidi="ar"/>
                <w14:textFill>
                  <w14:solidFill>
                    <w14:schemeClr w14:val="tx1"/>
                  </w14:solidFill>
                </w14:textFill>
              </w:rPr>
            </w:pPr>
            <w:r>
              <w:rPr>
                <w:rFonts w:hint="eastAsia" w:cs="Times New Roman"/>
                <w:color w:val="000000" w:themeColor="text1"/>
                <w:kern w:val="0"/>
                <w:sz w:val="24"/>
                <w:szCs w:val="24"/>
                <w:highlight w:val="none"/>
                <w:lang w:val="en-US" w:eastAsia="zh-CN" w:bidi="ar"/>
                <w14:textFill>
                  <w14:solidFill>
                    <w14:schemeClr w14:val="tx1"/>
                  </w14:solidFill>
                </w14:textFill>
              </w:rPr>
              <w:t>（2）废气处理设施运行：废气处理过程会产生被布袋除尘器截留的粉尘S4、定期更换的废活性炭S8、破损的废布袋S9以及失活的废催化剂S10。</w:t>
            </w:r>
          </w:p>
          <w:p w14:paraId="1D490709">
            <w:pPr>
              <w:rPr>
                <w:rFonts w:hint="eastAsia" w:cs="Times New Roman"/>
                <w:color w:val="000000" w:themeColor="text1"/>
                <w:kern w:val="0"/>
                <w:sz w:val="24"/>
                <w:szCs w:val="24"/>
                <w:highlight w:val="none"/>
                <w:lang w:val="en-US" w:eastAsia="zh-CN" w:bidi="ar"/>
                <w14:textFill>
                  <w14:solidFill>
                    <w14:schemeClr w14:val="tx1"/>
                  </w14:solidFill>
                </w14:textFill>
              </w:rPr>
            </w:pPr>
            <w:r>
              <w:rPr>
                <w:rFonts w:hint="eastAsia" w:cs="Times New Roman"/>
                <w:color w:val="000000" w:themeColor="text1"/>
                <w:kern w:val="0"/>
                <w:sz w:val="24"/>
                <w:szCs w:val="24"/>
                <w:highlight w:val="none"/>
                <w:lang w:val="en-US" w:eastAsia="zh-CN" w:bidi="ar"/>
                <w14:textFill>
                  <w14:solidFill>
                    <w14:schemeClr w14:val="tx1"/>
                  </w14:solidFill>
                </w14:textFill>
              </w:rPr>
              <w:t>（3）原辅材料外包装：原辅材料使用过程中会产生废包装袋S3。</w:t>
            </w:r>
          </w:p>
          <w:p w14:paraId="62363F95">
            <w:pPr>
              <w:rPr>
                <w:rFonts w:hint="eastAsia" w:cs="Times New Roman"/>
                <w:color w:val="000000" w:themeColor="text1"/>
                <w:kern w:val="0"/>
                <w:sz w:val="24"/>
                <w:szCs w:val="24"/>
                <w:highlight w:val="none"/>
                <w:lang w:val="en-US" w:eastAsia="zh-CN" w:bidi="ar"/>
                <w14:textFill>
                  <w14:solidFill>
                    <w14:schemeClr w14:val="tx1"/>
                  </w14:solidFill>
                </w14:textFill>
              </w:rPr>
            </w:pPr>
            <w:r>
              <w:rPr>
                <w:rFonts w:hint="eastAsia" w:cs="Times New Roman"/>
                <w:color w:val="000000" w:themeColor="text1"/>
                <w:kern w:val="0"/>
                <w:sz w:val="24"/>
                <w:szCs w:val="24"/>
                <w:highlight w:val="none"/>
                <w:lang w:val="en-US" w:eastAsia="zh-CN" w:bidi="ar"/>
                <w14:textFill>
                  <w14:solidFill>
                    <w14:schemeClr w14:val="tx1"/>
                  </w14:solidFill>
                </w14:textFill>
              </w:rPr>
              <w:t>（4）制氮、制氩系统：氮气和氩气制备过程需定期滤芯、分子筛，产生废玻璃纤维滤芯和碳分子筛S5。</w:t>
            </w:r>
          </w:p>
          <w:p w14:paraId="5CD09649">
            <w:pPr>
              <w:rPr>
                <w:rFonts w:hint="eastAsia" w:cs="Times New Roman"/>
                <w:color w:val="000000" w:themeColor="text1"/>
                <w:kern w:val="0"/>
                <w:sz w:val="24"/>
                <w:szCs w:val="24"/>
                <w:highlight w:val="none"/>
                <w:lang w:val="en-US" w:eastAsia="zh-CN" w:bidi="ar"/>
                <w14:textFill>
                  <w14:solidFill>
                    <w14:schemeClr w14:val="tx1"/>
                  </w14:solidFill>
                </w14:textFill>
              </w:rPr>
            </w:pPr>
            <w:r>
              <w:rPr>
                <w:rFonts w:hint="eastAsia" w:cs="Times New Roman"/>
                <w:color w:val="000000" w:themeColor="text1"/>
                <w:kern w:val="0"/>
                <w:sz w:val="24"/>
                <w:szCs w:val="24"/>
                <w:highlight w:val="none"/>
                <w:lang w:val="en-US" w:eastAsia="zh-CN" w:bidi="ar"/>
                <w14:textFill>
                  <w14:solidFill>
                    <w14:schemeClr w14:val="tx1"/>
                  </w14:solidFill>
                </w14:textFill>
              </w:rPr>
              <w:t>（5）检验室：检验试剂的使用会产生检验废液S6和废试剂瓶S7。</w:t>
            </w:r>
          </w:p>
          <w:p w14:paraId="65401733">
            <w:pPr>
              <w:rPr>
                <w:rFonts w:hint="eastAsia" w:cs="Times New Roman"/>
                <w:color w:val="000000" w:themeColor="text1"/>
                <w:kern w:val="0"/>
                <w:sz w:val="24"/>
                <w:szCs w:val="24"/>
                <w:highlight w:val="none"/>
                <w:lang w:val="en-US" w:eastAsia="zh-CN" w:bidi="ar"/>
                <w14:textFill>
                  <w14:solidFill>
                    <w14:schemeClr w14:val="tx1"/>
                  </w14:solidFill>
                </w14:textFill>
              </w:rPr>
            </w:pPr>
            <w:r>
              <w:rPr>
                <w:rFonts w:hint="eastAsia" w:cs="Times New Roman"/>
                <w:color w:val="000000" w:themeColor="text1"/>
                <w:kern w:val="0"/>
                <w:sz w:val="24"/>
                <w:szCs w:val="24"/>
                <w:highlight w:val="none"/>
                <w:lang w:val="en-US" w:eastAsia="zh-CN" w:bidi="ar"/>
                <w14:textFill>
                  <w14:solidFill>
                    <w14:schemeClr w14:val="tx1"/>
                  </w14:solidFill>
                </w14:textFill>
              </w:rPr>
              <w:t>（6）设备维护：设备日常维护的过程，会产生少量废机油S11和废含油抹布S12。</w:t>
            </w:r>
          </w:p>
          <w:p w14:paraId="29C9A5DE">
            <w:pPr>
              <w:rPr>
                <w:rFonts w:hint="default"/>
                <w:color w:val="000000" w:themeColor="text1"/>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bidi="ar"/>
                <w14:textFill>
                  <w14:solidFill>
                    <w14:schemeClr w14:val="tx1"/>
                  </w14:solidFill>
                </w14:textFill>
              </w:rPr>
              <w:t>（7）乙醇储罐呼吸废气：</w:t>
            </w:r>
            <w:r>
              <w:rPr>
                <w:rFonts w:hint="eastAsia" w:eastAsia="宋体" w:cs="Times New Roman"/>
                <w:color w:val="000000" w:themeColor="text1"/>
                <w:kern w:val="0"/>
                <w:sz w:val="24"/>
                <w:szCs w:val="24"/>
                <w:highlight w:val="none"/>
                <w:lang w:val="en-US" w:eastAsia="zh-CN" w:bidi="ar"/>
                <w14:textFill>
                  <w14:solidFill>
                    <w14:schemeClr w14:val="tx1"/>
                  </w14:solidFill>
                </w14:textFill>
              </w:rPr>
              <w:t>由于乙醇属于易挥发有机溶剂，为保证储料罐、溶剂罐内外的气压平衡，暂存含乙醇物料的储料罐、溶剂罐均设呼吸阀及泄压排气管，排放少量呼吸废气G</w:t>
            </w:r>
            <w:r>
              <w:rPr>
                <w:rFonts w:hint="eastAsia" w:cs="Times New Roman"/>
                <w:color w:val="000000" w:themeColor="text1"/>
                <w:kern w:val="0"/>
                <w:sz w:val="24"/>
                <w:szCs w:val="24"/>
                <w:highlight w:val="none"/>
                <w:lang w:val="en-US" w:eastAsia="zh-CN" w:bidi="ar"/>
                <w14:textFill>
                  <w14:solidFill>
                    <w14:schemeClr w14:val="tx1"/>
                  </w14:solidFill>
                </w14:textFill>
              </w:rPr>
              <w:t>3</w:t>
            </w:r>
            <w:r>
              <w:rPr>
                <w:rFonts w:hint="eastAsia" w:eastAsia="宋体" w:cs="Times New Roman"/>
                <w:color w:val="000000" w:themeColor="text1"/>
                <w:kern w:val="0"/>
                <w:sz w:val="24"/>
                <w:szCs w:val="24"/>
                <w:highlight w:val="none"/>
                <w:lang w:val="en-US" w:eastAsia="zh-CN" w:bidi="ar"/>
                <w14:textFill>
                  <w14:solidFill>
                    <w14:schemeClr w14:val="tx1"/>
                  </w14:solidFill>
                </w14:textFill>
              </w:rPr>
              <w:t>。</w:t>
            </w:r>
          </w:p>
          <w:p w14:paraId="16FDDE7D">
            <w:pPr>
              <w:pStyle w:val="3"/>
              <w:numPr>
                <w:ilvl w:val="2"/>
                <w:numId w:val="3"/>
              </w:num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主要产污环节</w:t>
            </w:r>
          </w:p>
          <w:p w14:paraId="441CC8EF">
            <w:pPr>
              <w:jc w:val="left"/>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项目产污环节汇总见</w:t>
            </w:r>
            <w:r>
              <w:rPr>
                <w:rFonts w:hint="eastAsia" w:cs="Times New Roman"/>
                <w:color w:val="000000" w:themeColor="text1"/>
                <w:highlight w:val="none"/>
                <w:lang w:val="en-US" w:eastAsia="zh-CN"/>
                <w14:textFill>
                  <w14:solidFill>
                    <w14:schemeClr w14:val="tx1"/>
                  </w14:solidFill>
                </w14:textFill>
              </w:rPr>
              <w:fldChar w:fldCharType="begin"/>
            </w:r>
            <w:r>
              <w:rPr>
                <w:rFonts w:hint="eastAsia" w:cs="Times New Roman"/>
                <w:color w:val="000000" w:themeColor="text1"/>
                <w:highlight w:val="none"/>
                <w:lang w:val="en-US" w:eastAsia="zh-CN"/>
                <w14:textFill>
                  <w14:solidFill>
                    <w14:schemeClr w14:val="tx1"/>
                  </w14:solidFill>
                </w14:textFill>
              </w:rPr>
              <w:instrText xml:space="preserve"> REF _Ref7421 \n \h </w:instrText>
            </w:r>
            <w:r>
              <w:rPr>
                <w:rFonts w:hint="eastAsia" w:cs="Times New Roman"/>
                <w:color w:val="000000" w:themeColor="text1"/>
                <w:highlight w:val="none"/>
                <w:lang w:val="en-US" w:eastAsia="zh-CN"/>
                <w14:textFill>
                  <w14:solidFill>
                    <w14:schemeClr w14:val="tx1"/>
                  </w14:solidFill>
                </w14:textFill>
              </w:rPr>
              <w:fldChar w:fldCharType="separate"/>
            </w:r>
            <w:r>
              <w:rPr>
                <w:rFonts w:hint="eastAsia" w:cs="Times New Roman"/>
                <w:color w:val="000000" w:themeColor="text1"/>
                <w:highlight w:val="none"/>
                <w:lang w:val="en-US" w:eastAsia="zh-CN"/>
                <w14:textFill>
                  <w14:solidFill>
                    <w14:schemeClr w14:val="tx1"/>
                  </w14:solidFill>
                </w14:textFill>
              </w:rPr>
              <w:t>表2.1-2</w:t>
            </w:r>
            <w:r>
              <w:rPr>
                <w:rFonts w:hint="eastAsia" w:cs="Times New Roman"/>
                <w:color w:val="000000" w:themeColor="text1"/>
                <w:highlight w:val="none"/>
                <w:lang w:val="en-US" w:eastAsia="zh-CN"/>
                <w14:textFill>
                  <w14:solidFill>
                    <w14:schemeClr w14:val="tx1"/>
                  </w14:solidFill>
                </w14:textFill>
              </w:rPr>
              <w:fldChar w:fldCharType="end"/>
            </w:r>
            <w:r>
              <w:rPr>
                <w:rFonts w:hint="eastAsia" w:cs="Times New Roman"/>
                <w:color w:val="000000" w:themeColor="text1"/>
                <w:highlight w:val="none"/>
                <w:lang w:val="en-US" w:eastAsia="zh-CN"/>
                <w14:textFill>
                  <w14:solidFill>
                    <w14:schemeClr w14:val="tx1"/>
                  </w14:solidFill>
                </w14:textFill>
              </w:rPr>
              <w:t>。</w:t>
            </w:r>
          </w:p>
          <w:p w14:paraId="5011FF26">
            <w:pPr>
              <w:pStyle w:val="30"/>
              <w:numPr>
                <w:ilvl w:val="4"/>
                <w:numId w:val="3"/>
              </w:numPr>
              <w:tabs>
                <w:tab w:val="left" w:pos="0"/>
              </w:tabs>
              <w:bidi w:val="0"/>
              <w:rPr>
                <w:rFonts w:hint="default"/>
                <w:color w:val="000000" w:themeColor="text1"/>
                <w:highlight w:val="none"/>
                <w:lang w:val="en-US" w:eastAsia="zh-CN"/>
                <w14:textFill>
                  <w14:solidFill>
                    <w14:schemeClr w14:val="tx1"/>
                  </w14:solidFill>
                </w14:textFill>
              </w:rPr>
            </w:pPr>
            <w:bookmarkStart w:id="117" w:name="_Ref7421"/>
            <w:r>
              <w:rPr>
                <w:rFonts w:hint="eastAsia"/>
                <w:color w:val="000000" w:themeColor="text1"/>
                <w:highlight w:val="none"/>
                <w:lang w:val="en-US" w:eastAsia="zh-CN"/>
                <w14:textFill>
                  <w14:solidFill>
                    <w14:schemeClr w14:val="tx1"/>
                  </w14:solidFill>
                </w14:textFill>
              </w:rPr>
              <w:t>本项目产污环节一览表</w:t>
            </w:r>
            <w:bookmarkEnd w:id="117"/>
          </w:p>
          <w:p w14:paraId="68C2F198">
            <w:pPr>
              <w:ind w:left="0" w:leftChars="0" w:firstLine="0" w:firstLineChars="0"/>
              <w:jc w:val="center"/>
              <w:rPr>
                <w:rFonts w:hint="default"/>
                <w:color w:val="000000" w:themeColor="text1"/>
                <w:highlight w:val="none"/>
                <w:lang w:val="en-US" w:eastAsia="zh-CN"/>
                <w14:textFill>
                  <w14:solidFill>
                    <w14:schemeClr w14:val="tx1"/>
                  </w14:solidFill>
                </w14:textFill>
              </w:rPr>
            </w:pPr>
            <w:r>
              <w:rPr>
                <w:rFonts w:hint="eastAsia"/>
                <w:b/>
                <w:bCs/>
                <w:color w:val="FF0000"/>
                <w:sz w:val="36"/>
                <w:szCs w:val="36"/>
                <w:highlight w:val="yellow"/>
                <w:lang w:val="en-US" w:eastAsia="zh-CN"/>
              </w:rPr>
              <w:t>涉密，删除</w:t>
            </w:r>
          </w:p>
        </w:tc>
      </w:tr>
      <w:tr w14:paraId="78887A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14" w:type="dxa"/>
            <w:noWrap w:val="0"/>
            <w:vAlign w:val="center"/>
          </w:tcPr>
          <w:p w14:paraId="6F8AF252">
            <w:pPr>
              <w:pStyle w:val="26"/>
              <w:bidi w:val="0"/>
              <w:spacing w:line="360" w:lineRule="auto"/>
              <w:rPr>
                <w:rFonts w:hint="default"/>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与项目有关的原有环境污染问题</w:t>
            </w:r>
          </w:p>
        </w:tc>
        <w:tc>
          <w:tcPr>
            <w:tcW w:w="8246" w:type="dxa"/>
            <w:noWrap w:val="0"/>
            <w:vAlign w:val="center"/>
          </w:tcPr>
          <w:p w14:paraId="2E71A774">
            <w:pPr>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本项目为新建项目，不涉及原有环境污染问题。</w:t>
            </w:r>
          </w:p>
        </w:tc>
      </w:tr>
    </w:tbl>
    <w:p w14:paraId="7D4C4184">
      <w:pPr>
        <w:bidi w:val="0"/>
        <w:rPr>
          <w:rFonts w:hint="default" w:ascii="Times New Roman" w:hAnsi="Times New Roman" w:cs="Times New Roman"/>
          <w:color w:val="000000" w:themeColor="text1"/>
          <w:highlight w:val="none"/>
          <w14:textFill>
            <w14:solidFill>
              <w14:schemeClr w14:val="tx1"/>
            </w14:solidFill>
          </w14:textFill>
        </w:rPr>
        <w:sectPr>
          <w:footerReference r:id="rId9"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54E09D3B">
      <w:pPr>
        <w:pStyle w:val="32"/>
        <w:bidi w:val="0"/>
        <w:rPr>
          <w:rFonts w:hint="default"/>
          <w:color w:val="000000" w:themeColor="text1"/>
          <w:highlight w:val="none"/>
          <w14:textFill>
            <w14:solidFill>
              <w14:schemeClr w14:val="tx1"/>
            </w14:solidFill>
          </w14:textFill>
        </w:rPr>
      </w:pPr>
      <w:bookmarkStart w:id="118" w:name="_Toc24663"/>
      <w:bookmarkStart w:id="119" w:name="_Toc14430"/>
      <w:bookmarkStart w:id="120" w:name="_Toc25617"/>
      <w:bookmarkStart w:id="121" w:name="_Toc23799"/>
      <w:bookmarkStart w:id="122" w:name="_Toc13110"/>
      <w:bookmarkStart w:id="123" w:name="_Toc11581"/>
      <w:r>
        <w:rPr>
          <w:rFonts w:hint="default"/>
          <w:color w:val="000000" w:themeColor="text1"/>
          <w:highlight w:val="none"/>
          <w14:textFill>
            <w14:solidFill>
              <w14:schemeClr w14:val="tx1"/>
            </w14:solidFill>
          </w14:textFill>
        </w:rPr>
        <w:t>区域环境质量现状、环境保护目标及评价标准</w:t>
      </w:r>
      <w:bookmarkEnd w:id="118"/>
      <w:bookmarkEnd w:id="119"/>
      <w:bookmarkEnd w:id="120"/>
      <w:bookmarkEnd w:id="121"/>
      <w:bookmarkEnd w:id="122"/>
      <w:bookmarkEnd w:id="123"/>
    </w:p>
    <w:tbl>
      <w:tblPr>
        <w:tblStyle w:val="1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8565"/>
      </w:tblGrid>
      <w:tr w14:paraId="4610A5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6" w:hRule="atLeast"/>
          <w:jc w:val="center"/>
        </w:trPr>
        <w:tc>
          <w:tcPr>
            <w:tcW w:w="389" w:type="pct"/>
            <w:noWrap w:val="0"/>
            <w:vAlign w:val="center"/>
          </w:tcPr>
          <w:p w14:paraId="51BBDB8C">
            <w:pPr>
              <w:adjustRightInd w:val="0"/>
              <w:snapToGrid w:val="0"/>
              <w:ind w:left="0" w:leftChars="0" w:firstLine="0" w:firstLineChars="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区域环境质量现状</w:t>
            </w:r>
          </w:p>
        </w:tc>
        <w:tc>
          <w:tcPr>
            <w:tcW w:w="4610" w:type="pct"/>
            <w:noWrap w:val="0"/>
            <w:vAlign w:val="center"/>
          </w:tcPr>
          <w:p w14:paraId="230B8A15">
            <w:pPr>
              <w:pStyle w:val="2"/>
              <w:numPr>
                <w:ilvl w:val="1"/>
                <w:numId w:val="4"/>
              </w:numPr>
              <w:tabs>
                <w:tab w:val="left" w:pos="420"/>
              </w:tabs>
              <w:bidi w:val="0"/>
              <w:rPr>
                <w:rFonts w:hint="default" w:ascii="Times New Roman" w:hAnsi="Times New Roman" w:cs="Times New Roman"/>
                <w:color w:val="000000" w:themeColor="text1"/>
                <w:highlight w:val="none"/>
                <w14:textFill>
                  <w14:solidFill>
                    <w14:schemeClr w14:val="tx1"/>
                  </w14:solidFill>
                </w14:textFill>
              </w:rPr>
            </w:pPr>
            <w:bookmarkStart w:id="124" w:name="_Toc20012"/>
            <w:bookmarkStart w:id="125" w:name="_Toc25788"/>
            <w:bookmarkStart w:id="126" w:name="_Toc14876"/>
            <w:bookmarkStart w:id="127" w:name="_Toc6597"/>
            <w:bookmarkStart w:id="128" w:name="_Toc31246"/>
            <w:bookmarkStart w:id="129" w:name="_Toc29584"/>
            <w:r>
              <w:rPr>
                <w:rFonts w:hint="default" w:ascii="Times New Roman" w:hAnsi="Times New Roman" w:cs="Times New Roman"/>
                <w:color w:val="000000" w:themeColor="text1"/>
                <w:highlight w:val="none"/>
                <w:lang w:val="en-US" w:eastAsia="zh-CN"/>
                <w14:textFill>
                  <w14:solidFill>
                    <w14:schemeClr w14:val="tx1"/>
                  </w14:solidFill>
                </w14:textFill>
              </w:rPr>
              <w:t>区域</w:t>
            </w:r>
            <w:r>
              <w:rPr>
                <w:rFonts w:hint="default" w:ascii="Times New Roman" w:hAnsi="Times New Roman" w:cs="Times New Roman"/>
                <w:color w:val="000000" w:themeColor="text1"/>
                <w:highlight w:val="none"/>
                <w14:textFill>
                  <w14:solidFill>
                    <w14:schemeClr w14:val="tx1"/>
                  </w14:solidFill>
                </w14:textFill>
              </w:rPr>
              <w:t>环境质量现状</w:t>
            </w:r>
            <w:bookmarkEnd w:id="124"/>
            <w:bookmarkEnd w:id="125"/>
            <w:bookmarkEnd w:id="126"/>
            <w:bookmarkEnd w:id="127"/>
            <w:bookmarkEnd w:id="128"/>
            <w:bookmarkEnd w:id="129"/>
          </w:p>
          <w:p w14:paraId="173812DF">
            <w:pPr>
              <w:pStyle w:val="3"/>
              <w:numPr>
                <w:ilvl w:val="2"/>
                <w:numId w:val="4"/>
              </w:numPr>
              <w:bidi w:val="0"/>
              <w:rPr>
                <w:rFonts w:hint="default" w:ascii="Times New Roman" w:hAnsi="Times New Roman" w:cs="Times New Roman"/>
                <w:color w:val="000000" w:themeColor="text1"/>
                <w:highlight w:val="none"/>
                <w:lang w:val="en-US" w:eastAsia="zh-CN"/>
                <w14:textFill>
                  <w14:solidFill>
                    <w14:schemeClr w14:val="tx1"/>
                  </w14:solidFill>
                </w14:textFill>
              </w:rPr>
            </w:pPr>
            <w:bookmarkStart w:id="130" w:name="_Toc3065"/>
            <w:bookmarkStart w:id="131" w:name="_Toc32362"/>
            <w:bookmarkStart w:id="132" w:name="_Toc2516"/>
            <w:r>
              <w:rPr>
                <w:rFonts w:hint="default" w:ascii="Times New Roman" w:hAnsi="Times New Roman" w:cs="Times New Roman"/>
                <w:color w:val="000000" w:themeColor="text1"/>
                <w:highlight w:val="none"/>
                <w:lang w:val="en-US" w:eastAsia="zh-CN"/>
                <w14:textFill>
                  <w14:solidFill>
                    <w14:schemeClr w14:val="tx1"/>
                  </w14:solidFill>
                </w14:textFill>
              </w:rPr>
              <w:t>大气环境</w:t>
            </w:r>
            <w:bookmarkEnd w:id="130"/>
            <w:bookmarkEnd w:id="131"/>
            <w:bookmarkEnd w:id="132"/>
          </w:p>
          <w:p w14:paraId="028533AD">
            <w:pPr>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区域环境质量达标情况</w:t>
            </w:r>
          </w:p>
          <w:p w14:paraId="5E429346">
            <w:pPr>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本项目位于</w:t>
            </w:r>
            <w:r>
              <w:rPr>
                <w:rFonts w:hint="eastAsia" w:cs="Times New Roman"/>
                <w:color w:val="000000" w:themeColor="text1"/>
                <w:highlight w:val="none"/>
                <w:lang w:val="en-US" w:eastAsia="zh-CN"/>
                <w14:textFill>
                  <w14:solidFill>
                    <w14:schemeClr w14:val="tx1"/>
                  </w14:solidFill>
                </w14:textFill>
              </w:rPr>
              <w:t>永安市</w:t>
            </w:r>
            <w:r>
              <w:rPr>
                <w:rFonts w:hint="default" w:ascii="Times New Roman" w:hAnsi="Times New Roman" w:cs="Times New Roman"/>
                <w:color w:val="000000" w:themeColor="text1"/>
                <w:highlight w:val="none"/>
                <w14:textFill>
                  <w14:solidFill>
                    <w14:schemeClr w14:val="tx1"/>
                  </w14:solidFill>
                </w14:textFill>
              </w:rPr>
              <w:t>，根据永安市2023年（2023年1月1日～12月31日）自动监测数据进行区域达标判定</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具体详见</w:t>
            </w:r>
            <w:r>
              <w:rPr>
                <w:rFonts w:hint="eastAsia" w:cs="Times New Roman"/>
                <w:color w:val="000000" w:themeColor="text1"/>
                <w:highlight w:val="none"/>
                <w:lang w:val="en-US" w:eastAsia="zh-CN"/>
                <w14:textFill>
                  <w14:solidFill>
                    <w14:schemeClr w14:val="tx1"/>
                  </w14:solidFill>
                </w14:textFill>
              </w:rPr>
              <w:fldChar w:fldCharType="begin"/>
            </w:r>
            <w:r>
              <w:rPr>
                <w:rFonts w:hint="eastAsia" w:cs="Times New Roman"/>
                <w:color w:val="000000" w:themeColor="text1"/>
                <w:highlight w:val="none"/>
                <w:lang w:val="en-US" w:eastAsia="zh-CN"/>
                <w14:textFill>
                  <w14:solidFill>
                    <w14:schemeClr w14:val="tx1"/>
                  </w14:solidFill>
                </w14:textFill>
              </w:rPr>
              <w:instrText xml:space="preserve"> REF _Ref65681669 \n \h </w:instrText>
            </w:r>
            <w:r>
              <w:rPr>
                <w:rFonts w:hint="eastAsia" w:cs="Times New Roman"/>
                <w:color w:val="000000" w:themeColor="text1"/>
                <w:highlight w:val="none"/>
                <w:lang w:val="en-US" w:eastAsia="zh-CN"/>
                <w14:textFill>
                  <w14:solidFill>
                    <w14:schemeClr w14:val="tx1"/>
                  </w14:solidFill>
                </w14:textFill>
              </w:rPr>
              <w:fldChar w:fldCharType="separate"/>
            </w:r>
            <w:r>
              <w:rPr>
                <w:rFonts w:hint="eastAsia" w:cs="Times New Roman"/>
                <w:color w:val="000000" w:themeColor="text1"/>
                <w:highlight w:val="none"/>
                <w:lang w:val="en-US" w:eastAsia="zh-CN"/>
                <w14:textFill>
                  <w14:solidFill>
                    <w14:schemeClr w14:val="tx1"/>
                  </w14:solidFill>
                </w14:textFill>
              </w:rPr>
              <w:t>表3.1-1</w:t>
            </w:r>
            <w:r>
              <w:rPr>
                <w:rFonts w:hint="eastAsia" w:cs="Times New Roman"/>
                <w:color w:val="000000" w:themeColor="text1"/>
                <w:highlight w:val="none"/>
                <w:lang w:val="en-US" w:eastAsia="zh-CN"/>
                <w14:textFill>
                  <w14:solidFill>
                    <w14:schemeClr w14:val="tx1"/>
                  </w14:solidFill>
                </w14:textFill>
              </w:rPr>
              <w:fldChar w:fldCharType="end"/>
            </w:r>
            <w:r>
              <w:rPr>
                <w:rFonts w:hint="eastAsia" w:cs="Times New Roman"/>
                <w:color w:val="000000" w:themeColor="text1"/>
                <w:highlight w:val="none"/>
                <w:lang w:val="en-US" w:eastAsia="zh-CN"/>
                <w14:textFill>
                  <w14:solidFill>
                    <w14:schemeClr w14:val="tx1"/>
                  </w14:solidFill>
                </w14:textFill>
              </w:rPr>
              <w:t>。</w:t>
            </w:r>
          </w:p>
          <w:p w14:paraId="2A0199A3">
            <w:pPr>
              <w:pStyle w:val="30"/>
              <w:numPr>
                <w:ilvl w:val="4"/>
                <w:numId w:val="4"/>
              </w:numPr>
              <w:tabs>
                <w:tab w:val="left" w:pos="0"/>
              </w:tabs>
              <w:bidi w:val="0"/>
              <w:rPr>
                <w:rFonts w:hint="default" w:ascii="Times New Roman" w:hAnsi="Times New Roman" w:cs="Times New Roman"/>
                <w:color w:val="000000" w:themeColor="text1"/>
                <w:highlight w:val="none"/>
                <w:lang w:val="en-US" w:eastAsia="zh-CN"/>
                <w14:textFill>
                  <w14:solidFill>
                    <w14:schemeClr w14:val="tx1"/>
                  </w14:solidFill>
                </w14:textFill>
              </w:rPr>
            </w:pPr>
            <w:bookmarkStart w:id="133" w:name="_Ref65681669"/>
            <w:r>
              <w:rPr>
                <w:rFonts w:hint="eastAsia" w:cs="Times New Roman"/>
                <w:color w:val="000000" w:themeColor="text1"/>
                <w:highlight w:val="none"/>
                <w:lang w:val="en-US" w:eastAsia="zh-CN"/>
                <w14:textFill>
                  <w14:solidFill>
                    <w14:schemeClr w14:val="tx1"/>
                  </w14:solidFill>
                </w14:textFill>
              </w:rPr>
              <w:t>2023年永安市</w:t>
            </w:r>
            <w:r>
              <w:rPr>
                <w:rFonts w:hint="default" w:ascii="Times New Roman" w:hAnsi="Times New Roman" w:cs="Times New Roman"/>
                <w:color w:val="000000" w:themeColor="text1"/>
                <w:highlight w:val="none"/>
                <w14:textFill>
                  <w14:solidFill>
                    <w14:schemeClr w14:val="tx1"/>
                  </w14:solidFill>
                </w14:textFill>
              </w:rPr>
              <w:t>区域空气质量现状评价表</w:t>
            </w:r>
            <w:bookmarkEnd w:id="133"/>
          </w:p>
          <w:tbl>
            <w:tblPr>
              <w:tblStyle w:val="18"/>
              <w:tblW w:w="4926" w:type="pct"/>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9"/>
              <w:gridCol w:w="2549"/>
              <w:gridCol w:w="1435"/>
              <w:gridCol w:w="1166"/>
              <w:gridCol w:w="1192"/>
              <w:gridCol w:w="835"/>
            </w:tblGrid>
            <w:tr w14:paraId="7B328D9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2" w:type="pct"/>
                  <w:tcBorders>
                    <w:top w:val="single" w:color="auto" w:sz="12" w:space="0"/>
                    <w:left w:val="nil"/>
                    <w:bottom w:val="single" w:color="auto" w:sz="4" w:space="0"/>
                    <w:right w:val="single" w:color="auto" w:sz="4" w:space="0"/>
                  </w:tcBorders>
                  <w:noWrap w:val="0"/>
                  <w:vAlign w:val="center"/>
                </w:tcPr>
                <w:p w14:paraId="04E993B4">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污染物</w:t>
                  </w:r>
                </w:p>
              </w:tc>
              <w:tc>
                <w:tcPr>
                  <w:tcW w:w="1550" w:type="pct"/>
                  <w:tcBorders>
                    <w:top w:val="single" w:color="auto" w:sz="12" w:space="0"/>
                    <w:left w:val="single" w:color="auto" w:sz="4" w:space="0"/>
                    <w:bottom w:val="single" w:color="auto" w:sz="4" w:space="0"/>
                    <w:right w:val="single" w:color="auto" w:sz="4" w:space="0"/>
                  </w:tcBorders>
                  <w:noWrap w:val="0"/>
                  <w:vAlign w:val="center"/>
                </w:tcPr>
                <w:p w14:paraId="7A5D68CD">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年评价指标</w:t>
                  </w:r>
                </w:p>
              </w:tc>
              <w:tc>
                <w:tcPr>
                  <w:tcW w:w="873" w:type="pct"/>
                  <w:tcBorders>
                    <w:top w:val="single" w:color="auto" w:sz="12" w:space="0"/>
                    <w:left w:val="single" w:color="auto" w:sz="4" w:space="0"/>
                    <w:bottom w:val="single" w:color="auto" w:sz="4" w:space="0"/>
                    <w:right w:val="single" w:color="auto" w:sz="4" w:space="0"/>
                  </w:tcBorders>
                  <w:noWrap w:val="0"/>
                  <w:vAlign w:val="center"/>
                </w:tcPr>
                <w:p w14:paraId="0A38D77D">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现状浓度（µg/m</w:t>
                  </w:r>
                  <w:r>
                    <w:rPr>
                      <w:rFonts w:hint="default" w:ascii="Times New Roman" w:hAnsi="Times New Roman" w:cs="Times New Roman"/>
                      <w:color w:val="000000" w:themeColor="text1"/>
                      <w:szCs w:val="20"/>
                      <w:highlight w:val="none"/>
                      <w:vertAlign w:val="superscript"/>
                      <w:lang w:val="en-US" w:eastAsia="zh-CN" w:bidi="ar-SA"/>
                      <w14:textFill>
                        <w14:solidFill>
                          <w14:schemeClr w14:val="tx1"/>
                        </w14:solidFill>
                      </w14:textFill>
                    </w:rPr>
                    <w:t>3</w:t>
                  </w: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w:t>
                  </w:r>
                </w:p>
              </w:tc>
              <w:tc>
                <w:tcPr>
                  <w:tcW w:w="709" w:type="pct"/>
                  <w:tcBorders>
                    <w:top w:val="single" w:color="auto" w:sz="12" w:space="0"/>
                    <w:left w:val="single" w:color="auto" w:sz="4" w:space="0"/>
                    <w:bottom w:val="single" w:color="auto" w:sz="4" w:space="0"/>
                    <w:right w:val="single" w:color="auto" w:sz="4" w:space="0"/>
                  </w:tcBorders>
                  <w:noWrap w:val="0"/>
                  <w:vAlign w:val="center"/>
                </w:tcPr>
                <w:p w14:paraId="658E5550">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标准值（µg/m</w:t>
                  </w:r>
                  <w:r>
                    <w:rPr>
                      <w:rFonts w:hint="default" w:ascii="Times New Roman" w:hAnsi="Times New Roman" w:cs="Times New Roman"/>
                      <w:color w:val="000000" w:themeColor="text1"/>
                      <w:szCs w:val="20"/>
                      <w:highlight w:val="none"/>
                      <w:vertAlign w:val="superscript"/>
                      <w:lang w:val="en-US" w:eastAsia="zh-CN" w:bidi="ar-SA"/>
                      <w14:textFill>
                        <w14:solidFill>
                          <w14:schemeClr w14:val="tx1"/>
                        </w14:solidFill>
                      </w14:textFill>
                    </w:rPr>
                    <w:t>3</w:t>
                  </w: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w:t>
                  </w:r>
                </w:p>
              </w:tc>
              <w:tc>
                <w:tcPr>
                  <w:tcW w:w="725" w:type="pct"/>
                  <w:tcBorders>
                    <w:top w:val="single" w:color="auto" w:sz="12" w:space="0"/>
                    <w:left w:val="single" w:color="auto" w:sz="4" w:space="0"/>
                    <w:bottom w:val="single" w:color="auto" w:sz="4" w:space="0"/>
                    <w:right w:val="single" w:color="auto" w:sz="4" w:space="0"/>
                  </w:tcBorders>
                  <w:noWrap w:val="0"/>
                  <w:vAlign w:val="center"/>
                </w:tcPr>
                <w:p w14:paraId="48CEF66B">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占标率（%）</w:t>
                  </w:r>
                </w:p>
              </w:tc>
              <w:tc>
                <w:tcPr>
                  <w:tcW w:w="508" w:type="pct"/>
                  <w:tcBorders>
                    <w:top w:val="single" w:color="auto" w:sz="12" w:space="0"/>
                    <w:left w:val="single" w:color="auto" w:sz="4" w:space="0"/>
                    <w:bottom w:val="single" w:color="auto" w:sz="4" w:space="0"/>
                    <w:right w:val="nil"/>
                  </w:tcBorders>
                  <w:noWrap w:val="0"/>
                  <w:vAlign w:val="center"/>
                </w:tcPr>
                <w:p w14:paraId="3A029AB1">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达标情况</w:t>
                  </w:r>
                </w:p>
              </w:tc>
            </w:tr>
            <w:tr w14:paraId="442EE78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2" w:type="pct"/>
                  <w:vMerge w:val="restart"/>
                  <w:tcBorders>
                    <w:top w:val="single" w:color="auto" w:sz="4" w:space="0"/>
                    <w:left w:val="nil"/>
                    <w:right w:val="single" w:color="auto" w:sz="4" w:space="0"/>
                  </w:tcBorders>
                  <w:noWrap w:val="0"/>
                  <w:vAlign w:val="center"/>
                </w:tcPr>
                <w:p w14:paraId="335D16DF">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SO</w:t>
                  </w:r>
                  <w:r>
                    <w:rPr>
                      <w:rFonts w:hint="default" w:ascii="Times New Roman" w:hAnsi="Times New Roman" w:cs="Times New Roman"/>
                      <w:color w:val="000000" w:themeColor="text1"/>
                      <w:szCs w:val="20"/>
                      <w:highlight w:val="none"/>
                      <w:vertAlign w:val="subscript"/>
                      <w:lang w:val="en-US" w:eastAsia="zh-CN" w:bidi="ar-SA"/>
                      <w14:textFill>
                        <w14:solidFill>
                          <w14:schemeClr w14:val="tx1"/>
                        </w14:solidFill>
                      </w14:textFill>
                    </w:rPr>
                    <w:t>2</w:t>
                  </w:r>
                </w:p>
              </w:tc>
              <w:tc>
                <w:tcPr>
                  <w:tcW w:w="1550" w:type="pct"/>
                  <w:tcBorders>
                    <w:top w:val="single" w:color="auto" w:sz="4" w:space="0"/>
                    <w:left w:val="single" w:color="auto" w:sz="4" w:space="0"/>
                    <w:bottom w:val="single" w:color="auto" w:sz="4" w:space="0"/>
                    <w:right w:val="single" w:color="auto" w:sz="4" w:space="0"/>
                  </w:tcBorders>
                  <w:noWrap w:val="0"/>
                  <w:vAlign w:val="center"/>
                </w:tcPr>
                <w:p w14:paraId="5E885F17">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年均质量浓度</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279143CA">
                  <w:pPr>
                    <w:pStyle w:val="26"/>
                    <w:keepNext w:val="0"/>
                    <w:keepLines w:val="0"/>
                    <w:widowControl w:val="0"/>
                    <w:suppressLineNumbers w:val="0"/>
                    <w:bidi w:val="0"/>
                    <w:spacing w:before="0" w:beforeAutospacing="0" w:after="0" w:afterAutospacing="0"/>
                    <w:ind w:right="0"/>
                    <w:jc w:val="center"/>
                    <w:rPr>
                      <w:rFonts w:hint="default" w:ascii="Times New Roman" w:hAnsi="Times New Roman"/>
                      <w:color w:val="000000" w:themeColor="text1"/>
                      <w:szCs w:val="20"/>
                      <w:highlight w:val="none"/>
                      <w:lang w:val="en-US" w:eastAsia="zh-CN" w:bidi="ar-SA"/>
                      <w14:textFill>
                        <w14:solidFill>
                          <w14:schemeClr w14:val="tx1"/>
                        </w14:solidFill>
                      </w14:textFill>
                    </w:rPr>
                  </w:pPr>
                  <w:r>
                    <w:rPr>
                      <w:rFonts w:hint="eastAsia" w:ascii="Times New Roman" w:hAnsi="Times New Roman"/>
                      <w:color w:val="000000" w:themeColor="text1"/>
                      <w:szCs w:val="20"/>
                      <w:highlight w:val="none"/>
                      <w:lang w:val="en-US" w:eastAsia="zh-CN" w:bidi="ar-SA"/>
                      <w14:textFill>
                        <w14:solidFill>
                          <w14:schemeClr w14:val="tx1"/>
                        </w14:solidFill>
                      </w14:textFill>
                    </w:rPr>
                    <w:t>7.39</w:t>
                  </w:r>
                </w:p>
              </w:tc>
              <w:tc>
                <w:tcPr>
                  <w:tcW w:w="709" w:type="pct"/>
                  <w:tcBorders>
                    <w:top w:val="single" w:color="auto" w:sz="4" w:space="0"/>
                    <w:left w:val="single" w:color="auto" w:sz="4" w:space="0"/>
                    <w:bottom w:val="single" w:color="auto" w:sz="4" w:space="0"/>
                    <w:right w:val="single" w:color="auto" w:sz="4" w:space="0"/>
                  </w:tcBorders>
                  <w:noWrap w:val="0"/>
                  <w:vAlign w:val="center"/>
                </w:tcPr>
                <w:p w14:paraId="4AE71434">
                  <w:pPr>
                    <w:pStyle w:val="26"/>
                    <w:keepNext w:val="0"/>
                    <w:keepLines w:val="0"/>
                    <w:widowControl w:val="0"/>
                    <w:suppressLineNumbers w:val="0"/>
                    <w:bidi w:val="0"/>
                    <w:spacing w:before="0" w:beforeAutospacing="0" w:after="0" w:afterAutospacing="0"/>
                    <w:ind w:right="0"/>
                    <w:jc w:val="center"/>
                    <w:rPr>
                      <w:rFonts w:hint="default" w:ascii="Times New Roman" w:hAnsi="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olor w:val="000000" w:themeColor="text1"/>
                      <w:szCs w:val="20"/>
                      <w:highlight w:val="none"/>
                      <w:lang w:val="en-US" w:eastAsia="zh-CN" w:bidi="ar-SA"/>
                      <w14:textFill>
                        <w14:solidFill>
                          <w14:schemeClr w14:val="tx1"/>
                        </w14:solidFill>
                      </w14:textFill>
                    </w:rPr>
                    <w:t>60</w:t>
                  </w:r>
                </w:p>
              </w:tc>
              <w:tc>
                <w:tcPr>
                  <w:tcW w:w="725" w:type="pct"/>
                  <w:tcBorders>
                    <w:top w:val="single" w:color="auto" w:sz="4" w:space="0"/>
                    <w:left w:val="single" w:color="auto" w:sz="4" w:space="0"/>
                    <w:bottom w:val="single" w:color="auto" w:sz="4" w:space="0"/>
                    <w:right w:val="single" w:color="auto" w:sz="4" w:space="0"/>
                  </w:tcBorders>
                  <w:noWrap w:val="0"/>
                  <w:vAlign w:val="center"/>
                </w:tcPr>
                <w:p w14:paraId="782E08FD">
                  <w:pPr>
                    <w:pStyle w:val="26"/>
                    <w:keepNext w:val="0"/>
                    <w:keepLines w:val="0"/>
                    <w:widowControl w:val="0"/>
                    <w:suppressLineNumbers w:val="0"/>
                    <w:bidi w:val="0"/>
                    <w:spacing w:before="0" w:beforeAutospacing="0" w:after="0" w:afterAutospacing="0"/>
                    <w:ind w:right="0"/>
                    <w:jc w:val="center"/>
                    <w:rPr>
                      <w:rFonts w:hint="default" w:ascii="Times New Roman" w:hAnsi="Times New Roman" w:eastAsia="宋体"/>
                      <w:color w:val="000000" w:themeColor="text1"/>
                      <w:szCs w:val="20"/>
                      <w:highlight w:val="none"/>
                      <w:lang w:val="en-US" w:eastAsia="zh-CN" w:bidi="ar-SA"/>
                      <w14:textFill>
                        <w14:solidFill>
                          <w14:schemeClr w14:val="tx1"/>
                        </w14:solidFill>
                      </w14:textFill>
                    </w:rPr>
                  </w:pPr>
                  <w:r>
                    <w:rPr>
                      <w:rFonts w:hint="eastAsia" w:ascii="Times New Roman" w:hAnsi="Times New Roman"/>
                      <w:color w:val="000000" w:themeColor="text1"/>
                      <w:szCs w:val="20"/>
                      <w:highlight w:val="none"/>
                      <w:lang w:val="en-US" w:eastAsia="zh-CN" w:bidi="ar-SA"/>
                      <w14:textFill>
                        <w14:solidFill>
                          <w14:schemeClr w14:val="tx1"/>
                        </w14:solidFill>
                      </w14:textFill>
                    </w:rPr>
                    <w:t>12.32</w:t>
                  </w:r>
                </w:p>
              </w:tc>
              <w:tc>
                <w:tcPr>
                  <w:tcW w:w="508" w:type="pct"/>
                  <w:tcBorders>
                    <w:top w:val="single" w:color="auto" w:sz="4" w:space="0"/>
                    <w:left w:val="single" w:color="auto" w:sz="4" w:space="0"/>
                    <w:bottom w:val="single" w:color="auto" w:sz="4" w:space="0"/>
                    <w:right w:val="nil"/>
                  </w:tcBorders>
                  <w:noWrap w:val="0"/>
                  <w:vAlign w:val="center"/>
                </w:tcPr>
                <w:p w14:paraId="08E94E53">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达标</w:t>
                  </w:r>
                </w:p>
              </w:tc>
            </w:tr>
            <w:tr w14:paraId="59853F6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2" w:type="pct"/>
                  <w:vMerge w:val="continue"/>
                  <w:tcBorders>
                    <w:left w:val="nil"/>
                    <w:bottom w:val="single" w:color="auto" w:sz="4" w:space="0"/>
                    <w:right w:val="single" w:color="auto" w:sz="4" w:space="0"/>
                  </w:tcBorders>
                  <w:noWrap w:val="0"/>
                  <w:vAlign w:val="center"/>
                </w:tcPr>
                <w:p w14:paraId="1DA30FED">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p>
              </w:tc>
              <w:tc>
                <w:tcPr>
                  <w:tcW w:w="1550" w:type="pct"/>
                  <w:tcBorders>
                    <w:top w:val="single" w:color="auto" w:sz="4" w:space="0"/>
                    <w:left w:val="single" w:color="auto" w:sz="4" w:space="0"/>
                    <w:bottom w:val="single" w:color="auto" w:sz="4" w:space="0"/>
                    <w:right w:val="single" w:color="auto" w:sz="4" w:space="0"/>
                  </w:tcBorders>
                  <w:noWrap w:val="0"/>
                  <w:vAlign w:val="center"/>
                </w:tcPr>
                <w:p w14:paraId="4F29B156">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eastAsia" w:ascii="Times New Roman" w:hAnsi="Times New Roman" w:cs="Times New Roman"/>
                      <w:color w:val="000000" w:themeColor="text1"/>
                      <w:szCs w:val="20"/>
                      <w:highlight w:val="none"/>
                      <w:lang w:val="en-US" w:eastAsia="zh-CN" w:bidi="ar-SA"/>
                      <w14:textFill>
                        <w14:solidFill>
                          <w14:schemeClr w14:val="tx1"/>
                        </w14:solidFill>
                      </w14:textFill>
                    </w:rPr>
                    <w:t>98%位数日平均质量浓度</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2AD7A4E0">
                  <w:pPr>
                    <w:pStyle w:val="26"/>
                    <w:keepNext w:val="0"/>
                    <w:keepLines w:val="0"/>
                    <w:widowControl w:val="0"/>
                    <w:suppressLineNumbers w:val="0"/>
                    <w:bidi w:val="0"/>
                    <w:spacing w:before="0" w:beforeAutospacing="0" w:after="0" w:afterAutospacing="0"/>
                    <w:ind w:right="0"/>
                    <w:jc w:val="center"/>
                    <w:rPr>
                      <w:rFonts w:hint="default" w:ascii="Times New Roman" w:hAnsi="Times New Roman"/>
                      <w:color w:val="000000" w:themeColor="text1"/>
                      <w:szCs w:val="20"/>
                      <w:highlight w:val="none"/>
                      <w:lang w:val="en-US" w:eastAsia="zh-CN" w:bidi="ar-SA"/>
                      <w14:textFill>
                        <w14:solidFill>
                          <w14:schemeClr w14:val="tx1"/>
                        </w14:solidFill>
                      </w14:textFill>
                    </w:rPr>
                  </w:pPr>
                  <w:r>
                    <w:rPr>
                      <w:rFonts w:hint="eastAsia" w:ascii="Times New Roman" w:hAnsi="Times New Roman"/>
                      <w:color w:val="000000" w:themeColor="text1"/>
                      <w:szCs w:val="20"/>
                      <w:highlight w:val="none"/>
                      <w:lang w:val="en-US" w:eastAsia="zh-CN" w:bidi="ar-SA"/>
                      <w14:textFill>
                        <w14:solidFill>
                          <w14:schemeClr w14:val="tx1"/>
                        </w14:solidFill>
                      </w14:textFill>
                    </w:rPr>
                    <w:t>19.15</w:t>
                  </w:r>
                </w:p>
              </w:tc>
              <w:tc>
                <w:tcPr>
                  <w:tcW w:w="709" w:type="pct"/>
                  <w:tcBorders>
                    <w:top w:val="single" w:color="auto" w:sz="4" w:space="0"/>
                    <w:left w:val="single" w:color="auto" w:sz="4" w:space="0"/>
                    <w:bottom w:val="single" w:color="auto" w:sz="4" w:space="0"/>
                    <w:right w:val="single" w:color="auto" w:sz="4" w:space="0"/>
                  </w:tcBorders>
                  <w:noWrap w:val="0"/>
                  <w:vAlign w:val="center"/>
                </w:tcPr>
                <w:p w14:paraId="577788BF">
                  <w:pPr>
                    <w:pStyle w:val="26"/>
                    <w:keepNext w:val="0"/>
                    <w:keepLines w:val="0"/>
                    <w:widowControl w:val="0"/>
                    <w:suppressLineNumbers w:val="0"/>
                    <w:bidi w:val="0"/>
                    <w:spacing w:before="0" w:beforeAutospacing="0" w:after="0" w:afterAutospacing="0"/>
                    <w:ind w:right="0"/>
                    <w:jc w:val="center"/>
                    <w:rPr>
                      <w:rFonts w:hint="default" w:ascii="Times New Roman" w:hAnsi="Times New Roman"/>
                      <w:color w:val="000000" w:themeColor="text1"/>
                      <w:szCs w:val="20"/>
                      <w:highlight w:val="none"/>
                      <w:lang w:val="en-US" w:eastAsia="zh-CN" w:bidi="ar-SA"/>
                      <w14:textFill>
                        <w14:solidFill>
                          <w14:schemeClr w14:val="tx1"/>
                        </w14:solidFill>
                      </w14:textFill>
                    </w:rPr>
                  </w:pPr>
                  <w:r>
                    <w:rPr>
                      <w:rFonts w:hint="eastAsia" w:ascii="Times New Roman" w:hAnsi="Times New Roman"/>
                      <w:color w:val="000000" w:themeColor="text1"/>
                      <w:szCs w:val="20"/>
                      <w:highlight w:val="none"/>
                      <w:lang w:val="en-US" w:eastAsia="zh-CN" w:bidi="ar-SA"/>
                      <w14:textFill>
                        <w14:solidFill>
                          <w14:schemeClr w14:val="tx1"/>
                        </w14:solidFill>
                      </w14:textFill>
                    </w:rPr>
                    <w:t>150</w:t>
                  </w:r>
                </w:p>
              </w:tc>
              <w:tc>
                <w:tcPr>
                  <w:tcW w:w="725" w:type="pct"/>
                  <w:tcBorders>
                    <w:top w:val="single" w:color="auto" w:sz="4" w:space="0"/>
                    <w:left w:val="single" w:color="auto" w:sz="4" w:space="0"/>
                    <w:bottom w:val="single" w:color="auto" w:sz="4" w:space="0"/>
                    <w:right w:val="single" w:color="auto" w:sz="4" w:space="0"/>
                  </w:tcBorders>
                  <w:noWrap w:val="0"/>
                  <w:vAlign w:val="center"/>
                </w:tcPr>
                <w:p w14:paraId="4DEE0C3E">
                  <w:pPr>
                    <w:pStyle w:val="26"/>
                    <w:keepNext w:val="0"/>
                    <w:keepLines w:val="0"/>
                    <w:widowControl w:val="0"/>
                    <w:suppressLineNumbers w:val="0"/>
                    <w:bidi w:val="0"/>
                    <w:spacing w:before="0" w:beforeAutospacing="0" w:after="0" w:afterAutospacing="0"/>
                    <w:ind w:right="0"/>
                    <w:jc w:val="center"/>
                    <w:rPr>
                      <w:rFonts w:hint="default" w:ascii="Times New Roman" w:hAnsi="Times New Roman"/>
                      <w:color w:val="000000" w:themeColor="text1"/>
                      <w:szCs w:val="20"/>
                      <w:highlight w:val="none"/>
                      <w:lang w:val="en-US" w:eastAsia="zh-CN" w:bidi="ar-SA"/>
                      <w14:textFill>
                        <w14:solidFill>
                          <w14:schemeClr w14:val="tx1"/>
                        </w14:solidFill>
                      </w14:textFill>
                    </w:rPr>
                  </w:pPr>
                  <w:r>
                    <w:rPr>
                      <w:rFonts w:hint="eastAsia" w:ascii="Times New Roman" w:hAnsi="Times New Roman"/>
                      <w:color w:val="000000" w:themeColor="text1"/>
                      <w:szCs w:val="20"/>
                      <w:highlight w:val="none"/>
                      <w:lang w:val="en-US" w:eastAsia="zh-CN" w:bidi="ar-SA"/>
                      <w14:textFill>
                        <w14:solidFill>
                          <w14:schemeClr w14:val="tx1"/>
                        </w14:solidFill>
                      </w14:textFill>
                    </w:rPr>
                    <w:t>12.77</w:t>
                  </w:r>
                </w:p>
              </w:tc>
              <w:tc>
                <w:tcPr>
                  <w:tcW w:w="508" w:type="pct"/>
                  <w:tcBorders>
                    <w:top w:val="single" w:color="auto" w:sz="4" w:space="0"/>
                    <w:left w:val="single" w:color="auto" w:sz="4" w:space="0"/>
                    <w:bottom w:val="single" w:color="auto" w:sz="4" w:space="0"/>
                    <w:right w:val="nil"/>
                  </w:tcBorders>
                  <w:noWrap w:val="0"/>
                  <w:vAlign w:val="center"/>
                </w:tcPr>
                <w:p w14:paraId="11249EF9">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达标</w:t>
                  </w:r>
                </w:p>
              </w:tc>
            </w:tr>
            <w:tr w14:paraId="2959C1A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2" w:type="pct"/>
                  <w:vMerge w:val="restart"/>
                  <w:tcBorders>
                    <w:top w:val="single" w:color="auto" w:sz="4" w:space="0"/>
                    <w:left w:val="nil"/>
                    <w:right w:val="single" w:color="auto" w:sz="4" w:space="0"/>
                  </w:tcBorders>
                  <w:noWrap w:val="0"/>
                  <w:vAlign w:val="center"/>
                </w:tcPr>
                <w:p w14:paraId="55575783">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NO</w:t>
                  </w:r>
                  <w:r>
                    <w:rPr>
                      <w:rFonts w:hint="default" w:ascii="Times New Roman" w:hAnsi="Times New Roman" w:cs="Times New Roman"/>
                      <w:color w:val="000000" w:themeColor="text1"/>
                      <w:szCs w:val="20"/>
                      <w:highlight w:val="none"/>
                      <w:vertAlign w:val="subscript"/>
                      <w:lang w:val="en-US" w:eastAsia="zh-CN" w:bidi="ar-SA"/>
                      <w14:textFill>
                        <w14:solidFill>
                          <w14:schemeClr w14:val="tx1"/>
                        </w14:solidFill>
                      </w14:textFill>
                    </w:rPr>
                    <w:t>2</w:t>
                  </w:r>
                </w:p>
              </w:tc>
              <w:tc>
                <w:tcPr>
                  <w:tcW w:w="1550" w:type="pct"/>
                  <w:tcBorders>
                    <w:top w:val="single" w:color="auto" w:sz="4" w:space="0"/>
                    <w:left w:val="single" w:color="auto" w:sz="4" w:space="0"/>
                    <w:bottom w:val="single" w:color="auto" w:sz="4" w:space="0"/>
                    <w:right w:val="single" w:color="auto" w:sz="4" w:space="0"/>
                  </w:tcBorders>
                  <w:noWrap w:val="0"/>
                  <w:vAlign w:val="center"/>
                </w:tcPr>
                <w:p w14:paraId="5064B96E">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年均质量浓度</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51AB13A7">
                  <w:pPr>
                    <w:pStyle w:val="26"/>
                    <w:keepNext w:val="0"/>
                    <w:keepLines w:val="0"/>
                    <w:widowControl w:val="0"/>
                    <w:suppressLineNumbers w:val="0"/>
                    <w:bidi w:val="0"/>
                    <w:spacing w:before="0" w:beforeAutospacing="0" w:after="0" w:afterAutospacing="0"/>
                    <w:ind w:right="0"/>
                    <w:jc w:val="center"/>
                    <w:rPr>
                      <w:rFonts w:hint="default" w:ascii="Times New Roman" w:hAnsi="Times New Roman"/>
                      <w:color w:val="000000" w:themeColor="text1"/>
                      <w:szCs w:val="20"/>
                      <w:highlight w:val="none"/>
                      <w:lang w:val="en-US" w:eastAsia="zh-CN" w:bidi="ar-SA"/>
                      <w14:textFill>
                        <w14:solidFill>
                          <w14:schemeClr w14:val="tx1"/>
                        </w14:solidFill>
                      </w14:textFill>
                    </w:rPr>
                  </w:pPr>
                  <w:r>
                    <w:rPr>
                      <w:rFonts w:hint="eastAsia" w:ascii="Times New Roman" w:hAnsi="Times New Roman"/>
                      <w:color w:val="000000" w:themeColor="text1"/>
                      <w:szCs w:val="20"/>
                      <w:highlight w:val="none"/>
                      <w:lang w:val="en-US" w:eastAsia="zh-CN" w:bidi="ar-SA"/>
                      <w14:textFill>
                        <w14:solidFill>
                          <w14:schemeClr w14:val="tx1"/>
                        </w14:solidFill>
                      </w14:textFill>
                    </w:rPr>
                    <w:t>13.24</w:t>
                  </w:r>
                </w:p>
              </w:tc>
              <w:tc>
                <w:tcPr>
                  <w:tcW w:w="709" w:type="pct"/>
                  <w:tcBorders>
                    <w:top w:val="single" w:color="auto" w:sz="4" w:space="0"/>
                    <w:left w:val="single" w:color="auto" w:sz="4" w:space="0"/>
                    <w:bottom w:val="single" w:color="auto" w:sz="4" w:space="0"/>
                    <w:right w:val="single" w:color="auto" w:sz="4" w:space="0"/>
                  </w:tcBorders>
                  <w:noWrap w:val="0"/>
                  <w:vAlign w:val="center"/>
                </w:tcPr>
                <w:p w14:paraId="483D19F8">
                  <w:pPr>
                    <w:pStyle w:val="26"/>
                    <w:keepNext w:val="0"/>
                    <w:keepLines w:val="0"/>
                    <w:widowControl w:val="0"/>
                    <w:suppressLineNumbers w:val="0"/>
                    <w:bidi w:val="0"/>
                    <w:spacing w:before="0" w:beforeAutospacing="0" w:after="0" w:afterAutospacing="0"/>
                    <w:ind w:right="0"/>
                    <w:jc w:val="center"/>
                    <w:rPr>
                      <w:rFonts w:hint="default" w:ascii="Times New Roman" w:hAnsi="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olor w:val="000000" w:themeColor="text1"/>
                      <w:szCs w:val="20"/>
                      <w:highlight w:val="none"/>
                      <w:lang w:val="en-US" w:eastAsia="zh-CN" w:bidi="ar-SA"/>
                      <w14:textFill>
                        <w14:solidFill>
                          <w14:schemeClr w14:val="tx1"/>
                        </w14:solidFill>
                      </w14:textFill>
                    </w:rPr>
                    <w:t>40</w:t>
                  </w:r>
                </w:p>
              </w:tc>
              <w:tc>
                <w:tcPr>
                  <w:tcW w:w="725" w:type="pct"/>
                  <w:tcBorders>
                    <w:top w:val="single" w:color="auto" w:sz="4" w:space="0"/>
                    <w:left w:val="single" w:color="auto" w:sz="4" w:space="0"/>
                    <w:bottom w:val="single" w:color="auto" w:sz="4" w:space="0"/>
                    <w:right w:val="single" w:color="auto" w:sz="4" w:space="0"/>
                  </w:tcBorders>
                  <w:noWrap w:val="0"/>
                  <w:vAlign w:val="center"/>
                </w:tcPr>
                <w:p w14:paraId="66469819">
                  <w:pPr>
                    <w:pStyle w:val="26"/>
                    <w:keepNext w:val="0"/>
                    <w:keepLines w:val="0"/>
                    <w:widowControl w:val="0"/>
                    <w:suppressLineNumbers w:val="0"/>
                    <w:bidi w:val="0"/>
                    <w:spacing w:before="0" w:beforeAutospacing="0" w:after="0" w:afterAutospacing="0"/>
                    <w:ind w:right="0"/>
                    <w:jc w:val="center"/>
                    <w:rPr>
                      <w:rFonts w:hint="default" w:ascii="Times New Roman" w:hAnsi="Times New Roman" w:eastAsia="宋体"/>
                      <w:color w:val="000000" w:themeColor="text1"/>
                      <w:szCs w:val="20"/>
                      <w:highlight w:val="none"/>
                      <w:lang w:val="en-US" w:eastAsia="zh-CN" w:bidi="ar-SA"/>
                      <w14:textFill>
                        <w14:solidFill>
                          <w14:schemeClr w14:val="tx1"/>
                        </w14:solidFill>
                      </w14:textFill>
                    </w:rPr>
                  </w:pPr>
                  <w:r>
                    <w:rPr>
                      <w:rFonts w:hint="eastAsia" w:ascii="Times New Roman" w:hAnsi="Times New Roman"/>
                      <w:color w:val="000000" w:themeColor="text1"/>
                      <w:szCs w:val="20"/>
                      <w:highlight w:val="none"/>
                      <w:lang w:val="en-US" w:eastAsia="zh-CN" w:bidi="ar-SA"/>
                      <w14:textFill>
                        <w14:solidFill>
                          <w14:schemeClr w14:val="tx1"/>
                        </w14:solidFill>
                      </w14:textFill>
                    </w:rPr>
                    <w:t>33.10</w:t>
                  </w:r>
                </w:p>
              </w:tc>
              <w:tc>
                <w:tcPr>
                  <w:tcW w:w="508" w:type="pct"/>
                  <w:tcBorders>
                    <w:top w:val="single" w:color="auto" w:sz="4" w:space="0"/>
                    <w:left w:val="single" w:color="auto" w:sz="4" w:space="0"/>
                    <w:bottom w:val="single" w:color="auto" w:sz="4" w:space="0"/>
                    <w:right w:val="nil"/>
                  </w:tcBorders>
                  <w:noWrap w:val="0"/>
                  <w:vAlign w:val="center"/>
                </w:tcPr>
                <w:p w14:paraId="428355D9">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达标</w:t>
                  </w:r>
                </w:p>
              </w:tc>
            </w:tr>
            <w:tr w14:paraId="35A557F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2" w:type="pct"/>
                  <w:vMerge w:val="continue"/>
                  <w:tcBorders>
                    <w:left w:val="nil"/>
                    <w:bottom w:val="single" w:color="auto" w:sz="4" w:space="0"/>
                    <w:right w:val="single" w:color="auto" w:sz="4" w:space="0"/>
                  </w:tcBorders>
                  <w:noWrap w:val="0"/>
                  <w:vAlign w:val="center"/>
                </w:tcPr>
                <w:p w14:paraId="5504C494">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p>
              </w:tc>
              <w:tc>
                <w:tcPr>
                  <w:tcW w:w="1550" w:type="pct"/>
                  <w:tcBorders>
                    <w:top w:val="single" w:color="auto" w:sz="4" w:space="0"/>
                    <w:left w:val="single" w:color="auto" w:sz="4" w:space="0"/>
                    <w:bottom w:val="single" w:color="auto" w:sz="4" w:space="0"/>
                    <w:right w:val="single" w:color="auto" w:sz="4" w:space="0"/>
                  </w:tcBorders>
                  <w:noWrap w:val="0"/>
                  <w:vAlign w:val="center"/>
                </w:tcPr>
                <w:p w14:paraId="1C8B2C2C">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eastAsia" w:ascii="Times New Roman" w:hAnsi="Times New Roman" w:cs="Times New Roman"/>
                      <w:color w:val="000000" w:themeColor="text1"/>
                      <w:szCs w:val="20"/>
                      <w:highlight w:val="none"/>
                      <w:lang w:val="en-US" w:eastAsia="zh-CN" w:bidi="ar-SA"/>
                      <w14:textFill>
                        <w14:solidFill>
                          <w14:schemeClr w14:val="tx1"/>
                        </w14:solidFill>
                      </w14:textFill>
                    </w:rPr>
                    <w:t>98%位数日平均质量浓度</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78F24E90">
                  <w:pPr>
                    <w:pStyle w:val="26"/>
                    <w:keepNext w:val="0"/>
                    <w:keepLines w:val="0"/>
                    <w:widowControl w:val="0"/>
                    <w:suppressLineNumbers w:val="0"/>
                    <w:bidi w:val="0"/>
                    <w:spacing w:before="0" w:beforeAutospacing="0" w:after="0" w:afterAutospacing="0"/>
                    <w:ind w:right="0"/>
                    <w:jc w:val="center"/>
                    <w:rPr>
                      <w:rFonts w:hint="default" w:ascii="Times New Roman" w:hAnsi="Times New Roman"/>
                      <w:color w:val="000000" w:themeColor="text1"/>
                      <w:szCs w:val="20"/>
                      <w:highlight w:val="none"/>
                      <w:lang w:val="en-US" w:eastAsia="zh-CN" w:bidi="ar-SA"/>
                      <w14:textFill>
                        <w14:solidFill>
                          <w14:schemeClr w14:val="tx1"/>
                        </w14:solidFill>
                      </w14:textFill>
                    </w:rPr>
                  </w:pPr>
                  <w:r>
                    <w:rPr>
                      <w:rFonts w:hint="eastAsia" w:ascii="Times New Roman" w:hAnsi="Times New Roman"/>
                      <w:color w:val="000000" w:themeColor="text1"/>
                      <w:szCs w:val="20"/>
                      <w:highlight w:val="none"/>
                      <w:lang w:val="en-US" w:eastAsia="zh-CN" w:bidi="ar-SA"/>
                      <w14:textFill>
                        <w14:solidFill>
                          <w14:schemeClr w14:val="tx1"/>
                        </w14:solidFill>
                      </w14:textFill>
                    </w:rPr>
                    <w:t>29.15</w:t>
                  </w:r>
                </w:p>
              </w:tc>
              <w:tc>
                <w:tcPr>
                  <w:tcW w:w="709" w:type="pct"/>
                  <w:tcBorders>
                    <w:top w:val="single" w:color="auto" w:sz="4" w:space="0"/>
                    <w:left w:val="single" w:color="auto" w:sz="4" w:space="0"/>
                    <w:bottom w:val="single" w:color="auto" w:sz="4" w:space="0"/>
                    <w:right w:val="single" w:color="auto" w:sz="4" w:space="0"/>
                  </w:tcBorders>
                  <w:noWrap w:val="0"/>
                  <w:vAlign w:val="center"/>
                </w:tcPr>
                <w:p w14:paraId="06269D50">
                  <w:pPr>
                    <w:pStyle w:val="26"/>
                    <w:keepNext w:val="0"/>
                    <w:keepLines w:val="0"/>
                    <w:widowControl w:val="0"/>
                    <w:suppressLineNumbers w:val="0"/>
                    <w:bidi w:val="0"/>
                    <w:spacing w:before="0" w:beforeAutospacing="0" w:after="0" w:afterAutospacing="0"/>
                    <w:ind w:right="0"/>
                    <w:jc w:val="center"/>
                    <w:rPr>
                      <w:rFonts w:hint="default" w:ascii="Times New Roman" w:hAnsi="Times New Roman"/>
                      <w:color w:val="000000" w:themeColor="text1"/>
                      <w:szCs w:val="20"/>
                      <w:highlight w:val="none"/>
                      <w:lang w:val="en-US" w:eastAsia="zh-CN" w:bidi="ar-SA"/>
                      <w14:textFill>
                        <w14:solidFill>
                          <w14:schemeClr w14:val="tx1"/>
                        </w14:solidFill>
                      </w14:textFill>
                    </w:rPr>
                  </w:pPr>
                  <w:r>
                    <w:rPr>
                      <w:rFonts w:hint="eastAsia" w:ascii="Times New Roman" w:hAnsi="Times New Roman"/>
                      <w:color w:val="000000" w:themeColor="text1"/>
                      <w:szCs w:val="20"/>
                      <w:highlight w:val="none"/>
                      <w:lang w:val="en-US" w:eastAsia="zh-CN" w:bidi="ar-SA"/>
                      <w14:textFill>
                        <w14:solidFill>
                          <w14:schemeClr w14:val="tx1"/>
                        </w14:solidFill>
                      </w14:textFill>
                    </w:rPr>
                    <w:t>80</w:t>
                  </w:r>
                </w:p>
              </w:tc>
              <w:tc>
                <w:tcPr>
                  <w:tcW w:w="725" w:type="pct"/>
                  <w:tcBorders>
                    <w:top w:val="single" w:color="auto" w:sz="4" w:space="0"/>
                    <w:left w:val="single" w:color="auto" w:sz="4" w:space="0"/>
                    <w:bottom w:val="single" w:color="auto" w:sz="4" w:space="0"/>
                    <w:right w:val="single" w:color="auto" w:sz="4" w:space="0"/>
                  </w:tcBorders>
                  <w:noWrap w:val="0"/>
                  <w:vAlign w:val="center"/>
                </w:tcPr>
                <w:p w14:paraId="163B8222">
                  <w:pPr>
                    <w:pStyle w:val="26"/>
                    <w:keepNext w:val="0"/>
                    <w:keepLines w:val="0"/>
                    <w:widowControl w:val="0"/>
                    <w:suppressLineNumbers w:val="0"/>
                    <w:bidi w:val="0"/>
                    <w:spacing w:before="0" w:beforeAutospacing="0" w:after="0" w:afterAutospacing="0"/>
                    <w:ind w:right="0"/>
                    <w:jc w:val="center"/>
                    <w:rPr>
                      <w:rFonts w:hint="default" w:ascii="Times New Roman" w:hAnsi="Times New Roman"/>
                      <w:color w:val="000000" w:themeColor="text1"/>
                      <w:szCs w:val="20"/>
                      <w:highlight w:val="none"/>
                      <w:lang w:val="en-US" w:eastAsia="zh-CN" w:bidi="ar-SA"/>
                      <w14:textFill>
                        <w14:solidFill>
                          <w14:schemeClr w14:val="tx1"/>
                        </w14:solidFill>
                      </w14:textFill>
                    </w:rPr>
                  </w:pPr>
                  <w:r>
                    <w:rPr>
                      <w:rFonts w:hint="eastAsia" w:ascii="Times New Roman" w:hAnsi="Times New Roman"/>
                      <w:color w:val="000000" w:themeColor="text1"/>
                      <w:szCs w:val="20"/>
                      <w:highlight w:val="none"/>
                      <w:lang w:val="en-US" w:eastAsia="zh-CN" w:bidi="ar-SA"/>
                      <w14:textFill>
                        <w14:solidFill>
                          <w14:schemeClr w14:val="tx1"/>
                        </w14:solidFill>
                      </w14:textFill>
                    </w:rPr>
                    <w:t>36.44</w:t>
                  </w:r>
                </w:p>
              </w:tc>
              <w:tc>
                <w:tcPr>
                  <w:tcW w:w="508" w:type="pct"/>
                  <w:tcBorders>
                    <w:top w:val="single" w:color="auto" w:sz="4" w:space="0"/>
                    <w:left w:val="single" w:color="auto" w:sz="4" w:space="0"/>
                    <w:bottom w:val="single" w:color="auto" w:sz="4" w:space="0"/>
                    <w:right w:val="nil"/>
                  </w:tcBorders>
                  <w:noWrap w:val="0"/>
                  <w:vAlign w:val="center"/>
                </w:tcPr>
                <w:p w14:paraId="6B4DE988">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达标</w:t>
                  </w:r>
                </w:p>
              </w:tc>
            </w:tr>
            <w:tr w14:paraId="79DA3DFD">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2" w:type="pct"/>
                  <w:vMerge w:val="restart"/>
                  <w:tcBorders>
                    <w:top w:val="single" w:color="auto" w:sz="4" w:space="0"/>
                    <w:left w:val="nil"/>
                    <w:right w:val="single" w:color="auto" w:sz="4" w:space="0"/>
                  </w:tcBorders>
                  <w:noWrap w:val="0"/>
                  <w:vAlign w:val="center"/>
                </w:tcPr>
                <w:p w14:paraId="083589F4">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PM</w:t>
                  </w:r>
                  <w:r>
                    <w:rPr>
                      <w:rFonts w:hint="default" w:ascii="Times New Roman" w:hAnsi="Times New Roman" w:cs="Times New Roman"/>
                      <w:color w:val="000000" w:themeColor="text1"/>
                      <w:szCs w:val="20"/>
                      <w:highlight w:val="none"/>
                      <w:vertAlign w:val="subscript"/>
                      <w:lang w:val="en-US" w:eastAsia="zh-CN" w:bidi="ar-SA"/>
                      <w14:textFill>
                        <w14:solidFill>
                          <w14:schemeClr w14:val="tx1"/>
                        </w14:solidFill>
                      </w14:textFill>
                    </w:rPr>
                    <w:t>10</w:t>
                  </w:r>
                </w:p>
              </w:tc>
              <w:tc>
                <w:tcPr>
                  <w:tcW w:w="1550" w:type="pct"/>
                  <w:tcBorders>
                    <w:top w:val="single" w:color="auto" w:sz="4" w:space="0"/>
                    <w:left w:val="single" w:color="auto" w:sz="4" w:space="0"/>
                    <w:bottom w:val="single" w:color="auto" w:sz="4" w:space="0"/>
                    <w:right w:val="single" w:color="auto" w:sz="4" w:space="0"/>
                  </w:tcBorders>
                  <w:noWrap w:val="0"/>
                  <w:vAlign w:val="center"/>
                </w:tcPr>
                <w:p w14:paraId="4E86CE07">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年均质量浓度</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53715DA7">
                  <w:pPr>
                    <w:pStyle w:val="26"/>
                    <w:keepNext w:val="0"/>
                    <w:keepLines w:val="0"/>
                    <w:widowControl w:val="0"/>
                    <w:suppressLineNumbers w:val="0"/>
                    <w:bidi w:val="0"/>
                    <w:spacing w:before="0" w:beforeAutospacing="0" w:after="0" w:afterAutospacing="0"/>
                    <w:ind w:right="0"/>
                    <w:jc w:val="center"/>
                    <w:rPr>
                      <w:rFonts w:hint="default" w:ascii="Times New Roman" w:hAnsi="Times New Roman"/>
                      <w:color w:val="000000" w:themeColor="text1"/>
                      <w:szCs w:val="20"/>
                      <w:highlight w:val="none"/>
                      <w:lang w:val="en-US" w:eastAsia="zh-CN" w:bidi="ar-SA"/>
                      <w14:textFill>
                        <w14:solidFill>
                          <w14:schemeClr w14:val="tx1"/>
                        </w14:solidFill>
                      </w14:textFill>
                    </w:rPr>
                  </w:pPr>
                  <w:r>
                    <w:rPr>
                      <w:rFonts w:hint="eastAsia" w:ascii="Times New Roman" w:hAnsi="Times New Roman"/>
                      <w:color w:val="000000" w:themeColor="text1"/>
                      <w:szCs w:val="20"/>
                      <w:highlight w:val="none"/>
                      <w:lang w:val="en-US" w:eastAsia="zh-CN" w:bidi="ar-SA"/>
                      <w14:textFill>
                        <w14:solidFill>
                          <w14:schemeClr w14:val="tx1"/>
                        </w14:solidFill>
                      </w14:textFill>
                    </w:rPr>
                    <w:t>35.09</w:t>
                  </w:r>
                </w:p>
              </w:tc>
              <w:tc>
                <w:tcPr>
                  <w:tcW w:w="709" w:type="pct"/>
                  <w:tcBorders>
                    <w:top w:val="single" w:color="auto" w:sz="4" w:space="0"/>
                    <w:left w:val="single" w:color="auto" w:sz="4" w:space="0"/>
                    <w:bottom w:val="single" w:color="auto" w:sz="4" w:space="0"/>
                    <w:right w:val="single" w:color="auto" w:sz="4" w:space="0"/>
                  </w:tcBorders>
                  <w:noWrap w:val="0"/>
                  <w:vAlign w:val="center"/>
                </w:tcPr>
                <w:p w14:paraId="109330F3">
                  <w:pPr>
                    <w:pStyle w:val="26"/>
                    <w:keepNext w:val="0"/>
                    <w:keepLines w:val="0"/>
                    <w:widowControl w:val="0"/>
                    <w:suppressLineNumbers w:val="0"/>
                    <w:bidi w:val="0"/>
                    <w:spacing w:before="0" w:beforeAutospacing="0" w:after="0" w:afterAutospacing="0"/>
                    <w:ind w:right="0"/>
                    <w:jc w:val="center"/>
                    <w:rPr>
                      <w:rFonts w:hint="default" w:ascii="Times New Roman" w:hAnsi="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olor w:val="000000" w:themeColor="text1"/>
                      <w:szCs w:val="20"/>
                      <w:highlight w:val="none"/>
                      <w:lang w:val="en-US" w:eastAsia="zh-CN" w:bidi="ar-SA"/>
                      <w14:textFill>
                        <w14:solidFill>
                          <w14:schemeClr w14:val="tx1"/>
                        </w14:solidFill>
                      </w14:textFill>
                    </w:rPr>
                    <w:t>70</w:t>
                  </w:r>
                </w:p>
              </w:tc>
              <w:tc>
                <w:tcPr>
                  <w:tcW w:w="725" w:type="pct"/>
                  <w:tcBorders>
                    <w:top w:val="single" w:color="auto" w:sz="4" w:space="0"/>
                    <w:left w:val="single" w:color="auto" w:sz="4" w:space="0"/>
                    <w:bottom w:val="single" w:color="auto" w:sz="4" w:space="0"/>
                    <w:right w:val="single" w:color="auto" w:sz="4" w:space="0"/>
                  </w:tcBorders>
                  <w:noWrap w:val="0"/>
                  <w:vAlign w:val="center"/>
                </w:tcPr>
                <w:p w14:paraId="7E42599E">
                  <w:pPr>
                    <w:pStyle w:val="26"/>
                    <w:keepNext w:val="0"/>
                    <w:keepLines w:val="0"/>
                    <w:widowControl w:val="0"/>
                    <w:suppressLineNumbers w:val="0"/>
                    <w:bidi w:val="0"/>
                    <w:spacing w:before="0" w:beforeAutospacing="0" w:after="0" w:afterAutospacing="0"/>
                    <w:ind w:right="0"/>
                    <w:jc w:val="center"/>
                    <w:rPr>
                      <w:rFonts w:hint="default" w:ascii="Times New Roman" w:hAnsi="Times New Roman" w:eastAsia="宋体"/>
                      <w:color w:val="000000" w:themeColor="text1"/>
                      <w:szCs w:val="20"/>
                      <w:highlight w:val="none"/>
                      <w:lang w:val="en-US" w:eastAsia="zh-CN" w:bidi="ar-SA"/>
                      <w14:textFill>
                        <w14:solidFill>
                          <w14:schemeClr w14:val="tx1"/>
                        </w14:solidFill>
                      </w14:textFill>
                    </w:rPr>
                  </w:pPr>
                  <w:r>
                    <w:rPr>
                      <w:rFonts w:hint="eastAsia" w:ascii="Times New Roman" w:hAnsi="Times New Roman"/>
                      <w:color w:val="000000" w:themeColor="text1"/>
                      <w:szCs w:val="20"/>
                      <w:highlight w:val="none"/>
                      <w:lang w:val="en-US" w:eastAsia="zh-CN" w:bidi="ar-SA"/>
                      <w14:textFill>
                        <w14:solidFill>
                          <w14:schemeClr w14:val="tx1"/>
                        </w14:solidFill>
                      </w14:textFill>
                    </w:rPr>
                    <w:t>50.13</w:t>
                  </w:r>
                </w:p>
              </w:tc>
              <w:tc>
                <w:tcPr>
                  <w:tcW w:w="508" w:type="pct"/>
                  <w:tcBorders>
                    <w:top w:val="single" w:color="auto" w:sz="4" w:space="0"/>
                    <w:left w:val="single" w:color="auto" w:sz="4" w:space="0"/>
                    <w:bottom w:val="single" w:color="auto" w:sz="4" w:space="0"/>
                    <w:right w:val="nil"/>
                  </w:tcBorders>
                  <w:noWrap w:val="0"/>
                  <w:vAlign w:val="center"/>
                </w:tcPr>
                <w:p w14:paraId="7F43B626">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达标</w:t>
                  </w:r>
                </w:p>
              </w:tc>
            </w:tr>
            <w:tr w14:paraId="0A6E930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2" w:type="pct"/>
                  <w:vMerge w:val="continue"/>
                  <w:tcBorders>
                    <w:left w:val="nil"/>
                    <w:bottom w:val="single" w:color="auto" w:sz="4" w:space="0"/>
                    <w:right w:val="single" w:color="auto" w:sz="4" w:space="0"/>
                  </w:tcBorders>
                  <w:noWrap w:val="0"/>
                  <w:vAlign w:val="center"/>
                </w:tcPr>
                <w:p w14:paraId="16074B2B">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p>
              </w:tc>
              <w:tc>
                <w:tcPr>
                  <w:tcW w:w="1550" w:type="pct"/>
                  <w:tcBorders>
                    <w:top w:val="single" w:color="auto" w:sz="4" w:space="0"/>
                    <w:left w:val="single" w:color="auto" w:sz="4" w:space="0"/>
                    <w:bottom w:val="single" w:color="auto" w:sz="4" w:space="0"/>
                    <w:right w:val="single" w:color="auto" w:sz="4" w:space="0"/>
                  </w:tcBorders>
                  <w:noWrap w:val="0"/>
                  <w:vAlign w:val="center"/>
                </w:tcPr>
                <w:p w14:paraId="7259D4A7">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eastAsia" w:ascii="Times New Roman" w:hAnsi="Times New Roman" w:cs="Times New Roman"/>
                      <w:color w:val="000000" w:themeColor="text1"/>
                      <w:szCs w:val="20"/>
                      <w:highlight w:val="none"/>
                      <w:lang w:val="en-US" w:eastAsia="zh-CN" w:bidi="ar-SA"/>
                      <w14:textFill>
                        <w14:solidFill>
                          <w14:schemeClr w14:val="tx1"/>
                        </w14:solidFill>
                      </w14:textFill>
                    </w:rPr>
                    <w:t>95%位数日平均质量浓度</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17CCC941">
                  <w:pPr>
                    <w:pStyle w:val="26"/>
                    <w:keepNext w:val="0"/>
                    <w:keepLines w:val="0"/>
                    <w:widowControl w:val="0"/>
                    <w:suppressLineNumbers w:val="0"/>
                    <w:bidi w:val="0"/>
                    <w:spacing w:before="0" w:beforeAutospacing="0" w:after="0" w:afterAutospacing="0"/>
                    <w:ind w:right="0"/>
                    <w:jc w:val="center"/>
                    <w:rPr>
                      <w:rFonts w:hint="default" w:ascii="Times New Roman" w:hAnsi="Times New Roman"/>
                      <w:color w:val="000000" w:themeColor="text1"/>
                      <w:szCs w:val="20"/>
                      <w:highlight w:val="none"/>
                      <w:lang w:val="en-US" w:eastAsia="zh-CN" w:bidi="ar-SA"/>
                      <w14:textFill>
                        <w14:solidFill>
                          <w14:schemeClr w14:val="tx1"/>
                        </w14:solidFill>
                      </w14:textFill>
                    </w:rPr>
                  </w:pPr>
                  <w:r>
                    <w:rPr>
                      <w:rFonts w:hint="eastAsia" w:ascii="Times New Roman" w:hAnsi="Times New Roman"/>
                      <w:color w:val="000000" w:themeColor="text1"/>
                      <w:szCs w:val="20"/>
                      <w:highlight w:val="none"/>
                      <w:lang w:val="en-US" w:eastAsia="zh-CN" w:bidi="ar-SA"/>
                      <w14:textFill>
                        <w14:solidFill>
                          <w14:schemeClr w14:val="tx1"/>
                        </w14:solidFill>
                      </w14:textFill>
                    </w:rPr>
                    <w:t>66.13</w:t>
                  </w:r>
                </w:p>
              </w:tc>
              <w:tc>
                <w:tcPr>
                  <w:tcW w:w="709" w:type="pct"/>
                  <w:tcBorders>
                    <w:top w:val="single" w:color="auto" w:sz="4" w:space="0"/>
                    <w:left w:val="single" w:color="auto" w:sz="4" w:space="0"/>
                    <w:bottom w:val="single" w:color="auto" w:sz="4" w:space="0"/>
                    <w:right w:val="single" w:color="auto" w:sz="4" w:space="0"/>
                  </w:tcBorders>
                  <w:noWrap w:val="0"/>
                  <w:vAlign w:val="center"/>
                </w:tcPr>
                <w:p w14:paraId="12444221">
                  <w:pPr>
                    <w:pStyle w:val="26"/>
                    <w:keepNext w:val="0"/>
                    <w:keepLines w:val="0"/>
                    <w:widowControl w:val="0"/>
                    <w:suppressLineNumbers w:val="0"/>
                    <w:bidi w:val="0"/>
                    <w:spacing w:before="0" w:beforeAutospacing="0" w:after="0" w:afterAutospacing="0"/>
                    <w:ind w:right="0"/>
                    <w:jc w:val="center"/>
                    <w:rPr>
                      <w:rFonts w:hint="default" w:ascii="Times New Roman" w:hAnsi="Times New Roman"/>
                      <w:color w:val="000000" w:themeColor="text1"/>
                      <w:szCs w:val="20"/>
                      <w:highlight w:val="none"/>
                      <w:lang w:val="en-US" w:eastAsia="zh-CN" w:bidi="ar-SA"/>
                      <w14:textFill>
                        <w14:solidFill>
                          <w14:schemeClr w14:val="tx1"/>
                        </w14:solidFill>
                      </w14:textFill>
                    </w:rPr>
                  </w:pPr>
                  <w:r>
                    <w:rPr>
                      <w:rFonts w:hint="eastAsia" w:ascii="Times New Roman" w:hAnsi="Times New Roman"/>
                      <w:color w:val="000000" w:themeColor="text1"/>
                      <w:szCs w:val="20"/>
                      <w:highlight w:val="none"/>
                      <w:lang w:val="en-US" w:eastAsia="zh-CN" w:bidi="ar-SA"/>
                      <w14:textFill>
                        <w14:solidFill>
                          <w14:schemeClr w14:val="tx1"/>
                        </w14:solidFill>
                      </w14:textFill>
                    </w:rPr>
                    <w:t>150</w:t>
                  </w:r>
                </w:p>
              </w:tc>
              <w:tc>
                <w:tcPr>
                  <w:tcW w:w="725" w:type="pct"/>
                  <w:tcBorders>
                    <w:top w:val="single" w:color="auto" w:sz="4" w:space="0"/>
                    <w:left w:val="single" w:color="auto" w:sz="4" w:space="0"/>
                    <w:bottom w:val="single" w:color="auto" w:sz="4" w:space="0"/>
                    <w:right w:val="single" w:color="auto" w:sz="4" w:space="0"/>
                  </w:tcBorders>
                  <w:noWrap w:val="0"/>
                  <w:vAlign w:val="center"/>
                </w:tcPr>
                <w:p w14:paraId="51DB5E34">
                  <w:pPr>
                    <w:pStyle w:val="26"/>
                    <w:keepNext w:val="0"/>
                    <w:keepLines w:val="0"/>
                    <w:widowControl w:val="0"/>
                    <w:suppressLineNumbers w:val="0"/>
                    <w:bidi w:val="0"/>
                    <w:spacing w:before="0" w:beforeAutospacing="0" w:after="0" w:afterAutospacing="0"/>
                    <w:ind w:right="0"/>
                    <w:jc w:val="center"/>
                    <w:rPr>
                      <w:rFonts w:hint="default" w:ascii="Times New Roman" w:hAnsi="Times New Roman"/>
                      <w:color w:val="000000" w:themeColor="text1"/>
                      <w:szCs w:val="20"/>
                      <w:highlight w:val="none"/>
                      <w:lang w:val="en-US" w:eastAsia="zh-CN" w:bidi="ar-SA"/>
                      <w14:textFill>
                        <w14:solidFill>
                          <w14:schemeClr w14:val="tx1"/>
                        </w14:solidFill>
                      </w14:textFill>
                    </w:rPr>
                  </w:pPr>
                  <w:r>
                    <w:rPr>
                      <w:rFonts w:hint="eastAsia" w:ascii="Times New Roman" w:hAnsi="Times New Roman"/>
                      <w:color w:val="000000" w:themeColor="text1"/>
                      <w:szCs w:val="20"/>
                      <w:highlight w:val="none"/>
                      <w:lang w:val="en-US" w:eastAsia="zh-CN" w:bidi="ar-SA"/>
                      <w14:textFill>
                        <w14:solidFill>
                          <w14:schemeClr w14:val="tx1"/>
                        </w14:solidFill>
                      </w14:textFill>
                    </w:rPr>
                    <w:t>44.09</w:t>
                  </w:r>
                </w:p>
              </w:tc>
              <w:tc>
                <w:tcPr>
                  <w:tcW w:w="508" w:type="pct"/>
                  <w:tcBorders>
                    <w:top w:val="single" w:color="auto" w:sz="4" w:space="0"/>
                    <w:left w:val="single" w:color="auto" w:sz="4" w:space="0"/>
                    <w:bottom w:val="single" w:color="auto" w:sz="4" w:space="0"/>
                    <w:right w:val="nil"/>
                  </w:tcBorders>
                  <w:noWrap w:val="0"/>
                  <w:vAlign w:val="center"/>
                </w:tcPr>
                <w:p w14:paraId="3E8A7842">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达标</w:t>
                  </w:r>
                </w:p>
              </w:tc>
            </w:tr>
            <w:tr w14:paraId="2F761A9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2" w:type="pct"/>
                  <w:vMerge w:val="restart"/>
                  <w:tcBorders>
                    <w:top w:val="single" w:color="auto" w:sz="4" w:space="0"/>
                    <w:left w:val="nil"/>
                    <w:right w:val="single" w:color="auto" w:sz="4" w:space="0"/>
                  </w:tcBorders>
                  <w:noWrap w:val="0"/>
                  <w:vAlign w:val="center"/>
                </w:tcPr>
                <w:p w14:paraId="3C12F88C">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PM</w:t>
                  </w:r>
                  <w:r>
                    <w:rPr>
                      <w:rFonts w:hint="default" w:ascii="Times New Roman" w:hAnsi="Times New Roman" w:cs="Times New Roman"/>
                      <w:color w:val="000000" w:themeColor="text1"/>
                      <w:szCs w:val="20"/>
                      <w:highlight w:val="none"/>
                      <w:vertAlign w:val="subscript"/>
                      <w:lang w:val="en-US" w:eastAsia="zh-CN" w:bidi="ar-SA"/>
                      <w14:textFill>
                        <w14:solidFill>
                          <w14:schemeClr w14:val="tx1"/>
                        </w14:solidFill>
                      </w14:textFill>
                    </w:rPr>
                    <w:t>2.5</w:t>
                  </w:r>
                </w:p>
              </w:tc>
              <w:tc>
                <w:tcPr>
                  <w:tcW w:w="1550" w:type="pct"/>
                  <w:tcBorders>
                    <w:top w:val="single" w:color="auto" w:sz="4" w:space="0"/>
                    <w:left w:val="single" w:color="auto" w:sz="4" w:space="0"/>
                    <w:bottom w:val="single" w:color="auto" w:sz="4" w:space="0"/>
                    <w:right w:val="single" w:color="auto" w:sz="4" w:space="0"/>
                  </w:tcBorders>
                  <w:noWrap w:val="0"/>
                  <w:vAlign w:val="center"/>
                </w:tcPr>
                <w:p w14:paraId="17509E49">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年均质量浓度</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21BE1B6B">
                  <w:pPr>
                    <w:pStyle w:val="26"/>
                    <w:keepNext w:val="0"/>
                    <w:keepLines w:val="0"/>
                    <w:widowControl w:val="0"/>
                    <w:suppressLineNumbers w:val="0"/>
                    <w:bidi w:val="0"/>
                    <w:spacing w:before="0" w:beforeAutospacing="0" w:after="0" w:afterAutospacing="0"/>
                    <w:ind w:right="0"/>
                    <w:jc w:val="center"/>
                    <w:rPr>
                      <w:rFonts w:hint="default" w:ascii="Times New Roman" w:hAnsi="Times New Roman"/>
                      <w:color w:val="000000" w:themeColor="text1"/>
                      <w:szCs w:val="20"/>
                      <w:highlight w:val="none"/>
                      <w:lang w:val="en-US" w:eastAsia="zh-CN" w:bidi="ar-SA"/>
                      <w14:textFill>
                        <w14:solidFill>
                          <w14:schemeClr w14:val="tx1"/>
                        </w14:solidFill>
                      </w14:textFill>
                    </w:rPr>
                  </w:pPr>
                  <w:r>
                    <w:rPr>
                      <w:rFonts w:hint="eastAsia" w:ascii="Times New Roman" w:hAnsi="Times New Roman"/>
                      <w:color w:val="000000" w:themeColor="text1"/>
                      <w:szCs w:val="20"/>
                      <w:highlight w:val="none"/>
                      <w:lang w:val="en-US" w:eastAsia="zh-CN" w:bidi="ar-SA"/>
                      <w14:textFill>
                        <w14:solidFill>
                          <w14:schemeClr w14:val="tx1"/>
                        </w14:solidFill>
                      </w14:textFill>
                    </w:rPr>
                    <w:t>18.00</w:t>
                  </w:r>
                </w:p>
              </w:tc>
              <w:tc>
                <w:tcPr>
                  <w:tcW w:w="709" w:type="pct"/>
                  <w:tcBorders>
                    <w:top w:val="single" w:color="auto" w:sz="4" w:space="0"/>
                    <w:left w:val="single" w:color="auto" w:sz="4" w:space="0"/>
                    <w:bottom w:val="single" w:color="auto" w:sz="4" w:space="0"/>
                    <w:right w:val="single" w:color="auto" w:sz="4" w:space="0"/>
                  </w:tcBorders>
                  <w:noWrap w:val="0"/>
                  <w:vAlign w:val="center"/>
                </w:tcPr>
                <w:p w14:paraId="57E8DD7B">
                  <w:pPr>
                    <w:pStyle w:val="26"/>
                    <w:keepNext w:val="0"/>
                    <w:keepLines w:val="0"/>
                    <w:widowControl w:val="0"/>
                    <w:suppressLineNumbers w:val="0"/>
                    <w:bidi w:val="0"/>
                    <w:spacing w:before="0" w:beforeAutospacing="0" w:after="0" w:afterAutospacing="0"/>
                    <w:ind w:right="0"/>
                    <w:jc w:val="center"/>
                    <w:rPr>
                      <w:rFonts w:hint="default" w:ascii="Times New Roman" w:hAnsi="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olor w:val="000000" w:themeColor="text1"/>
                      <w:szCs w:val="20"/>
                      <w:highlight w:val="none"/>
                      <w:lang w:val="en-US" w:eastAsia="zh-CN" w:bidi="ar-SA"/>
                      <w14:textFill>
                        <w14:solidFill>
                          <w14:schemeClr w14:val="tx1"/>
                        </w14:solidFill>
                      </w14:textFill>
                    </w:rPr>
                    <w:t>35</w:t>
                  </w:r>
                </w:p>
              </w:tc>
              <w:tc>
                <w:tcPr>
                  <w:tcW w:w="725" w:type="pct"/>
                  <w:tcBorders>
                    <w:top w:val="single" w:color="auto" w:sz="4" w:space="0"/>
                    <w:left w:val="single" w:color="auto" w:sz="4" w:space="0"/>
                    <w:bottom w:val="single" w:color="auto" w:sz="4" w:space="0"/>
                    <w:right w:val="single" w:color="auto" w:sz="4" w:space="0"/>
                  </w:tcBorders>
                  <w:noWrap w:val="0"/>
                  <w:vAlign w:val="center"/>
                </w:tcPr>
                <w:p w14:paraId="5C7C7A82">
                  <w:pPr>
                    <w:pStyle w:val="26"/>
                    <w:keepNext w:val="0"/>
                    <w:keepLines w:val="0"/>
                    <w:widowControl w:val="0"/>
                    <w:suppressLineNumbers w:val="0"/>
                    <w:bidi w:val="0"/>
                    <w:spacing w:before="0" w:beforeAutospacing="0" w:after="0" w:afterAutospacing="0"/>
                    <w:ind w:right="0"/>
                    <w:jc w:val="center"/>
                    <w:rPr>
                      <w:rFonts w:hint="default" w:ascii="Times New Roman" w:hAnsi="Times New Roman" w:eastAsia="宋体"/>
                      <w:color w:val="000000" w:themeColor="text1"/>
                      <w:szCs w:val="20"/>
                      <w:highlight w:val="none"/>
                      <w:lang w:val="en-US" w:eastAsia="zh-CN" w:bidi="ar-SA"/>
                      <w14:textFill>
                        <w14:solidFill>
                          <w14:schemeClr w14:val="tx1"/>
                        </w14:solidFill>
                      </w14:textFill>
                    </w:rPr>
                  </w:pPr>
                  <w:r>
                    <w:rPr>
                      <w:rFonts w:hint="eastAsia" w:ascii="Times New Roman" w:hAnsi="Times New Roman"/>
                      <w:color w:val="000000" w:themeColor="text1"/>
                      <w:szCs w:val="20"/>
                      <w:highlight w:val="none"/>
                      <w:lang w:val="en-US" w:eastAsia="zh-CN" w:bidi="ar-SA"/>
                      <w14:textFill>
                        <w14:solidFill>
                          <w14:schemeClr w14:val="tx1"/>
                        </w14:solidFill>
                      </w14:textFill>
                    </w:rPr>
                    <w:t>51.43</w:t>
                  </w:r>
                </w:p>
              </w:tc>
              <w:tc>
                <w:tcPr>
                  <w:tcW w:w="508" w:type="pct"/>
                  <w:tcBorders>
                    <w:top w:val="single" w:color="auto" w:sz="4" w:space="0"/>
                    <w:left w:val="single" w:color="auto" w:sz="4" w:space="0"/>
                    <w:bottom w:val="single" w:color="auto" w:sz="4" w:space="0"/>
                    <w:right w:val="nil"/>
                  </w:tcBorders>
                  <w:noWrap w:val="0"/>
                  <w:vAlign w:val="center"/>
                </w:tcPr>
                <w:p w14:paraId="3DF9F00E">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达标</w:t>
                  </w:r>
                </w:p>
              </w:tc>
            </w:tr>
            <w:tr w14:paraId="37AC8544">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2" w:type="pct"/>
                  <w:vMerge w:val="continue"/>
                  <w:tcBorders>
                    <w:left w:val="nil"/>
                    <w:bottom w:val="single" w:color="auto" w:sz="4" w:space="0"/>
                    <w:right w:val="single" w:color="auto" w:sz="4" w:space="0"/>
                  </w:tcBorders>
                  <w:noWrap w:val="0"/>
                  <w:vAlign w:val="center"/>
                </w:tcPr>
                <w:p w14:paraId="0FA6FE24">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p>
              </w:tc>
              <w:tc>
                <w:tcPr>
                  <w:tcW w:w="1550" w:type="pct"/>
                  <w:tcBorders>
                    <w:top w:val="single" w:color="auto" w:sz="4" w:space="0"/>
                    <w:left w:val="single" w:color="auto" w:sz="4" w:space="0"/>
                    <w:bottom w:val="single" w:color="auto" w:sz="4" w:space="0"/>
                    <w:right w:val="single" w:color="auto" w:sz="4" w:space="0"/>
                  </w:tcBorders>
                  <w:noWrap w:val="0"/>
                  <w:vAlign w:val="center"/>
                </w:tcPr>
                <w:p w14:paraId="50446424">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eastAsia" w:ascii="Times New Roman" w:hAnsi="Times New Roman" w:cs="Times New Roman"/>
                      <w:color w:val="000000" w:themeColor="text1"/>
                      <w:szCs w:val="20"/>
                      <w:highlight w:val="none"/>
                      <w:lang w:val="en-US" w:eastAsia="zh-CN" w:bidi="ar-SA"/>
                      <w14:textFill>
                        <w14:solidFill>
                          <w14:schemeClr w14:val="tx1"/>
                        </w14:solidFill>
                      </w14:textFill>
                    </w:rPr>
                    <w:t>95%位数日平均质量浓度</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1A0606F3">
                  <w:pPr>
                    <w:pStyle w:val="26"/>
                    <w:keepNext w:val="0"/>
                    <w:keepLines w:val="0"/>
                    <w:widowControl w:val="0"/>
                    <w:suppressLineNumbers w:val="0"/>
                    <w:bidi w:val="0"/>
                    <w:spacing w:before="0" w:beforeAutospacing="0" w:after="0" w:afterAutospacing="0"/>
                    <w:ind w:right="0"/>
                    <w:jc w:val="center"/>
                    <w:rPr>
                      <w:rFonts w:hint="default" w:ascii="Times New Roman" w:hAnsi="Times New Roman"/>
                      <w:color w:val="000000" w:themeColor="text1"/>
                      <w:szCs w:val="20"/>
                      <w:highlight w:val="none"/>
                      <w:lang w:val="en-US" w:eastAsia="zh-CN" w:bidi="ar-SA"/>
                      <w14:textFill>
                        <w14:solidFill>
                          <w14:schemeClr w14:val="tx1"/>
                        </w14:solidFill>
                      </w14:textFill>
                    </w:rPr>
                  </w:pPr>
                  <w:r>
                    <w:rPr>
                      <w:rFonts w:hint="eastAsia" w:ascii="Times New Roman" w:hAnsi="Times New Roman"/>
                      <w:color w:val="000000" w:themeColor="text1"/>
                      <w:szCs w:val="20"/>
                      <w:highlight w:val="none"/>
                      <w:lang w:val="en-US" w:eastAsia="zh-CN" w:bidi="ar-SA"/>
                      <w14:textFill>
                        <w14:solidFill>
                          <w14:schemeClr w14:val="tx1"/>
                        </w14:solidFill>
                      </w14:textFill>
                    </w:rPr>
                    <w:t>37.93</w:t>
                  </w:r>
                </w:p>
              </w:tc>
              <w:tc>
                <w:tcPr>
                  <w:tcW w:w="709" w:type="pct"/>
                  <w:tcBorders>
                    <w:top w:val="single" w:color="auto" w:sz="4" w:space="0"/>
                    <w:left w:val="single" w:color="auto" w:sz="4" w:space="0"/>
                    <w:bottom w:val="single" w:color="auto" w:sz="4" w:space="0"/>
                    <w:right w:val="single" w:color="auto" w:sz="4" w:space="0"/>
                  </w:tcBorders>
                  <w:noWrap w:val="0"/>
                  <w:vAlign w:val="center"/>
                </w:tcPr>
                <w:p w14:paraId="0AC8D510">
                  <w:pPr>
                    <w:pStyle w:val="26"/>
                    <w:keepNext w:val="0"/>
                    <w:keepLines w:val="0"/>
                    <w:widowControl w:val="0"/>
                    <w:suppressLineNumbers w:val="0"/>
                    <w:bidi w:val="0"/>
                    <w:spacing w:before="0" w:beforeAutospacing="0" w:after="0" w:afterAutospacing="0"/>
                    <w:ind w:right="0"/>
                    <w:jc w:val="center"/>
                    <w:rPr>
                      <w:rFonts w:hint="default" w:ascii="Times New Roman" w:hAnsi="Times New Roman"/>
                      <w:color w:val="000000" w:themeColor="text1"/>
                      <w:szCs w:val="20"/>
                      <w:highlight w:val="none"/>
                      <w:lang w:val="en-US" w:eastAsia="zh-CN" w:bidi="ar-SA"/>
                      <w14:textFill>
                        <w14:solidFill>
                          <w14:schemeClr w14:val="tx1"/>
                        </w14:solidFill>
                      </w14:textFill>
                    </w:rPr>
                  </w:pPr>
                  <w:r>
                    <w:rPr>
                      <w:rFonts w:hint="eastAsia" w:ascii="Times New Roman" w:hAnsi="Times New Roman"/>
                      <w:color w:val="000000" w:themeColor="text1"/>
                      <w:szCs w:val="20"/>
                      <w:highlight w:val="none"/>
                      <w:lang w:val="en-US" w:eastAsia="zh-CN" w:bidi="ar-SA"/>
                      <w14:textFill>
                        <w14:solidFill>
                          <w14:schemeClr w14:val="tx1"/>
                        </w14:solidFill>
                      </w14:textFill>
                    </w:rPr>
                    <w:t>75</w:t>
                  </w:r>
                </w:p>
              </w:tc>
              <w:tc>
                <w:tcPr>
                  <w:tcW w:w="725" w:type="pct"/>
                  <w:tcBorders>
                    <w:top w:val="single" w:color="auto" w:sz="4" w:space="0"/>
                    <w:left w:val="single" w:color="auto" w:sz="4" w:space="0"/>
                    <w:bottom w:val="single" w:color="auto" w:sz="4" w:space="0"/>
                    <w:right w:val="single" w:color="auto" w:sz="4" w:space="0"/>
                  </w:tcBorders>
                  <w:noWrap w:val="0"/>
                  <w:vAlign w:val="center"/>
                </w:tcPr>
                <w:p w14:paraId="4CF9F7D2">
                  <w:pPr>
                    <w:pStyle w:val="26"/>
                    <w:keepNext w:val="0"/>
                    <w:keepLines w:val="0"/>
                    <w:widowControl w:val="0"/>
                    <w:suppressLineNumbers w:val="0"/>
                    <w:bidi w:val="0"/>
                    <w:spacing w:before="0" w:beforeAutospacing="0" w:after="0" w:afterAutospacing="0"/>
                    <w:ind w:right="0"/>
                    <w:jc w:val="center"/>
                    <w:rPr>
                      <w:rFonts w:hint="default" w:ascii="Times New Roman" w:hAnsi="Times New Roman"/>
                      <w:color w:val="000000" w:themeColor="text1"/>
                      <w:szCs w:val="20"/>
                      <w:highlight w:val="none"/>
                      <w:lang w:val="en-US" w:eastAsia="zh-CN" w:bidi="ar-SA"/>
                      <w14:textFill>
                        <w14:solidFill>
                          <w14:schemeClr w14:val="tx1"/>
                        </w14:solidFill>
                      </w14:textFill>
                    </w:rPr>
                  </w:pPr>
                  <w:r>
                    <w:rPr>
                      <w:rFonts w:hint="eastAsia" w:ascii="Times New Roman" w:hAnsi="Times New Roman"/>
                      <w:color w:val="000000" w:themeColor="text1"/>
                      <w:szCs w:val="20"/>
                      <w:highlight w:val="none"/>
                      <w:lang w:val="en-US" w:eastAsia="zh-CN" w:bidi="ar-SA"/>
                      <w14:textFill>
                        <w14:solidFill>
                          <w14:schemeClr w14:val="tx1"/>
                        </w14:solidFill>
                      </w14:textFill>
                    </w:rPr>
                    <w:t>50.57</w:t>
                  </w:r>
                </w:p>
              </w:tc>
              <w:tc>
                <w:tcPr>
                  <w:tcW w:w="508" w:type="pct"/>
                  <w:tcBorders>
                    <w:top w:val="single" w:color="auto" w:sz="4" w:space="0"/>
                    <w:left w:val="single" w:color="auto" w:sz="4" w:space="0"/>
                    <w:bottom w:val="single" w:color="auto" w:sz="4" w:space="0"/>
                    <w:right w:val="nil"/>
                  </w:tcBorders>
                  <w:noWrap w:val="0"/>
                  <w:vAlign w:val="center"/>
                </w:tcPr>
                <w:p w14:paraId="17C8B927">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达标</w:t>
                  </w:r>
                </w:p>
              </w:tc>
            </w:tr>
            <w:tr w14:paraId="68C1D434">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2" w:type="pct"/>
                  <w:tcBorders>
                    <w:top w:val="single" w:color="auto" w:sz="4" w:space="0"/>
                    <w:left w:val="nil"/>
                    <w:bottom w:val="single" w:color="auto" w:sz="4" w:space="0"/>
                    <w:right w:val="single" w:color="auto" w:sz="4" w:space="0"/>
                  </w:tcBorders>
                  <w:noWrap w:val="0"/>
                  <w:vAlign w:val="center"/>
                </w:tcPr>
                <w:p w14:paraId="0D7A0AFC">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CO</w:t>
                  </w:r>
                </w:p>
              </w:tc>
              <w:tc>
                <w:tcPr>
                  <w:tcW w:w="1550" w:type="pct"/>
                  <w:tcBorders>
                    <w:top w:val="single" w:color="auto" w:sz="4" w:space="0"/>
                    <w:left w:val="single" w:color="auto" w:sz="4" w:space="0"/>
                    <w:bottom w:val="single" w:color="auto" w:sz="4" w:space="0"/>
                    <w:right w:val="single" w:color="auto" w:sz="4" w:space="0"/>
                  </w:tcBorders>
                  <w:noWrap w:val="0"/>
                  <w:vAlign w:val="center"/>
                </w:tcPr>
                <w:p w14:paraId="1E70F161">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eastAsia" w:ascii="Times New Roman" w:hAnsi="Times New Roman" w:cs="Times New Roman"/>
                      <w:color w:val="000000" w:themeColor="text1"/>
                      <w:szCs w:val="20"/>
                      <w:highlight w:val="none"/>
                      <w:lang w:val="en-US" w:eastAsia="zh-CN" w:bidi="ar-SA"/>
                      <w14:textFill>
                        <w14:solidFill>
                          <w14:schemeClr w14:val="tx1"/>
                        </w14:solidFill>
                      </w14:textFill>
                    </w:rPr>
                    <w:t>95%位数日平均质量浓度</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36656D88">
                  <w:pPr>
                    <w:pStyle w:val="26"/>
                    <w:keepNext w:val="0"/>
                    <w:keepLines w:val="0"/>
                    <w:widowControl w:val="0"/>
                    <w:suppressLineNumbers w:val="0"/>
                    <w:bidi w:val="0"/>
                    <w:spacing w:before="0" w:beforeAutospacing="0" w:after="0" w:afterAutospacing="0"/>
                    <w:ind w:right="0"/>
                    <w:jc w:val="center"/>
                    <w:rPr>
                      <w:rFonts w:hint="default" w:ascii="Times New Roman" w:hAnsi="Times New Roman"/>
                      <w:color w:val="000000" w:themeColor="text1"/>
                      <w:szCs w:val="20"/>
                      <w:highlight w:val="none"/>
                      <w:lang w:val="en-US" w:eastAsia="zh-CN" w:bidi="ar-SA"/>
                      <w14:textFill>
                        <w14:solidFill>
                          <w14:schemeClr w14:val="tx1"/>
                        </w14:solidFill>
                      </w14:textFill>
                    </w:rPr>
                  </w:pPr>
                  <w:r>
                    <w:rPr>
                      <w:rFonts w:hint="eastAsia" w:ascii="Times New Roman" w:hAnsi="Times New Roman"/>
                      <w:color w:val="000000" w:themeColor="text1"/>
                      <w:szCs w:val="20"/>
                      <w:highlight w:val="none"/>
                      <w:lang w:val="en-US" w:eastAsia="zh-CN" w:bidi="ar-SA"/>
                      <w14:textFill>
                        <w14:solidFill>
                          <w14:schemeClr w14:val="tx1"/>
                        </w14:solidFill>
                      </w14:textFill>
                    </w:rPr>
                    <w:t>1500</w:t>
                  </w:r>
                </w:p>
              </w:tc>
              <w:tc>
                <w:tcPr>
                  <w:tcW w:w="709" w:type="pct"/>
                  <w:tcBorders>
                    <w:top w:val="single" w:color="auto" w:sz="4" w:space="0"/>
                    <w:left w:val="single" w:color="auto" w:sz="4" w:space="0"/>
                    <w:bottom w:val="single" w:color="auto" w:sz="4" w:space="0"/>
                    <w:right w:val="single" w:color="auto" w:sz="4" w:space="0"/>
                  </w:tcBorders>
                  <w:noWrap w:val="0"/>
                  <w:vAlign w:val="center"/>
                </w:tcPr>
                <w:p w14:paraId="527B0478">
                  <w:pPr>
                    <w:pStyle w:val="26"/>
                    <w:keepNext w:val="0"/>
                    <w:keepLines w:val="0"/>
                    <w:widowControl w:val="0"/>
                    <w:suppressLineNumbers w:val="0"/>
                    <w:bidi w:val="0"/>
                    <w:spacing w:before="0" w:beforeAutospacing="0" w:after="0" w:afterAutospacing="0"/>
                    <w:ind w:right="0"/>
                    <w:jc w:val="center"/>
                    <w:rPr>
                      <w:rFonts w:hint="default" w:ascii="Times New Roman" w:hAnsi="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olor w:val="000000" w:themeColor="text1"/>
                      <w:szCs w:val="20"/>
                      <w:highlight w:val="none"/>
                      <w:lang w:val="en-US" w:eastAsia="zh-CN" w:bidi="ar-SA"/>
                      <w14:textFill>
                        <w14:solidFill>
                          <w14:schemeClr w14:val="tx1"/>
                        </w14:solidFill>
                      </w14:textFill>
                    </w:rPr>
                    <w:t>4000</w:t>
                  </w:r>
                </w:p>
              </w:tc>
              <w:tc>
                <w:tcPr>
                  <w:tcW w:w="725" w:type="pct"/>
                  <w:tcBorders>
                    <w:top w:val="single" w:color="auto" w:sz="4" w:space="0"/>
                    <w:left w:val="single" w:color="auto" w:sz="4" w:space="0"/>
                    <w:bottom w:val="single" w:color="auto" w:sz="4" w:space="0"/>
                    <w:right w:val="single" w:color="auto" w:sz="4" w:space="0"/>
                  </w:tcBorders>
                  <w:noWrap w:val="0"/>
                  <w:vAlign w:val="center"/>
                </w:tcPr>
                <w:p w14:paraId="7FC3AF73">
                  <w:pPr>
                    <w:pStyle w:val="26"/>
                    <w:keepNext w:val="0"/>
                    <w:keepLines w:val="0"/>
                    <w:widowControl w:val="0"/>
                    <w:suppressLineNumbers w:val="0"/>
                    <w:bidi w:val="0"/>
                    <w:spacing w:before="0" w:beforeAutospacing="0" w:after="0" w:afterAutospacing="0"/>
                    <w:ind w:right="0"/>
                    <w:jc w:val="center"/>
                    <w:rPr>
                      <w:rFonts w:hint="default" w:ascii="Times New Roman" w:hAnsi="Times New Roman" w:eastAsia="宋体"/>
                      <w:color w:val="000000" w:themeColor="text1"/>
                      <w:szCs w:val="20"/>
                      <w:highlight w:val="none"/>
                      <w:lang w:val="en-US" w:eastAsia="zh-CN" w:bidi="ar-SA"/>
                      <w14:textFill>
                        <w14:solidFill>
                          <w14:schemeClr w14:val="tx1"/>
                        </w14:solidFill>
                      </w14:textFill>
                    </w:rPr>
                  </w:pPr>
                  <w:r>
                    <w:rPr>
                      <w:rFonts w:hint="eastAsia" w:ascii="Times New Roman" w:hAnsi="Times New Roman"/>
                      <w:color w:val="000000" w:themeColor="text1"/>
                      <w:szCs w:val="20"/>
                      <w:highlight w:val="none"/>
                      <w:lang w:val="en-US" w:eastAsia="zh-CN" w:bidi="ar-SA"/>
                      <w14:textFill>
                        <w14:solidFill>
                          <w14:schemeClr w14:val="tx1"/>
                        </w14:solidFill>
                      </w14:textFill>
                    </w:rPr>
                    <w:t>37.50</w:t>
                  </w:r>
                </w:p>
              </w:tc>
              <w:tc>
                <w:tcPr>
                  <w:tcW w:w="508" w:type="pct"/>
                  <w:tcBorders>
                    <w:top w:val="single" w:color="auto" w:sz="4" w:space="0"/>
                    <w:left w:val="single" w:color="auto" w:sz="4" w:space="0"/>
                    <w:bottom w:val="single" w:color="auto" w:sz="4" w:space="0"/>
                    <w:right w:val="nil"/>
                  </w:tcBorders>
                  <w:noWrap w:val="0"/>
                  <w:vAlign w:val="center"/>
                </w:tcPr>
                <w:p w14:paraId="3C041F61">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达标</w:t>
                  </w:r>
                </w:p>
              </w:tc>
            </w:tr>
            <w:tr w14:paraId="38005047">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2" w:type="pct"/>
                  <w:tcBorders>
                    <w:top w:val="single" w:color="auto" w:sz="4" w:space="0"/>
                    <w:left w:val="nil"/>
                    <w:bottom w:val="single" w:color="auto" w:sz="4" w:space="0"/>
                    <w:right w:val="single" w:color="auto" w:sz="4" w:space="0"/>
                  </w:tcBorders>
                  <w:noWrap w:val="0"/>
                  <w:vAlign w:val="center"/>
                </w:tcPr>
                <w:p w14:paraId="0D9FFCCB">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O</w:t>
                  </w:r>
                  <w:r>
                    <w:rPr>
                      <w:rFonts w:hint="default" w:ascii="Times New Roman" w:hAnsi="Times New Roman" w:cs="Times New Roman"/>
                      <w:color w:val="000000" w:themeColor="text1"/>
                      <w:szCs w:val="20"/>
                      <w:highlight w:val="none"/>
                      <w:vertAlign w:val="subscript"/>
                      <w:lang w:val="en-US" w:eastAsia="zh-CN" w:bidi="ar-SA"/>
                      <w14:textFill>
                        <w14:solidFill>
                          <w14:schemeClr w14:val="tx1"/>
                        </w14:solidFill>
                      </w14:textFill>
                    </w:rPr>
                    <w:t>3</w:t>
                  </w:r>
                </w:p>
              </w:tc>
              <w:tc>
                <w:tcPr>
                  <w:tcW w:w="1550" w:type="pct"/>
                  <w:tcBorders>
                    <w:top w:val="single" w:color="auto" w:sz="4" w:space="0"/>
                    <w:left w:val="single" w:color="auto" w:sz="4" w:space="0"/>
                    <w:bottom w:val="single" w:color="auto" w:sz="4" w:space="0"/>
                    <w:right w:val="single" w:color="auto" w:sz="4" w:space="0"/>
                  </w:tcBorders>
                  <w:noWrap w:val="0"/>
                  <w:vAlign w:val="center"/>
                </w:tcPr>
                <w:p w14:paraId="2D3281C8">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eastAsia" w:ascii="Times New Roman" w:hAnsi="Times New Roman" w:cs="Times New Roman"/>
                      <w:color w:val="000000" w:themeColor="text1"/>
                      <w:szCs w:val="20"/>
                      <w:highlight w:val="none"/>
                      <w:lang w:val="en-US" w:eastAsia="zh-CN" w:bidi="ar-SA"/>
                      <w14:textFill>
                        <w14:solidFill>
                          <w14:schemeClr w14:val="tx1"/>
                        </w14:solidFill>
                      </w14:textFill>
                    </w:rPr>
                    <w:t>90%位数</w:t>
                  </w: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8小时平均质量浓度</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6A905C95">
                  <w:pPr>
                    <w:pStyle w:val="26"/>
                    <w:keepNext w:val="0"/>
                    <w:keepLines w:val="0"/>
                    <w:widowControl w:val="0"/>
                    <w:suppressLineNumbers w:val="0"/>
                    <w:bidi w:val="0"/>
                    <w:spacing w:before="0" w:beforeAutospacing="0" w:after="0" w:afterAutospacing="0"/>
                    <w:ind w:right="0"/>
                    <w:jc w:val="center"/>
                    <w:rPr>
                      <w:rFonts w:hint="default" w:ascii="Times New Roman" w:hAnsi="Times New Roman"/>
                      <w:color w:val="000000" w:themeColor="text1"/>
                      <w:szCs w:val="20"/>
                      <w:highlight w:val="none"/>
                      <w:lang w:val="en-US" w:eastAsia="zh-CN" w:bidi="ar-SA"/>
                      <w14:textFill>
                        <w14:solidFill>
                          <w14:schemeClr w14:val="tx1"/>
                        </w14:solidFill>
                      </w14:textFill>
                    </w:rPr>
                  </w:pPr>
                  <w:r>
                    <w:rPr>
                      <w:rFonts w:hint="eastAsia" w:ascii="Times New Roman" w:hAnsi="Times New Roman"/>
                      <w:color w:val="000000" w:themeColor="text1"/>
                      <w:szCs w:val="20"/>
                      <w:highlight w:val="none"/>
                      <w:lang w:val="en-US" w:eastAsia="zh-CN" w:bidi="ar-SA"/>
                      <w14:textFill>
                        <w14:solidFill>
                          <w14:schemeClr w14:val="tx1"/>
                        </w14:solidFill>
                      </w14:textFill>
                    </w:rPr>
                    <w:t>62.87</w:t>
                  </w:r>
                </w:p>
              </w:tc>
              <w:tc>
                <w:tcPr>
                  <w:tcW w:w="709" w:type="pct"/>
                  <w:tcBorders>
                    <w:top w:val="single" w:color="auto" w:sz="4" w:space="0"/>
                    <w:left w:val="single" w:color="auto" w:sz="4" w:space="0"/>
                    <w:bottom w:val="single" w:color="auto" w:sz="4" w:space="0"/>
                    <w:right w:val="single" w:color="auto" w:sz="4" w:space="0"/>
                  </w:tcBorders>
                  <w:noWrap w:val="0"/>
                  <w:vAlign w:val="center"/>
                </w:tcPr>
                <w:p w14:paraId="48AC45FC">
                  <w:pPr>
                    <w:pStyle w:val="26"/>
                    <w:keepNext w:val="0"/>
                    <w:keepLines w:val="0"/>
                    <w:widowControl w:val="0"/>
                    <w:suppressLineNumbers w:val="0"/>
                    <w:bidi w:val="0"/>
                    <w:spacing w:before="0" w:beforeAutospacing="0" w:after="0" w:afterAutospacing="0"/>
                    <w:ind w:right="0"/>
                    <w:jc w:val="center"/>
                    <w:rPr>
                      <w:rFonts w:hint="default" w:ascii="Times New Roman" w:hAnsi="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olor w:val="000000" w:themeColor="text1"/>
                      <w:szCs w:val="20"/>
                      <w:highlight w:val="none"/>
                      <w:lang w:val="en-US" w:eastAsia="zh-CN" w:bidi="ar-SA"/>
                      <w14:textFill>
                        <w14:solidFill>
                          <w14:schemeClr w14:val="tx1"/>
                        </w14:solidFill>
                      </w14:textFill>
                    </w:rPr>
                    <w:t>160</w:t>
                  </w:r>
                </w:p>
              </w:tc>
              <w:tc>
                <w:tcPr>
                  <w:tcW w:w="725" w:type="pct"/>
                  <w:tcBorders>
                    <w:top w:val="single" w:color="auto" w:sz="4" w:space="0"/>
                    <w:left w:val="single" w:color="auto" w:sz="4" w:space="0"/>
                    <w:bottom w:val="single" w:color="auto" w:sz="4" w:space="0"/>
                    <w:right w:val="single" w:color="auto" w:sz="4" w:space="0"/>
                  </w:tcBorders>
                  <w:noWrap w:val="0"/>
                  <w:vAlign w:val="center"/>
                </w:tcPr>
                <w:p w14:paraId="63304498">
                  <w:pPr>
                    <w:pStyle w:val="26"/>
                    <w:keepNext w:val="0"/>
                    <w:keepLines w:val="0"/>
                    <w:widowControl w:val="0"/>
                    <w:suppressLineNumbers w:val="0"/>
                    <w:bidi w:val="0"/>
                    <w:spacing w:before="0" w:beforeAutospacing="0" w:after="0" w:afterAutospacing="0"/>
                    <w:ind w:right="0"/>
                    <w:jc w:val="center"/>
                    <w:rPr>
                      <w:rFonts w:hint="default" w:ascii="Times New Roman" w:hAnsi="Times New Roman" w:eastAsia="宋体"/>
                      <w:color w:val="000000" w:themeColor="text1"/>
                      <w:szCs w:val="20"/>
                      <w:highlight w:val="none"/>
                      <w:lang w:val="en-US" w:eastAsia="zh-CN" w:bidi="ar-SA"/>
                      <w14:textFill>
                        <w14:solidFill>
                          <w14:schemeClr w14:val="tx1"/>
                        </w14:solidFill>
                      </w14:textFill>
                    </w:rPr>
                  </w:pPr>
                  <w:r>
                    <w:rPr>
                      <w:rFonts w:hint="eastAsia" w:ascii="Times New Roman" w:hAnsi="Times New Roman"/>
                      <w:color w:val="000000" w:themeColor="text1"/>
                      <w:szCs w:val="20"/>
                      <w:highlight w:val="none"/>
                      <w:lang w:val="en-US" w:eastAsia="zh-CN" w:bidi="ar-SA"/>
                      <w14:textFill>
                        <w14:solidFill>
                          <w14:schemeClr w14:val="tx1"/>
                        </w14:solidFill>
                      </w14:textFill>
                    </w:rPr>
                    <w:t>39.29</w:t>
                  </w:r>
                </w:p>
              </w:tc>
              <w:tc>
                <w:tcPr>
                  <w:tcW w:w="508" w:type="pct"/>
                  <w:tcBorders>
                    <w:top w:val="single" w:color="auto" w:sz="4" w:space="0"/>
                    <w:left w:val="single" w:color="auto" w:sz="4" w:space="0"/>
                    <w:bottom w:val="single" w:color="auto" w:sz="4" w:space="0"/>
                    <w:right w:val="nil"/>
                  </w:tcBorders>
                  <w:noWrap w:val="0"/>
                  <w:vAlign w:val="center"/>
                </w:tcPr>
                <w:p w14:paraId="46176B4A">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达标</w:t>
                  </w:r>
                </w:p>
              </w:tc>
            </w:tr>
          </w:tbl>
          <w:p w14:paraId="353F1D01">
            <w:pPr>
              <w:ind w:firstLine="480"/>
              <w:rPr>
                <w:rFonts w:hint="default" w:ascii="Times New Roman" w:hAnsi="Times New Roman" w:cs="Times New Roman"/>
                <w:color w:val="000000" w:themeColor="text1"/>
                <w:highlight w:val="none"/>
                <w:lang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根据上表现状评价结果，永安市2023年自动监测数据中</w:t>
            </w:r>
            <w:r>
              <w:rPr>
                <w:rFonts w:hint="default" w:ascii="Times New Roman" w:hAnsi="Times New Roman" w:cs="Times New Roman"/>
                <w:color w:val="000000" w:themeColor="text1"/>
                <w:highlight w:val="none"/>
                <w14:textFill>
                  <w14:solidFill>
                    <w14:schemeClr w14:val="tx1"/>
                  </w14:solidFill>
                </w14:textFill>
              </w:rPr>
              <w:t>各污染物平均浓度均优于《环境空气质量标准》（GB3095-2012）中二级标准限值</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大气环境质量较好，属于</w:t>
            </w:r>
            <w:r>
              <w:rPr>
                <w:rFonts w:hint="eastAsia" w:ascii="Times New Roman" w:hAnsi="Times New Roman" w:cs="Times New Roman"/>
                <w:color w:val="000000" w:themeColor="text1"/>
                <w:highlight w:val="none"/>
                <w:lang w:val="en-US" w:eastAsia="zh-CN"/>
                <w14:textFill>
                  <w14:solidFill>
                    <w14:schemeClr w14:val="tx1"/>
                  </w14:solidFill>
                </w14:textFill>
              </w:rPr>
              <w:t>环境空气质量</w:t>
            </w:r>
            <w:r>
              <w:rPr>
                <w:rFonts w:hint="default" w:ascii="Times New Roman" w:hAnsi="Times New Roman" w:cs="Times New Roman"/>
                <w:color w:val="000000" w:themeColor="text1"/>
                <w:highlight w:val="none"/>
                <w14:textFill>
                  <w14:solidFill>
                    <w14:schemeClr w14:val="tx1"/>
                  </w14:solidFill>
                </w14:textFill>
              </w:rPr>
              <w:t>达标区域。</w:t>
            </w:r>
          </w:p>
          <w:p w14:paraId="10526124">
            <w:pPr>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区域</w:t>
            </w:r>
            <w:r>
              <w:rPr>
                <w:rFonts w:hint="default" w:ascii="Times New Roman" w:hAnsi="Times New Roman" w:cs="Times New Roman"/>
                <w:color w:val="000000" w:themeColor="text1"/>
                <w:highlight w:val="none"/>
                <w:lang w:val="en-US" w:eastAsia="zh-CN"/>
                <w14:textFill>
                  <w14:solidFill>
                    <w14:schemeClr w14:val="tx1"/>
                  </w14:solidFill>
                </w14:textFill>
              </w:rPr>
              <w:t>特征</w:t>
            </w:r>
            <w:r>
              <w:rPr>
                <w:rFonts w:hint="default" w:ascii="Times New Roman" w:hAnsi="Times New Roman" w:cs="Times New Roman"/>
                <w:color w:val="000000" w:themeColor="text1"/>
                <w:highlight w:val="none"/>
                <w14:textFill>
                  <w14:solidFill>
                    <w14:schemeClr w14:val="tx1"/>
                  </w14:solidFill>
                </w14:textFill>
              </w:rPr>
              <w:t>污染物环境质量</w:t>
            </w:r>
            <w:r>
              <w:rPr>
                <w:rFonts w:hint="default" w:ascii="Times New Roman" w:hAnsi="Times New Roman" w:cs="Times New Roman"/>
                <w:color w:val="000000" w:themeColor="text1"/>
                <w:highlight w:val="none"/>
                <w:lang w:val="en-US" w:eastAsia="zh-CN"/>
                <w14:textFill>
                  <w14:solidFill>
                    <w14:schemeClr w14:val="tx1"/>
                  </w14:solidFill>
                </w14:textFill>
              </w:rPr>
              <w:t>现状</w:t>
            </w:r>
          </w:p>
          <w:p w14:paraId="2A940476">
            <w:pPr>
              <w:ind w:firstLine="480"/>
              <w:rPr>
                <w:rFonts w:hint="default" w:ascii="Times New Roman" w:hAnsi="Times New Roman" w:cs="Times New Roman"/>
                <w:color w:val="000000" w:themeColor="text1"/>
                <w:highlight w:val="none"/>
                <w:lang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本项目</w:t>
            </w:r>
            <w:r>
              <w:rPr>
                <w:rFonts w:hint="default" w:ascii="Times New Roman" w:hAnsi="Times New Roman" w:cs="Times New Roman"/>
                <w:color w:val="000000" w:themeColor="text1"/>
                <w:szCs w:val="20"/>
                <w:highlight w:val="none"/>
                <w14:textFill>
                  <w14:solidFill>
                    <w14:schemeClr w14:val="tx1"/>
                  </w14:solidFill>
                </w14:textFill>
              </w:rPr>
              <w:t>主要特征污染物</w:t>
            </w:r>
            <w:r>
              <w:rPr>
                <w:rFonts w:hint="eastAsia" w:cs="Times New Roman"/>
                <w:color w:val="000000" w:themeColor="text1"/>
                <w:szCs w:val="20"/>
                <w:highlight w:val="none"/>
                <w:lang w:val="en-US" w:eastAsia="zh-CN"/>
                <w14:textFill>
                  <w14:solidFill>
                    <w14:schemeClr w14:val="tx1"/>
                  </w14:solidFill>
                </w14:textFill>
              </w:rPr>
              <w:t>为TSP、苯并[a]芘、非甲烷总烃</w:t>
            </w:r>
            <w:r>
              <w:rPr>
                <w:rFonts w:hint="default" w:ascii="Times New Roman" w:hAnsi="Times New Roman" w:cs="Times New Roman"/>
                <w:color w:val="000000" w:themeColor="text1"/>
                <w:highlight w:val="none"/>
                <w:lang w:eastAsia="zh-CN"/>
                <w14:textFill>
                  <w14:solidFill>
                    <w14:schemeClr w14:val="tx1"/>
                  </w14:solidFill>
                </w14:textFill>
              </w:rPr>
              <w:t>。</w:t>
            </w:r>
          </w:p>
          <w:p w14:paraId="56D91BA8">
            <w:pPr>
              <w:ind w:firstLine="480"/>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①监测因子及点位布设</w:t>
            </w:r>
          </w:p>
          <w:p w14:paraId="487337B1">
            <w:pPr>
              <w:ind w:firstLine="480"/>
              <w:rPr>
                <w:rFonts w:hint="default" w:ascii="Times New Roman" w:hAnsi="Times New Roman" w:cs="Times New Roman"/>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为了进一步了解评价区内特征污染物环境质量达标情况，本次评价</w:t>
            </w:r>
            <w:r>
              <w:rPr>
                <w:rFonts w:hint="eastAsia" w:cs="Times New Roman"/>
                <w:color w:val="000000" w:themeColor="text1"/>
                <w:szCs w:val="20"/>
                <w:highlight w:val="none"/>
                <w:lang w:val="en-US" w:eastAsia="zh-CN"/>
                <w14:textFill>
                  <w14:solidFill>
                    <w14:schemeClr w14:val="tx1"/>
                  </w14:solidFill>
                </w14:textFill>
              </w:rPr>
              <w:t>苯并[a]芘</w:t>
            </w:r>
            <w:r>
              <w:rPr>
                <w:color w:val="000000" w:themeColor="text1"/>
                <w:highlight w:val="none"/>
                <w14:textFill>
                  <w14:solidFill>
                    <w14:schemeClr w14:val="tx1"/>
                  </w14:solidFill>
                </w14:textFill>
              </w:rPr>
              <w:t>引用</w:t>
            </w:r>
            <w:r>
              <w:rPr>
                <w:rFonts w:hint="eastAsia"/>
                <w:color w:val="000000" w:themeColor="text1"/>
                <w:highlight w:val="none"/>
                <w:lang w:val="en-US" w:eastAsia="zh-CN"/>
                <w14:textFill>
                  <w14:solidFill>
                    <w14:schemeClr w14:val="tx1"/>
                  </w14:solidFill>
                </w14:textFill>
              </w:rPr>
              <w:t>福建省厚德检测技术</w:t>
            </w:r>
            <w:r>
              <w:rPr>
                <w:color w:val="000000" w:themeColor="text1"/>
                <w:highlight w:val="none"/>
                <w14:textFill>
                  <w14:solidFill>
                    <w14:schemeClr w14:val="tx1"/>
                  </w14:solidFill>
                </w14:textFill>
              </w:rPr>
              <w:t>有限公司于202</w:t>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5</w:t>
            </w:r>
            <w:r>
              <w:rPr>
                <w:color w:val="000000" w:themeColor="text1"/>
                <w:highlight w:val="none"/>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日</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202</w:t>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5</w:t>
            </w:r>
            <w:r>
              <w:rPr>
                <w:color w:val="000000" w:themeColor="text1"/>
                <w:highlight w:val="none"/>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9</w:t>
            </w:r>
            <w:r>
              <w:rPr>
                <w:color w:val="000000" w:themeColor="text1"/>
                <w:highlight w:val="none"/>
                <w14:textFill>
                  <w14:solidFill>
                    <w14:schemeClr w14:val="tx1"/>
                  </w14:solidFill>
                </w14:textFill>
              </w:rPr>
              <w:t>日对《</w:t>
            </w:r>
            <w:r>
              <w:rPr>
                <w:rFonts w:hint="eastAsia"/>
                <w:color w:val="000000" w:themeColor="text1"/>
                <w:highlight w:val="none"/>
                <w14:textFill>
                  <w14:solidFill>
                    <w14:schemeClr w14:val="tx1"/>
                  </w14:solidFill>
                </w14:textFill>
              </w:rPr>
              <w:t>福建福碳新材料科技有限公司高端特种石墨研发及产业化项目（变更）</w:t>
            </w:r>
            <w:r>
              <w:rPr>
                <w:color w:val="000000" w:themeColor="text1"/>
                <w:highlight w:val="none"/>
                <w14:textFill>
                  <w14:solidFill>
                    <w14:schemeClr w14:val="tx1"/>
                  </w14:solidFill>
                </w14:textFill>
              </w:rPr>
              <w:t>环境影响报告</w:t>
            </w:r>
            <w:r>
              <w:rPr>
                <w:rFonts w:hint="eastAsia"/>
                <w:color w:val="000000" w:themeColor="text1"/>
                <w:highlight w:val="none"/>
                <w:lang w:val="en-US" w:eastAsia="zh-CN"/>
                <w14:textFill>
                  <w14:solidFill>
                    <w14:schemeClr w14:val="tx1"/>
                  </w14:solidFill>
                </w14:textFill>
              </w:rPr>
              <w:t>书</w:t>
            </w:r>
            <w:r>
              <w:rPr>
                <w:color w:val="000000" w:themeColor="text1"/>
                <w:highlight w:val="none"/>
                <w14:textFill>
                  <w14:solidFill>
                    <w14:schemeClr w14:val="tx1"/>
                  </w14:solidFill>
                </w14:textFill>
              </w:rPr>
              <w:t>》的现状监测数据</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TSP、非甲烷总烃委托福建创投检测技术有限公司于2025年3月28日~2025年4月3日进行补充监测。</w:t>
            </w:r>
            <w:r>
              <w:rPr>
                <w:rFonts w:hint="default" w:ascii="Times New Roman" w:hAnsi="Times New Roman" w:cs="Times New Roman"/>
                <w:color w:val="000000" w:themeColor="text1"/>
                <w:highlight w:val="none"/>
                <w:lang w:val="en-US" w:eastAsia="zh-CN"/>
                <w14:textFill>
                  <w14:solidFill>
                    <w14:schemeClr w14:val="tx1"/>
                  </w14:solidFill>
                </w14:textFill>
              </w:rPr>
              <w:t>引用</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历史监测数据、补充监测</w:t>
            </w:r>
            <w:r>
              <w:rPr>
                <w:rFonts w:hint="default" w:ascii="Times New Roman" w:hAnsi="Times New Roman" w:cs="Times New Roman"/>
                <w:color w:val="000000" w:themeColor="text1"/>
                <w:sz w:val="24"/>
                <w:szCs w:val="24"/>
                <w:highlight w:val="none"/>
                <w14:textFill>
                  <w14:solidFill>
                    <w14:schemeClr w14:val="tx1"/>
                  </w14:solidFill>
                </w14:textFill>
              </w:rPr>
              <w:t>的监</w:t>
            </w:r>
            <w:r>
              <w:rPr>
                <w:rFonts w:hint="default" w:ascii="Times New Roman" w:hAnsi="Times New Roman" w:cs="Times New Roman"/>
                <w:color w:val="000000" w:themeColor="text1"/>
                <w:highlight w:val="none"/>
                <w14:textFill>
                  <w14:solidFill>
                    <w14:schemeClr w14:val="tx1"/>
                  </w14:solidFill>
                </w14:textFill>
              </w:rPr>
              <w:t>测点位及监测项目</w:t>
            </w:r>
            <w:r>
              <w:rPr>
                <w:rFonts w:hint="default" w:ascii="Times New Roman" w:hAnsi="Times New Roman" w:cs="Times New Roman"/>
                <w:color w:val="000000" w:themeColor="text1"/>
                <w:highlight w:val="none"/>
                <w:lang w:val="en-US" w:eastAsia="zh-CN"/>
                <w14:textFill>
                  <w14:solidFill>
                    <w14:schemeClr w14:val="tx1"/>
                  </w14:solidFill>
                </w14:textFill>
              </w:rPr>
              <w:t>见</w: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begin"/>
            </w:r>
            <w:r>
              <w:rPr>
                <w:rFonts w:hint="default" w:ascii="Times New Roman" w:hAnsi="Times New Roman" w:cs="Times New Roman"/>
                <w:color w:val="000000" w:themeColor="text1"/>
                <w:highlight w:val="none"/>
                <w:lang w:val="en-US" w:eastAsia="zh-CN"/>
                <w14:textFill>
                  <w14:solidFill>
                    <w14:schemeClr w14:val="tx1"/>
                  </w14:solidFill>
                </w14:textFill>
              </w:rPr>
              <w:instrText xml:space="preserve"> REF _Ref5641 \n \h </w:instrTex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separate"/>
            </w:r>
            <w:r>
              <w:rPr>
                <w:rFonts w:hint="default" w:ascii="Times New Roman" w:hAnsi="Times New Roman" w:cs="Times New Roman"/>
                <w:color w:val="000000" w:themeColor="text1"/>
                <w:highlight w:val="none"/>
                <w:lang w:val="en-US" w:eastAsia="zh-CN"/>
                <w14:textFill>
                  <w14:solidFill>
                    <w14:schemeClr w14:val="tx1"/>
                  </w14:solidFill>
                </w14:textFill>
              </w:rPr>
              <w:t>表3.1-2</w: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end"/>
            </w:r>
            <w:r>
              <w:rPr>
                <w:rFonts w:hint="eastAsia" w:cs="Times New Roman"/>
                <w:color w:val="000000" w:themeColor="text1"/>
                <w:highlight w:val="none"/>
                <w:lang w:val="en-US" w:eastAsia="zh-CN"/>
                <w14:textFill>
                  <w14:solidFill>
                    <w14:schemeClr w14:val="tx1"/>
                  </w14:solidFill>
                </w14:textFill>
              </w:rPr>
              <w:t>，</w:t>
            </w:r>
            <w:r>
              <w:rPr>
                <w:rFonts w:hint="eastAsia"/>
                <w:color w:val="000000" w:themeColor="text1"/>
                <w:highlight w:val="none"/>
                <w14:textFill>
                  <w14:solidFill>
                    <w14:schemeClr w14:val="tx1"/>
                  </w14:solidFill>
                </w14:textFill>
              </w:rPr>
              <w:t>监测点位详见</w:t>
            </w:r>
            <w:r>
              <w:rPr>
                <w:rFonts w:hint="eastAsia"/>
                <w:color w:val="000000" w:themeColor="text1"/>
                <w:highlight w:val="none"/>
                <w:lang w:eastAsia="zh-CN"/>
                <w14:textFill>
                  <w14:solidFill>
                    <w14:schemeClr w14:val="tx1"/>
                  </w14:solidFill>
                </w14:textFill>
              </w:rPr>
              <w:fldChar w:fldCharType="begin"/>
            </w:r>
            <w:r>
              <w:rPr>
                <w:rFonts w:hint="eastAsia"/>
                <w:color w:val="000000" w:themeColor="text1"/>
                <w:highlight w:val="none"/>
                <w:lang w:eastAsia="zh-CN"/>
                <w14:textFill>
                  <w14:solidFill>
                    <w14:schemeClr w14:val="tx1"/>
                  </w14:solidFill>
                </w14:textFill>
              </w:rPr>
              <w:instrText xml:space="preserve"> REF _Ref18046 \n \h </w:instrText>
            </w:r>
            <w:r>
              <w:rPr>
                <w:rFonts w:hint="eastAsia"/>
                <w:color w:val="000000" w:themeColor="text1"/>
                <w:highlight w:val="none"/>
                <w:lang w:eastAsia="zh-CN"/>
                <w14:textFill>
                  <w14:solidFill>
                    <w14:schemeClr w14:val="tx1"/>
                  </w14:solidFill>
                </w14:textFill>
              </w:rPr>
              <w:fldChar w:fldCharType="separate"/>
            </w:r>
            <w:r>
              <w:rPr>
                <w:rFonts w:hint="eastAsia"/>
                <w:color w:val="000000" w:themeColor="text1"/>
                <w:highlight w:val="none"/>
                <w:lang w:eastAsia="zh-CN"/>
                <w14:textFill>
                  <w14:solidFill>
                    <w14:schemeClr w14:val="tx1"/>
                  </w14:solidFill>
                </w14:textFill>
              </w:rPr>
              <w:t>图3.1-1</w:t>
            </w:r>
            <w:r>
              <w:rPr>
                <w:rFonts w:hint="eastAsia"/>
                <w:color w:val="000000" w:themeColor="text1"/>
                <w:highlight w:val="none"/>
                <w:lang w:eastAsia="zh-CN"/>
                <w14:textFill>
                  <w14:solidFill>
                    <w14:schemeClr w14:val="tx1"/>
                  </w14:solidFill>
                </w14:textFill>
              </w:rPr>
              <w:fldChar w:fldCharType="end"/>
            </w:r>
            <w:r>
              <w:rPr>
                <w:rFonts w:hint="eastAsia"/>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本次评价引用的监测数据均</w:t>
            </w:r>
            <w:r>
              <w:rPr>
                <w:rFonts w:hint="eastAsia"/>
                <w:color w:val="000000" w:themeColor="text1"/>
                <w:highlight w:val="none"/>
                <w14:textFill>
                  <w14:solidFill>
                    <w14:schemeClr w14:val="tx1"/>
                  </w14:solidFill>
                </w14:textFill>
              </w:rPr>
              <w:t>在建设项目周边5</w:t>
            </w:r>
            <w:r>
              <w:rPr>
                <w:rFonts w:hint="eastAsia"/>
                <w:color w:val="000000" w:themeColor="text1"/>
                <w:highlight w:val="none"/>
                <w:lang w:val="en-US" w:eastAsia="zh-CN"/>
                <w14:textFill>
                  <w14:solidFill>
                    <w14:schemeClr w14:val="tx1"/>
                  </w14:solidFill>
                </w14:textFill>
              </w:rPr>
              <w:t xml:space="preserve"> km</w:t>
            </w:r>
            <w:r>
              <w:rPr>
                <w:rFonts w:hint="eastAsia"/>
                <w:color w:val="000000" w:themeColor="text1"/>
                <w:highlight w:val="none"/>
                <w14:textFill>
                  <w14:solidFill>
                    <w14:schemeClr w14:val="tx1"/>
                  </w14:solidFill>
                </w14:textFill>
              </w:rPr>
              <w:t>范围内，且引用数据的监测时间在3年范围内，因此引用数据有效</w:t>
            </w:r>
            <w:r>
              <w:rPr>
                <w:rFonts w:hint="default" w:ascii="Times New Roman" w:hAnsi="Times New Roman" w:cs="Times New Roman"/>
                <w:color w:val="000000" w:themeColor="text1"/>
                <w:highlight w:val="none"/>
                <w:lang w:val="en-US" w:eastAsia="zh-CN"/>
                <w14:textFill>
                  <w14:solidFill>
                    <w14:schemeClr w14:val="tx1"/>
                  </w14:solidFill>
                </w14:textFill>
              </w:rPr>
              <w:t>。</w:t>
            </w:r>
          </w:p>
          <w:p w14:paraId="1660308B">
            <w:pPr>
              <w:pStyle w:val="30"/>
              <w:numPr>
                <w:ilvl w:val="4"/>
                <w:numId w:val="4"/>
              </w:numPr>
              <w:tabs>
                <w:tab w:val="left" w:pos="0"/>
              </w:tabs>
              <w:bidi w:val="0"/>
              <w:rPr>
                <w:rFonts w:hint="default" w:ascii="Times New Roman" w:hAnsi="Times New Roman" w:cs="Times New Roman"/>
                <w:color w:val="000000" w:themeColor="text1"/>
                <w:highlight w:val="none"/>
                <w:lang w:val="en-US" w:eastAsia="zh-CN"/>
                <w14:textFill>
                  <w14:solidFill>
                    <w14:schemeClr w14:val="tx1"/>
                  </w14:solidFill>
                </w14:textFill>
              </w:rPr>
            </w:pPr>
            <w:bookmarkStart w:id="134" w:name="_Ref5769"/>
            <w:bookmarkStart w:id="135" w:name="_Ref5641"/>
            <w:r>
              <w:rPr>
                <w:rFonts w:hint="default" w:ascii="Times New Roman" w:hAnsi="Times New Roman" w:cs="Times New Roman"/>
                <w:color w:val="000000" w:themeColor="text1"/>
                <w:highlight w:val="none"/>
                <w:lang w:val="en-US" w:eastAsia="zh-CN"/>
                <w14:textFill>
                  <w14:solidFill>
                    <w14:schemeClr w14:val="tx1"/>
                  </w14:solidFill>
                </w14:textFill>
              </w:rPr>
              <w:t>环境质量现状监测点位及项目一览表</w:t>
            </w:r>
            <w:bookmarkEnd w:id="134"/>
          </w:p>
          <w:tbl>
            <w:tblPr>
              <w:tblStyle w:val="1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867"/>
              <w:gridCol w:w="1184"/>
              <w:gridCol w:w="4515"/>
            </w:tblGrid>
            <w:tr w14:paraId="32CCD8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67" w:type="pct"/>
                  <w:tcBorders>
                    <w:tl2br w:val="nil"/>
                    <w:tr2bl w:val="nil"/>
                  </w:tcBorders>
                  <w:noWrap w:val="0"/>
                  <w:vAlign w:val="center"/>
                </w:tcPr>
                <w:p w14:paraId="63C41E0F">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编号</w:t>
                  </w:r>
                </w:p>
              </w:tc>
              <w:tc>
                <w:tcPr>
                  <w:tcW w:w="1118" w:type="pct"/>
                  <w:tcBorders>
                    <w:tl2br w:val="nil"/>
                    <w:tr2bl w:val="nil"/>
                  </w:tcBorders>
                  <w:noWrap w:val="0"/>
                  <w:vAlign w:val="center"/>
                </w:tcPr>
                <w:p w14:paraId="6A05969A">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点位名称</w:t>
                  </w:r>
                </w:p>
              </w:tc>
              <w:tc>
                <w:tcPr>
                  <w:tcW w:w="709" w:type="pct"/>
                  <w:tcBorders>
                    <w:tl2br w:val="nil"/>
                    <w:tr2bl w:val="nil"/>
                  </w:tcBorders>
                  <w:noWrap w:val="0"/>
                  <w:vAlign w:val="center"/>
                </w:tcPr>
                <w:p w14:paraId="11E36772">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监测项目</w:t>
                  </w:r>
                </w:p>
              </w:tc>
              <w:tc>
                <w:tcPr>
                  <w:tcW w:w="2704" w:type="pct"/>
                  <w:tcBorders>
                    <w:tl2br w:val="nil"/>
                    <w:tr2bl w:val="nil"/>
                  </w:tcBorders>
                  <w:noWrap w:val="0"/>
                  <w:vAlign w:val="center"/>
                </w:tcPr>
                <w:p w14:paraId="1BF2A0ED">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数据来源</w:t>
                  </w:r>
                </w:p>
              </w:tc>
            </w:tr>
            <w:tr w14:paraId="40A38E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7" w:type="pct"/>
                  <w:tcBorders>
                    <w:tl2br w:val="nil"/>
                    <w:tr2bl w:val="nil"/>
                  </w:tcBorders>
                  <w:noWrap w:val="0"/>
                  <w:vAlign w:val="center"/>
                </w:tcPr>
                <w:p w14:paraId="649DF90F">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G1</w:t>
                  </w:r>
                </w:p>
              </w:tc>
              <w:tc>
                <w:tcPr>
                  <w:tcW w:w="1118" w:type="pct"/>
                  <w:tcBorders>
                    <w:tl2br w:val="nil"/>
                    <w:tr2bl w:val="nil"/>
                  </w:tcBorders>
                  <w:noWrap w:val="0"/>
                  <w:vAlign w:val="center"/>
                </w:tcPr>
                <w:p w14:paraId="553D6ED4">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福建福碳新材料科技有限公司石墨化车间南侧</w:t>
                  </w:r>
                </w:p>
              </w:tc>
              <w:tc>
                <w:tcPr>
                  <w:tcW w:w="709" w:type="pct"/>
                  <w:tcBorders>
                    <w:tl2br w:val="nil"/>
                    <w:tr2bl w:val="nil"/>
                  </w:tcBorders>
                  <w:noWrap w:val="0"/>
                  <w:vAlign w:val="center"/>
                </w:tcPr>
                <w:p w14:paraId="5A7FEE5A">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苯并[a]芘</w:t>
                  </w:r>
                </w:p>
              </w:tc>
              <w:tc>
                <w:tcPr>
                  <w:tcW w:w="2704" w:type="pct"/>
                  <w:vMerge w:val="restart"/>
                  <w:tcBorders>
                    <w:tl2br w:val="nil"/>
                    <w:tr2bl w:val="nil"/>
                  </w:tcBorders>
                  <w:noWrap w:val="0"/>
                  <w:vAlign w:val="center"/>
                </w:tcPr>
                <w:p w14:paraId="36A483D0">
                  <w:pPr>
                    <w:pStyle w:val="26"/>
                    <w:keepNext w:val="0"/>
                    <w:keepLines w:val="0"/>
                    <w:widowControl w:val="0"/>
                    <w:suppressLineNumbers w:val="0"/>
                    <w:bidi w:val="0"/>
                    <w:spacing w:before="0" w:beforeAutospacing="0" w:after="0" w:afterAutospacing="0" w:line="240" w:lineRule="auto"/>
                    <w:ind w:right="0"/>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color w:val="000000" w:themeColor="text1"/>
                      <w:highlight w:val="none"/>
                      <w:lang w:val="en-US" w:eastAsia="zh-CN" w:bidi="ar-SA"/>
                      <w14:textFill>
                        <w14:solidFill>
                          <w14:schemeClr w14:val="tx1"/>
                        </w14:solidFill>
                      </w14:textFill>
                    </w:rPr>
                    <w:t>引用</w:t>
                  </w:r>
                  <w:r>
                    <w:rPr>
                      <w:rFonts w:hint="eastAsia"/>
                      <w:color w:val="000000" w:themeColor="text1"/>
                      <w:highlight w:val="none"/>
                      <w:lang w:val="en-US" w:eastAsia="zh-CN" w:bidi="ar-SA"/>
                      <w14:textFill>
                        <w14:solidFill>
                          <w14:schemeClr w14:val="tx1"/>
                        </w14:solidFill>
                      </w14:textFill>
                    </w:rPr>
                    <w:t>福建省厚德检测技术</w:t>
                  </w:r>
                  <w:r>
                    <w:rPr>
                      <w:color w:val="000000" w:themeColor="text1"/>
                      <w:highlight w:val="none"/>
                      <w:lang w:val="en-US" w:eastAsia="zh-CN" w:bidi="ar-SA"/>
                      <w14:textFill>
                        <w14:solidFill>
                          <w14:schemeClr w14:val="tx1"/>
                        </w14:solidFill>
                      </w14:textFill>
                    </w:rPr>
                    <w:t>有限公司于202</w:t>
                  </w:r>
                  <w:r>
                    <w:rPr>
                      <w:rFonts w:hint="eastAsia"/>
                      <w:color w:val="000000" w:themeColor="text1"/>
                      <w:highlight w:val="none"/>
                      <w:lang w:val="en-US" w:eastAsia="zh-CN" w:bidi="ar-SA"/>
                      <w14:textFill>
                        <w14:solidFill>
                          <w14:schemeClr w14:val="tx1"/>
                        </w14:solidFill>
                      </w14:textFill>
                    </w:rPr>
                    <w:t>3</w:t>
                  </w:r>
                  <w:r>
                    <w:rPr>
                      <w:color w:val="000000" w:themeColor="text1"/>
                      <w:highlight w:val="none"/>
                      <w:lang w:val="en-US" w:eastAsia="zh-CN" w:bidi="ar-SA"/>
                      <w14:textFill>
                        <w14:solidFill>
                          <w14:schemeClr w14:val="tx1"/>
                        </w14:solidFill>
                      </w14:textFill>
                    </w:rPr>
                    <w:t>年</w:t>
                  </w:r>
                  <w:r>
                    <w:rPr>
                      <w:rFonts w:hint="eastAsia"/>
                      <w:color w:val="000000" w:themeColor="text1"/>
                      <w:highlight w:val="none"/>
                      <w:lang w:val="en-US" w:eastAsia="zh-CN" w:bidi="ar-SA"/>
                      <w14:textFill>
                        <w14:solidFill>
                          <w14:schemeClr w14:val="tx1"/>
                        </w14:solidFill>
                      </w14:textFill>
                    </w:rPr>
                    <w:t>5</w:t>
                  </w:r>
                  <w:r>
                    <w:rPr>
                      <w:color w:val="000000" w:themeColor="text1"/>
                      <w:highlight w:val="none"/>
                      <w:lang w:val="en-US" w:eastAsia="zh-CN" w:bidi="ar-SA"/>
                      <w14:textFill>
                        <w14:solidFill>
                          <w14:schemeClr w14:val="tx1"/>
                        </w14:solidFill>
                      </w14:textFill>
                    </w:rPr>
                    <w:t>月</w:t>
                  </w:r>
                  <w:r>
                    <w:rPr>
                      <w:rFonts w:hint="eastAsia"/>
                      <w:color w:val="000000" w:themeColor="text1"/>
                      <w:highlight w:val="none"/>
                      <w:lang w:val="en-US" w:eastAsia="zh-CN" w:bidi="ar-SA"/>
                      <w14:textFill>
                        <w14:solidFill>
                          <w14:schemeClr w14:val="tx1"/>
                        </w14:solidFill>
                      </w14:textFill>
                    </w:rPr>
                    <w:t>3</w:t>
                  </w:r>
                  <w:r>
                    <w:rPr>
                      <w:color w:val="000000" w:themeColor="text1"/>
                      <w:highlight w:val="none"/>
                      <w:lang w:val="en-US" w:eastAsia="zh-CN" w:bidi="ar-SA"/>
                      <w14:textFill>
                        <w14:solidFill>
                          <w14:schemeClr w14:val="tx1"/>
                        </w14:solidFill>
                      </w14:textFill>
                    </w:rPr>
                    <w:t>日</w:t>
                  </w:r>
                  <w:r>
                    <w:rPr>
                      <w:rFonts w:hint="eastAsia"/>
                      <w:color w:val="000000" w:themeColor="text1"/>
                      <w:highlight w:val="none"/>
                      <w:lang w:val="en-US" w:eastAsia="zh-CN" w:bidi="ar-SA"/>
                      <w14:textFill>
                        <w14:solidFill>
                          <w14:schemeClr w14:val="tx1"/>
                        </w14:solidFill>
                      </w14:textFill>
                    </w:rPr>
                    <w:t>～</w:t>
                  </w:r>
                  <w:r>
                    <w:rPr>
                      <w:color w:val="000000" w:themeColor="text1"/>
                      <w:highlight w:val="none"/>
                      <w:lang w:val="en-US" w:eastAsia="zh-CN" w:bidi="ar-SA"/>
                      <w14:textFill>
                        <w14:solidFill>
                          <w14:schemeClr w14:val="tx1"/>
                        </w14:solidFill>
                      </w14:textFill>
                    </w:rPr>
                    <w:t>202</w:t>
                  </w:r>
                  <w:r>
                    <w:rPr>
                      <w:rFonts w:hint="eastAsia"/>
                      <w:color w:val="000000" w:themeColor="text1"/>
                      <w:highlight w:val="none"/>
                      <w:lang w:val="en-US" w:eastAsia="zh-CN" w:bidi="ar-SA"/>
                      <w14:textFill>
                        <w14:solidFill>
                          <w14:schemeClr w14:val="tx1"/>
                        </w14:solidFill>
                      </w14:textFill>
                    </w:rPr>
                    <w:t>3</w:t>
                  </w:r>
                  <w:r>
                    <w:rPr>
                      <w:color w:val="000000" w:themeColor="text1"/>
                      <w:highlight w:val="none"/>
                      <w:lang w:val="en-US" w:eastAsia="zh-CN" w:bidi="ar-SA"/>
                      <w14:textFill>
                        <w14:solidFill>
                          <w14:schemeClr w14:val="tx1"/>
                        </w14:solidFill>
                      </w14:textFill>
                    </w:rPr>
                    <w:t>年</w:t>
                  </w:r>
                  <w:r>
                    <w:rPr>
                      <w:rFonts w:hint="eastAsia"/>
                      <w:color w:val="000000" w:themeColor="text1"/>
                      <w:highlight w:val="none"/>
                      <w:lang w:val="en-US" w:eastAsia="zh-CN" w:bidi="ar-SA"/>
                      <w14:textFill>
                        <w14:solidFill>
                          <w14:schemeClr w14:val="tx1"/>
                        </w14:solidFill>
                      </w14:textFill>
                    </w:rPr>
                    <w:t>5</w:t>
                  </w:r>
                  <w:r>
                    <w:rPr>
                      <w:color w:val="000000" w:themeColor="text1"/>
                      <w:highlight w:val="none"/>
                      <w:lang w:val="en-US" w:eastAsia="zh-CN" w:bidi="ar-SA"/>
                      <w14:textFill>
                        <w14:solidFill>
                          <w14:schemeClr w14:val="tx1"/>
                        </w14:solidFill>
                      </w14:textFill>
                    </w:rPr>
                    <w:t>月</w:t>
                  </w:r>
                  <w:r>
                    <w:rPr>
                      <w:rFonts w:hint="eastAsia"/>
                      <w:color w:val="000000" w:themeColor="text1"/>
                      <w:highlight w:val="none"/>
                      <w:lang w:val="en-US" w:eastAsia="zh-CN" w:bidi="ar-SA"/>
                      <w14:textFill>
                        <w14:solidFill>
                          <w14:schemeClr w14:val="tx1"/>
                        </w14:solidFill>
                      </w14:textFill>
                    </w:rPr>
                    <w:t>9</w:t>
                  </w:r>
                  <w:r>
                    <w:rPr>
                      <w:color w:val="000000" w:themeColor="text1"/>
                      <w:highlight w:val="none"/>
                      <w:lang w:val="en-US" w:eastAsia="zh-CN" w:bidi="ar-SA"/>
                      <w14:textFill>
                        <w14:solidFill>
                          <w14:schemeClr w14:val="tx1"/>
                        </w14:solidFill>
                      </w14:textFill>
                    </w:rPr>
                    <w:t>日对《</w:t>
                  </w:r>
                  <w:r>
                    <w:rPr>
                      <w:rFonts w:hint="eastAsia"/>
                      <w:color w:val="000000" w:themeColor="text1"/>
                      <w:highlight w:val="none"/>
                      <w:lang w:val="en-US" w:eastAsia="zh-CN" w:bidi="ar-SA"/>
                      <w14:textFill>
                        <w14:solidFill>
                          <w14:schemeClr w14:val="tx1"/>
                        </w14:solidFill>
                      </w14:textFill>
                    </w:rPr>
                    <w:t>福建福碳新材料科技有限公司高端特种石墨研发及产业化项目（变更）</w:t>
                  </w:r>
                  <w:r>
                    <w:rPr>
                      <w:color w:val="000000" w:themeColor="text1"/>
                      <w:highlight w:val="none"/>
                      <w:lang w:val="en-US" w:eastAsia="zh-CN" w:bidi="ar-SA"/>
                      <w14:textFill>
                        <w14:solidFill>
                          <w14:schemeClr w14:val="tx1"/>
                        </w14:solidFill>
                      </w14:textFill>
                    </w:rPr>
                    <w:t>环境影响报告</w:t>
                  </w:r>
                  <w:r>
                    <w:rPr>
                      <w:rFonts w:hint="eastAsia"/>
                      <w:color w:val="000000" w:themeColor="text1"/>
                      <w:highlight w:val="none"/>
                      <w:lang w:val="en-US" w:eastAsia="zh-CN" w:bidi="ar-SA"/>
                      <w14:textFill>
                        <w14:solidFill>
                          <w14:schemeClr w14:val="tx1"/>
                        </w14:solidFill>
                      </w14:textFill>
                    </w:rPr>
                    <w:t>书</w:t>
                  </w:r>
                  <w:r>
                    <w:rPr>
                      <w:color w:val="000000" w:themeColor="text1"/>
                      <w:highlight w:val="none"/>
                      <w:lang w:val="en-US" w:eastAsia="zh-CN" w:bidi="ar-SA"/>
                      <w14:textFill>
                        <w14:solidFill>
                          <w14:schemeClr w14:val="tx1"/>
                        </w14:solidFill>
                      </w14:textFill>
                    </w:rPr>
                    <w:t>》的现状监测数据</w:t>
                  </w:r>
                </w:p>
              </w:tc>
            </w:tr>
            <w:tr w14:paraId="2D8331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7" w:type="pct"/>
                  <w:tcBorders>
                    <w:tl2br w:val="nil"/>
                    <w:tr2bl w:val="nil"/>
                  </w:tcBorders>
                  <w:noWrap w:val="0"/>
                  <w:vAlign w:val="center"/>
                </w:tcPr>
                <w:p w14:paraId="594B8F49">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G2</w:t>
                  </w:r>
                </w:p>
              </w:tc>
              <w:tc>
                <w:tcPr>
                  <w:tcW w:w="1118" w:type="pct"/>
                  <w:tcBorders>
                    <w:tl2br w:val="nil"/>
                    <w:tr2bl w:val="nil"/>
                  </w:tcBorders>
                  <w:noWrap w:val="0"/>
                  <w:vAlign w:val="center"/>
                </w:tcPr>
                <w:p w14:paraId="31B68D7E">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元木冠（南坂村住宅）</w:t>
                  </w:r>
                </w:p>
              </w:tc>
              <w:tc>
                <w:tcPr>
                  <w:tcW w:w="709" w:type="pct"/>
                  <w:tcBorders>
                    <w:tl2br w:val="nil"/>
                    <w:tr2bl w:val="nil"/>
                  </w:tcBorders>
                  <w:noWrap w:val="0"/>
                  <w:vAlign w:val="center"/>
                </w:tcPr>
                <w:p w14:paraId="486B747E">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苯并[a]芘</w:t>
                  </w:r>
                </w:p>
              </w:tc>
              <w:tc>
                <w:tcPr>
                  <w:tcW w:w="2704" w:type="pct"/>
                  <w:vMerge w:val="continue"/>
                  <w:tcBorders>
                    <w:tl2br w:val="nil"/>
                    <w:tr2bl w:val="nil"/>
                  </w:tcBorders>
                  <w:noWrap w:val="0"/>
                  <w:vAlign w:val="center"/>
                </w:tcPr>
                <w:p w14:paraId="7A2569B8">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r>
            <w:tr w14:paraId="69030B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7" w:type="pct"/>
                  <w:tcBorders>
                    <w:tl2br w:val="nil"/>
                    <w:tr2bl w:val="nil"/>
                  </w:tcBorders>
                  <w:noWrap w:val="0"/>
                  <w:vAlign w:val="center"/>
                </w:tcPr>
                <w:p w14:paraId="2FEEE178">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G3</w:t>
                  </w:r>
                </w:p>
              </w:tc>
              <w:tc>
                <w:tcPr>
                  <w:tcW w:w="1118" w:type="pct"/>
                  <w:tcBorders>
                    <w:tl2br w:val="nil"/>
                    <w:tr2bl w:val="nil"/>
                  </w:tcBorders>
                  <w:noWrap w:val="0"/>
                  <w:vAlign w:val="center"/>
                </w:tcPr>
                <w:p w14:paraId="510C2D3B">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本项目厂址</w:t>
                  </w:r>
                </w:p>
              </w:tc>
              <w:tc>
                <w:tcPr>
                  <w:tcW w:w="709" w:type="pct"/>
                  <w:tcBorders>
                    <w:tl2br w:val="nil"/>
                    <w:tr2bl w:val="nil"/>
                  </w:tcBorders>
                  <w:noWrap w:val="0"/>
                  <w:vAlign w:val="center"/>
                </w:tcPr>
                <w:p w14:paraId="2B2F459E">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TSP、非甲烷总烃</w:t>
                  </w:r>
                </w:p>
              </w:tc>
              <w:tc>
                <w:tcPr>
                  <w:tcW w:w="2704" w:type="pct"/>
                  <w:vMerge w:val="restart"/>
                  <w:tcBorders>
                    <w:tl2br w:val="nil"/>
                    <w:tr2bl w:val="nil"/>
                  </w:tcBorders>
                  <w:noWrap w:val="0"/>
                  <w:vAlign w:val="center"/>
                </w:tcPr>
                <w:p w14:paraId="6840CE5F">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委托福建创投检测技术有限公司于2025年3月28日~2025年4月3日进行补充监测</w:t>
                  </w:r>
                </w:p>
              </w:tc>
            </w:tr>
            <w:tr w14:paraId="6FA33D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7" w:type="pct"/>
                  <w:tcBorders>
                    <w:tl2br w:val="nil"/>
                    <w:tr2bl w:val="nil"/>
                  </w:tcBorders>
                  <w:noWrap w:val="0"/>
                  <w:vAlign w:val="center"/>
                </w:tcPr>
                <w:p w14:paraId="71F0385E">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G4</w:t>
                  </w:r>
                </w:p>
              </w:tc>
              <w:tc>
                <w:tcPr>
                  <w:tcW w:w="1118" w:type="pct"/>
                  <w:tcBorders>
                    <w:tl2br w:val="nil"/>
                    <w:tr2bl w:val="nil"/>
                  </w:tcBorders>
                  <w:noWrap w:val="0"/>
                  <w:vAlign w:val="center"/>
                </w:tcPr>
                <w:p w14:paraId="11B9F2C2">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大坡</w:t>
                  </w:r>
                </w:p>
              </w:tc>
              <w:tc>
                <w:tcPr>
                  <w:tcW w:w="709" w:type="pct"/>
                  <w:tcBorders>
                    <w:tl2br w:val="nil"/>
                    <w:tr2bl w:val="nil"/>
                  </w:tcBorders>
                  <w:noWrap w:val="0"/>
                  <w:vAlign w:val="center"/>
                </w:tcPr>
                <w:p w14:paraId="5B87C7A1">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TSP、非甲烷总烃</w:t>
                  </w:r>
                </w:p>
              </w:tc>
              <w:tc>
                <w:tcPr>
                  <w:tcW w:w="2704" w:type="pct"/>
                  <w:vMerge w:val="continue"/>
                  <w:tcBorders>
                    <w:tl2br w:val="nil"/>
                    <w:tr2bl w:val="nil"/>
                  </w:tcBorders>
                  <w:noWrap w:val="0"/>
                  <w:vAlign w:val="center"/>
                </w:tcPr>
                <w:p w14:paraId="1BF0904C">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r>
          </w:tbl>
          <w:p w14:paraId="50387AF4">
            <w:pPr>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②监测分析方法</w:t>
            </w:r>
          </w:p>
          <w:p w14:paraId="051037A8">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监测方法按照《环境空气质量手工监测技术规范》和《空气和废气监测分析方法》进行环境空气质量监测，分析方法按《环境空气质量标准》（GB3095-2012）中的有关规定执行</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分析方法见</w: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begin"/>
            </w:r>
            <w:r>
              <w:rPr>
                <w:rFonts w:hint="default" w:ascii="Times New Roman" w:hAnsi="Times New Roman" w:cs="Times New Roman"/>
                <w:color w:val="000000" w:themeColor="text1"/>
                <w:highlight w:val="none"/>
                <w:lang w:val="en-US" w:eastAsia="zh-CN"/>
                <w14:textFill>
                  <w14:solidFill>
                    <w14:schemeClr w14:val="tx1"/>
                  </w14:solidFill>
                </w14:textFill>
              </w:rPr>
              <w:instrText xml:space="preserve"> REF _Ref5693 \n \h </w:instrTex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separate"/>
            </w:r>
            <w:r>
              <w:rPr>
                <w:rFonts w:hint="default" w:ascii="Times New Roman" w:hAnsi="Times New Roman" w:cs="Times New Roman"/>
                <w:color w:val="000000" w:themeColor="text1"/>
                <w:highlight w:val="none"/>
                <w:lang w:val="en-US" w:eastAsia="zh-CN"/>
                <w14:textFill>
                  <w14:solidFill>
                    <w14:schemeClr w14:val="tx1"/>
                  </w14:solidFill>
                </w14:textFill>
              </w:rPr>
              <w:t>表3.1-3</w: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end"/>
            </w:r>
            <w:r>
              <w:rPr>
                <w:rFonts w:hint="eastAsia" w:ascii="Times New Roman" w:hAnsi="Times New Roman" w:cs="Times New Roman"/>
                <w:color w:val="000000" w:themeColor="text1"/>
                <w:highlight w:val="none"/>
                <w:lang w:val="en-US" w:eastAsia="zh-CN"/>
                <w14:textFill>
                  <w14:solidFill>
                    <w14:schemeClr w14:val="tx1"/>
                  </w14:solidFill>
                </w14:textFill>
              </w:rPr>
              <w:t>。</w:t>
            </w:r>
          </w:p>
          <w:bookmarkEnd w:id="135"/>
          <w:p w14:paraId="5BBB250B">
            <w:pPr>
              <w:pStyle w:val="30"/>
              <w:numPr>
                <w:ilvl w:val="4"/>
                <w:numId w:val="4"/>
              </w:numPr>
              <w:tabs>
                <w:tab w:val="left" w:pos="0"/>
              </w:tabs>
              <w:bidi w:val="0"/>
              <w:rPr>
                <w:rFonts w:hint="default" w:ascii="Times New Roman" w:hAnsi="Times New Roman" w:cs="Times New Roman"/>
                <w:color w:val="000000" w:themeColor="text1"/>
                <w:highlight w:val="none"/>
                <w:lang w:val="en-US" w:eastAsia="zh-CN"/>
                <w14:textFill>
                  <w14:solidFill>
                    <w14:schemeClr w14:val="tx1"/>
                  </w14:solidFill>
                </w14:textFill>
              </w:rPr>
            </w:pPr>
            <w:bookmarkStart w:id="136" w:name="_Ref5693"/>
            <w:r>
              <w:rPr>
                <w:rFonts w:hint="default" w:ascii="Times New Roman" w:hAnsi="Times New Roman" w:cs="Times New Roman"/>
                <w:color w:val="000000" w:themeColor="text1"/>
                <w:highlight w:val="none"/>
                <w:lang w:val="en-US" w:eastAsia="zh-CN"/>
                <w14:textFill>
                  <w14:solidFill>
                    <w14:schemeClr w14:val="tx1"/>
                  </w14:solidFill>
                </w14:textFill>
              </w:rPr>
              <w:t>环境空气质量分析方法</w:t>
            </w:r>
            <w:bookmarkEnd w:id="136"/>
          </w:p>
          <w:tbl>
            <w:tblPr>
              <w:tblStyle w:val="17"/>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710"/>
              <w:gridCol w:w="1513"/>
              <w:gridCol w:w="4231"/>
              <w:gridCol w:w="873"/>
              <w:gridCol w:w="1019"/>
            </w:tblGrid>
            <w:tr w14:paraId="56D2785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425" w:type="pct"/>
                  <w:tcBorders>
                    <w:tl2br w:val="nil"/>
                    <w:tr2bl w:val="nil"/>
                  </w:tcBorders>
                  <w:noWrap w:val="0"/>
                  <w:vAlign w:val="center"/>
                </w:tcPr>
                <w:p w14:paraId="4EE4AF4C">
                  <w:pPr>
                    <w:pStyle w:val="26"/>
                    <w:bidi w:val="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序号</w:t>
                  </w:r>
                </w:p>
              </w:tc>
              <w:tc>
                <w:tcPr>
                  <w:tcW w:w="906" w:type="pct"/>
                  <w:tcBorders>
                    <w:tl2br w:val="nil"/>
                    <w:tr2bl w:val="nil"/>
                  </w:tcBorders>
                  <w:noWrap w:val="0"/>
                  <w:vAlign w:val="center"/>
                </w:tcPr>
                <w:p w14:paraId="50AE9D07">
                  <w:pPr>
                    <w:pStyle w:val="2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检测项目</w:t>
                  </w:r>
                </w:p>
              </w:tc>
              <w:tc>
                <w:tcPr>
                  <w:tcW w:w="2534" w:type="pct"/>
                  <w:tcBorders>
                    <w:tl2br w:val="nil"/>
                    <w:tr2bl w:val="nil"/>
                  </w:tcBorders>
                  <w:noWrap w:val="0"/>
                  <w:vAlign w:val="center"/>
                </w:tcPr>
                <w:p w14:paraId="245CD66E">
                  <w:pPr>
                    <w:pStyle w:val="2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检测标准名称及编号</w:t>
                  </w:r>
                </w:p>
              </w:tc>
              <w:tc>
                <w:tcPr>
                  <w:tcW w:w="523" w:type="pct"/>
                  <w:tcBorders>
                    <w:tl2br w:val="nil"/>
                    <w:tr2bl w:val="nil"/>
                  </w:tcBorders>
                  <w:noWrap w:val="0"/>
                  <w:vAlign w:val="center"/>
                </w:tcPr>
                <w:p w14:paraId="6D7A4878">
                  <w:pPr>
                    <w:pStyle w:val="2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单位</w:t>
                  </w:r>
                </w:p>
              </w:tc>
              <w:tc>
                <w:tcPr>
                  <w:tcW w:w="610" w:type="pct"/>
                  <w:tcBorders>
                    <w:tl2br w:val="nil"/>
                    <w:tr2bl w:val="nil"/>
                  </w:tcBorders>
                  <w:noWrap w:val="0"/>
                  <w:vAlign w:val="center"/>
                </w:tcPr>
                <w:p w14:paraId="6E856BA9">
                  <w:pPr>
                    <w:pStyle w:val="2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检出限</w:t>
                  </w:r>
                </w:p>
              </w:tc>
            </w:tr>
            <w:tr w14:paraId="43B4FD7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25" w:type="pct"/>
                  <w:tcBorders>
                    <w:tl2br w:val="nil"/>
                    <w:tr2bl w:val="nil"/>
                  </w:tcBorders>
                  <w:noWrap w:val="0"/>
                  <w:vAlign w:val="center"/>
                </w:tcPr>
                <w:p w14:paraId="4E1FDC39">
                  <w:pPr>
                    <w:pStyle w:val="26"/>
                    <w:bidi w:val="0"/>
                    <w:ind w:left="0" w:leftChars="0" w:firstLine="0" w:firstLineChars="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906" w:type="pct"/>
                  <w:tcBorders>
                    <w:tl2br w:val="nil"/>
                    <w:tr2bl w:val="nil"/>
                  </w:tcBorders>
                  <w:noWrap w:val="0"/>
                  <w:vAlign w:val="center"/>
                </w:tcPr>
                <w:p w14:paraId="01F99DCB">
                  <w:pPr>
                    <w:pStyle w:val="26"/>
                    <w:bidi w:val="0"/>
                    <w:ind w:left="0" w:leftChars="0" w:firstLine="0" w:firstLineChars="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苯并[a]芘</w:t>
                  </w:r>
                </w:p>
              </w:tc>
              <w:tc>
                <w:tcPr>
                  <w:tcW w:w="2534" w:type="pct"/>
                  <w:tcBorders>
                    <w:tl2br w:val="nil"/>
                    <w:tr2bl w:val="nil"/>
                  </w:tcBorders>
                  <w:noWrap w:val="0"/>
                  <w:vAlign w:val="center"/>
                </w:tcPr>
                <w:p w14:paraId="2DBC4452">
                  <w:pPr>
                    <w:pStyle w:val="26"/>
                    <w:bidi w:val="0"/>
                    <w:ind w:left="0" w:leftChars="0" w:firstLine="0" w:firstLineChars="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t>环境空气 苯并芘的测定 高效液相色谱</w:t>
                  </w:r>
                </w:p>
                <w:p w14:paraId="7DDD9EA3">
                  <w:pPr>
                    <w:pStyle w:val="26"/>
                    <w:bidi w:val="0"/>
                    <w:ind w:left="0" w:leftChars="0" w:firstLine="0" w:firstLineChars="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t>法 HJ 956-2018</w:t>
                  </w:r>
                </w:p>
              </w:tc>
              <w:tc>
                <w:tcPr>
                  <w:tcW w:w="523" w:type="pct"/>
                  <w:tcBorders>
                    <w:tl2br w:val="nil"/>
                    <w:tr2bl w:val="nil"/>
                  </w:tcBorders>
                  <w:noWrap w:val="0"/>
                  <w:vAlign w:val="center"/>
                </w:tcPr>
                <w:p w14:paraId="43E677C5">
                  <w:pPr>
                    <w:pStyle w:val="26"/>
                    <w:bidi w:val="0"/>
                    <w:ind w:left="0" w:leftChars="0" w:firstLine="0" w:firstLineChars="0"/>
                    <w:rPr>
                      <w:rFonts w:hint="default" w:ascii="Times New Roman" w:hAnsi="Times New Roman" w:cs="Times New Roman"/>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Cs w:val="20"/>
                      <w:highlight w:val="none"/>
                      <w:lang w:val="en-US" w:eastAsia="zh-CN"/>
                      <w14:textFill>
                        <w14:solidFill>
                          <w14:schemeClr w14:val="tx1"/>
                        </w14:solidFill>
                      </w14:textFill>
                    </w:rPr>
                    <w:t>m</w:t>
                  </w:r>
                  <w:r>
                    <w:rPr>
                      <w:rFonts w:hint="default" w:ascii="Times New Roman" w:hAnsi="Times New Roman" w:cs="Times New Roman"/>
                      <w:color w:val="000000" w:themeColor="text1"/>
                      <w:szCs w:val="20"/>
                      <w:highlight w:val="none"/>
                      <w14:textFill>
                        <w14:solidFill>
                          <w14:schemeClr w14:val="tx1"/>
                        </w14:solidFill>
                      </w14:textFill>
                    </w:rPr>
                    <w:t>g/m</w:t>
                  </w:r>
                  <w:r>
                    <w:rPr>
                      <w:rFonts w:hint="default" w:ascii="Times New Roman" w:hAnsi="Times New Roman" w:cs="Times New Roman"/>
                      <w:color w:val="000000" w:themeColor="text1"/>
                      <w:szCs w:val="20"/>
                      <w:highlight w:val="none"/>
                      <w:vertAlign w:val="superscript"/>
                      <w:lang w:val="en-US" w:eastAsia="zh-CN"/>
                      <w14:textFill>
                        <w14:solidFill>
                          <w14:schemeClr w14:val="tx1"/>
                        </w14:solidFill>
                      </w14:textFill>
                    </w:rPr>
                    <w:t>3</w:t>
                  </w:r>
                </w:p>
              </w:tc>
              <w:tc>
                <w:tcPr>
                  <w:tcW w:w="610" w:type="pct"/>
                  <w:tcBorders>
                    <w:tl2br w:val="nil"/>
                    <w:tr2bl w:val="nil"/>
                  </w:tcBorders>
                  <w:noWrap w:val="0"/>
                  <w:vAlign w:val="center"/>
                </w:tcPr>
                <w:p w14:paraId="70053728">
                  <w:pPr>
                    <w:pStyle w:val="26"/>
                    <w:bidi w:val="0"/>
                    <w:ind w:left="0" w:leftChars="0" w:firstLine="0" w:firstLineChars="0"/>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1×10</w:t>
                  </w:r>
                  <w:r>
                    <w:rPr>
                      <w:rFonts w:hint="default" w:ascii="Times New Roman" w:hAnsi="Times New Roman" w:cs="Times New Roman"/>
                      <w:color w:val="000000" w:themeColor="text1"/>
                      <w:sz w:val="21"/>
                      <w:szCs w:val="21"/>
                      <w:highlight w:val="none"/>
                      <w:vertAlign w:val="superscript"/>
                      <w:lang w:val="en-US" w:eastAsia="zh-CN"/>
                      <w14:textFill>
                        <w14:solidFill>
                          <w14:schemeClr w14:val="tx1"/>
                        </w14:solidFill>
                      </w14:textFill>
                    </w:rPr>
                    <w:t>-7</w:t>
                  </w:r>
                </w:p>
              </w:tc>
            </w:tr>
            <w:tr w14:paraId="7E346FF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25" w:type="pct"/>
                  <w:tcBorders>
                    <w:tl2br w:val="nil"/>
                    <w:tr2bl w:val="nil"/>
                  </w:tcBorders>
                  <w:noWrap w:val="0"/>
                  <w:vAlign w:val="center"/>
                </w:tcPr>
                <w:p w14:paraId="20240B1D">
                  <w:pPr>
                    <w:pStyle w:val="26"/>
                    <w:bidi w:val="0"/>
                    <w:ind w:left="0" w:leftChars="0" w:firstLine="0" w:firstLineChars="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w:t>
                  </w:r>
                </w:p>
              </w:tc>
              <w:tc>
                <w:tcPr>
                  <w:tcW w:w="1513" w:type="dxa"/>
                  <w:tcBorders>
                    <w:tl2br w:val="nil"/>
                    <w:tr2bl w:val="nil"/>
                  </w:tcBorders>
                  <w:noWrap w:val="0"/>
                  <w:vAlign w:val="center"/>
                </w:tcPr>
                <w:p w14:paraId="6BBFEFFA">
                  <w:pPr>
                    <w:pStyle w:val="26"/>
                    <w:bidi w:val="0"/>
                    <w:ind w:left="0" w:leftChars="0" w:firstLine="0" w:firstLineChars="0"/>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TSP</w:t>
                  </w:r>
                </w:p>
              </w:tc>
              <w:tc>
                <w:tcPr>
                  <w:tcW w:w="4231" w:type="dxa"/>
                  <w:tcBorders>
                    <w:tl2br w:val="nil"/>
                    <w:tr2bl w:val="nil"/>
                  </w:tcBorders>
                  <w:noWrap w:val="0"/>
                  <w:vAlign w:val="center"/>
                </w:tcPr>
                <w:p w14:paraId="5D840B85">
                  <w:pPr>
                    <w:pStyle w:val="26"/>
                    <w:bidi w:val="0"/>
                    <w:ind w:left="0" w:leftChars="0" w:firstLine="0" w:firstLineChars="0"/>
                    <w:rPr>
                      <w:rFonts w:hint="default" w:ascii="Times New Roman" w:hAnsi="Times New Roman" w:cs="Times New Roman"/>
                      <w:color w:val="000000" w:themeColor="text1"/>
                      <w:szCs w:val="20"/>
                      <w:highlight w:val="none"/>
                      <w:lang w:val="en-US" w:eastAsia="zh-CN"/>
                      <w14:textFill>
                        <w14:solidFill>
                          <w14:schemeClr w14:val="tx1"/>
                        </w14:solidFill>
                      </w14:textFill>
                    </w:rPr>
                  </w:pPr>
                  <w:r>
                    <w:rPr>
                      <w:rFonts w:hint="default" w:ascii="Times New Roman" w:hAnsi="Times New Roman" w:cs="Times New Roman"/>
                      <w:color w:val="000000" w:themeColor="text1"/>
                      <w:szCs w:val="20"/>
                      <w:highlight w:val="none"/>
                      <w14:textFill>
                        <w14:solidFill>
                          <w14:schemeClr w14:val="tx1"/>
                        </w14:solidFill>
                      </w14:textFill>
                    </w:rPr>
                    <w:t>环境空气 总悬浮颗粒物的测定 重量法</w:t>
                  </w:r>
                  <w:r>
                    <w:rPr>
                      <w:rFonts w:hint="default" w:ascii="Times New Roman" w:hAnsi="Times New Roman" w:cs="Times New Roman"/>
                      <w:color w:val="000000" w:themeColor="text1"/>
                      <w:szCs w:val="20"/>
                      <w:highlight w:val="none"/>
                      <w:lang w:val="en-US" w:eastAsia="zh-CN"/>
                      <w14:textFill>
                        <w14:solidFill>
                          <w14:schemeClr w14:val="tx1"/>
                        </w14:solidFill>
                      </w14:textFill>
                    </w:rPr>
                    <w:t xml:space="preserve"> </w:t>
                  </w:r>
                </w:p>
                <w:p w14:paraId="2CF164FC">
                  <w:pPr>
                    <w:pStyle w:val="26"/>
                    <w:bidi w:val="0"/>
                    <w:ind w:left="0" w:leftChars="0"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0"/>
                      <w:highlight w:val="none"/>
                      <w:lang w:val="en-US" w:eastAsia="zh-CN"/>
                      <w14:textFill>
                        <w14:solidFill>
                          <w14:schemeClr w14:val="tx1"/>
                        </w14:solidFill>
                      </w14:textFill>
                    </w:rPr>
                    <w:t>HJ 1263-2022</w:t>
                  </w:r>
                </w:p>
              </w:tc>
              <w:tc>
                <w:tcPr>
                  <w:tcW w:w="873" w:type="dxa"/>
                  <w:tcBorders>
                    <w:tl2br w:val="nil"/>
                    <w:tr2bl w:val="nil"/>
                  </w:tcBorders>
                  <w:noWrap w:val="0"/>
                  <w:vAlign w:val="center"/>
                </w:tcPr>
                <w:p w14:paraId="029D22C6">
                  <w:pPr>
                    <w:pStyle w:val="26"/>
                    <w:bidi w:val="0"/>
                    <w:ind w:left="0" w:leftChars="0"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0"/>
                      <w:highlight w:val="none"/>
                      <w:lang w:val="en-US" w:eastAsia="zh-CN"/>
                      <w14:textFill>
                        <w14:solidFill>
                          <w14:schemeClr w14:val="tx1"/>
                        </w14:solidFill>
                      </w14:textFill>
                    </w:rPr>
                    <w:t>m</w:t>
                  </w:r>
                  <w:r>
                    <w:rPr>
                      <w:rFonts w:hint="default" w:ascii="Times New Roman" w:hAnsi="Times New Roman" w:cs="Times New Roman"/>
                      <w:color w:val="000000" w:themeColor="text1"/>
                      <w:szCs w:val="20"/>
                      <w:highlight w:val="none"/>
                      <w14:textFill>
                        <w14:solidFill>
                          <w14:schemeClr w14:val="tx1"/>
                        </w14:solidFill>
                      </w14:textFill>
                    </w:rPr>
                    <w:t>g/m</w:t>
                  </w:r>
                  <w:r>
                    <w:rPr>
                      <w:rFonts w:hint="default" w:ascii="Times New Roman" w:hAnsi="Times New Roman" w:cs="Times New Roman"/>
                      <w:color w:val="000000" w:themeColor="text1"/>
                      <w:szCs w:val="20"/>
                      <w:highlight w:val="none"/>
                      <w:vertAlign w:val="superscript"/>
                      <w:lang w:val="en-US" w:eastAsia="zh-CN"/>
                      <w14:textFill>
                        <w14:solidFill>
                          <w14:schemeClr w14:val="tx1"/>
                        </w14:solidFill>
                      </w14:textFill>
                    </w:rPr>
                    <w:t>3</w:t>
                  </w:r>
                </w:p>
              </w:tc>
              <w:tc>
                <w:tcPr>
                  <w:tcW w:w="1019" w:type="dxa"/>
                  <w:tcBorders>
                    <w:tl2br w:val="nil"/>
                    <w:tr2bl w:val="nil"/>
                  </w:tcBorders>
                  <w:noWrap w:val="0"/>
                  <w:vAlign w:val="center"/>
                </w:tcPr>
                <w:p w14:paraId="4F507360">
                  <w:pPr>
                    <w:pStyle w:val="26"/>
                    <w:bidi w:val="0"/>
                    <w:ind w:left="0" w:leftChars="0"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0.007</w:t>
                  </w:r>
                </w:p>
              </w:tc>
            </w:tr>
            <w:tr w14:paraId="3FD7410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25" w:type="pct"/>
                  <w:tcBorders>
                    <w:tl2br w:val="nil"/>
                    <w:tr2bl w:val="nil"/>
                  </w:tcBorders>
                  <w:noWrap w:val="0"/>
                  <w:vAlign w:val="center"/>
                </w:tcPr>
                <w:p w14:paraId="2197AB72">
                  <w:pPr>
                    <w:pStyle w:val="26"/>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w:t>
                  </w:r>
                </w:p>
              </w:tc>
              <w:tc>
                <w:tcPr>
                  <w:tcW w:w="906" w:type="pct"/>
                  <w:tcBorders>
                    <w:tl2br w:val="nil"/>
                    <w:tr2bl w:val="nil"/>
                  </w:tcBorders>
                  <w:noWrap w:val="0"/>
                  <w:vAlign w:val="center"/>
                </w:tcPr>
                <w:p w14:paraId="10A49D6A">
                  <w:pPr>
                    <w:pStyle w:val="26"/>
                    <w:bidi w:val="0"/>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非甲烷总烃</w:t>
                  </w:r>
                </w:p>
              </w:tc>
              <w:tc>
                <w:tcPr>
                  <w:tcW w:w="2534" w:type="pct"/>
                  <w:tcBorders>
                    <w:tl2br w:val="nil"/>
                    <w:tr2bl w:val="nil"/>
                  </w:tcBorders>
                  <w:noWrap w:val="0"/>
                  <w:vAlign w:val="center"/>
                </w:tcPr>
                <w:p w14:paraId="50A6AE94">
                  <w:pPr>
                    <w:pStyle w:val="26"/>
                    <w:bidi w:val="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环境空气 总烃、甲烷和非甲烷总 烃的测定 气相色谱法 HJ 604-2017</w:t>
                  </w:r>
                </w:p>
              </w:tc>
              <w:tc>
                <w:tcPr>
                  <w:tcW w:w="523" w:type="pct"/>
                  <w:tcBorders>
                    <w:tl2br w:val="nil"/>
                    <w:tr2bl w:val="nil"/>
                  </w:tcBorders>
                  <w:noWrap w:val="0"/>
                  <w:vAlign w:val="center"/>
                </w:tcPr>
                <w:p w14:paraId="3E9C088C">
                  <w:pPr>
                    <w:pStyle w:val="2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Cs w:val="20"/>
                      <w:highlight w:val="none"/>
                      <w:lang w:val="en-US" w:eastAsia="zh-CN"/>
                      <w14:textFill>
                        <w14:solidFill>
                          <w14:schemeClr w14:val="tx1"/>
                        </w14:solidFill>
                      </w14:textFill>
                    </w:rPr>
                    <w:t>m</w:t>
                  </w:r>
                  <w:r>
                    <w:rPr>
                      <w:rFonts w:hint="default" w:ascii="Times New Roman" w:hAnsi="Times New Roman" w:cs="Times New Roman"/>
                      <w:color w:val="000000" w:themeColor="text1"/>
                      <w:szCs w:val="20"/>
                      <w:highlight w:val="none"/>
                      <w14:textFill>
                        <w14:solidFill>
                          <w14:schemeClr w14:val="tx1"/>
                        </w14:solidFill>
                      </w14:textFill>
                    </w:rPr>
                    <w:t>g/m</w:t>
                  </w:r>
                  <w:r>
                    <w:rPr>
                      <w:rFonts w:hint="default" w:ascii="Times New Roman" w:hAnsi="Times New Roman" w:cs="Times New Roman"/>
                      <w:color w:val="000000" w:themeColor="text1"/>
                      <w:szCs w:val="20"/>
                      <w:highlight w:val="none"/>
                      <w:vertAlign w:val="superscript"/>
                      <w:lang w:val="en-US" w:eastAsia="zh-CN"/>
                      <w14:textFill>
                        <w14:solidFill>
                          <w14:schemeClr w14:val="tx1"/>
                        </w14:solidFill>
                      </w14:textFill>
                    </w:rPr>
                    <w:t>3</w:t>
                  </w:r>
                </w:p>
              </w:tc>
              <w:tc>
                <w:tcPr>
                  <w:tcW w:w="610" w:type="pct"/>
                  <w:tcBorders>
                    <w:tl2br w:val="nil"/>
                    <w:tr2bl w:val="nil"/>
                  </w:tcBorders>
                  <w:noWrap w:val="0"/>
                  <w:vAlign w:val="center"/>
                </w:tcPr>
                <w:p w14:paraId="3F0218EF">
                  <w:pPr>
                    <w:pStyle w:val="26"/>
                    <w:bidi w:val="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0.07</w:t>
                  </w:r>
                </w:p>
              </w:tc>
            </w:tr>
          </w:tbl>
          <w:p w14:paraId="49B44E48">
            <w:pPr>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③监测结果与评价</w:t>
            </w:r>
          </w:p>
          <w:p w14:paraId="22327A0B">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本次</w:t>
            </w:r>
            <w:r>
              <w:rPr>
                <w:rFonts w:hint="eastAsia" w:ascii="Times New Roman" w:hAnsi="Times New Roman" w:cs="Times New Roman"/>
                <w:color w:val="000000" w:themeColor="text1"/>
                <w:highlight w:val="none"/>
                <w:lang w:val="en-US" w:eastAsia="zh-CN"/>
                <w14:textFill>
                  <w14:solidFill>
                    <w14:schemeClr w14:val="tx1"/>
                  </w14:solidFill>
                </w14:textFill>
              </w:rPr>
              <w:t>引用及补充监测的</w:t>
            </w:r>
            <w:r>
              <w:rPr>
                <w:rFonts w:hint="default" w:ascii="Times New Roman" w:hAnsi="Times New Roman" w:cs="Times New Roman"/>
                <w:color w:val="000000" w:themeColor="text1"/>
                <w:highlight w:val="none"/>
                <w:lang w:val="en-US" w:eastAsia="zh-CN"/>
                <w14:textFill>
                  <w14:solidFill>
                    <w14:schemeClr w14:val="tx1"/>
                  </w14:solidFill>
                </w14:textFill>
              </w:rPr>
              <w:t>大气环境质量数据的监测结果见</w:t>
            </w:r>
            <w:r>
              <w:rPr>
                <w:rFonts w:hint="eastAsia" w:cs="Times New Roman"/>
                <w:color w:val="000000" w:themeColor="text1"/>
                <w:highlight w:val="none"/>
                <w:lang w:val="en-US" w:eastAsia="zh-CN"/>
                <w14:textFill>
                  <w14:solidFill>
                    <w14:schemeClr w14:val="tx1"/>
                  </w14:solidFill>
                </w14:textFill>
              </w:rPr>
              <w:fldChar w:fldCharType="begin"/>
            </w:r>
            <w:r>
              <w:rPr>
                <w:rFonts w:hint="eastAsia" w:cs="Times New Roman"/>
                <w:color w:val="000000" w:themeColor="text1"/>
                <w:highlight w:val="none"/>
                <w:lang w:val="en-US" w:eastAsia="zh-CN"/>
                <w14:textFill>
                  <w14:solidFill>
                    <w14:schemeClr w14:val="tx1"/>
                  </w14:solidFill>
                </w14:textFill>
              </w:rPr>
              <w:instrText xml:space="preserve"> REF _Ref7753 \n \h </w:instrText>
            </w:r>
            <w:r>
              <w:rPr>
                <w:rFonts w:hint="eastAsia" w:cs="Times New Roman"/>
                <w:color w:val="000000" w:themeColor="text1"/>
                <w:highlight w:val="none"/>
                <w:lang w:val="en-US" w:eastAsia="zh-CN"/>
                <w14:textFill>
                  <w14:solidFill>
                    <w14:schemeClr w14:val="tx1"/>
                  </w14:solidFill>
                </w14:textFill>
              </w:rPr>
              <w:fldChar w:fldCharType="separate"/>
            </w:r>
            <w:r>
              <w:rPr>
                <w:rFonts w:hint="eastAsia" w:cs="Times New Roman"/>
                <w:color w:val="000000" w:themeColor="text1"/>
                <w:highlight w:val="none"/>
                <w:lang w:val="en-US" w:eastAsia="zh-CN"/>
                <w14:textFill>
                  <w14:solidFill>
                    <w14:schemeClr w14:val="tx1"/>
                  </w14:solidFill>
                </w14:textFill>
              </w:rPr>
              <w:t>表3.1-4</w:t>
            </w:r>
            <w:r>
              <w:rPr>
                <w:rFonts w:hint="eastAsia" w:cs="Times New Roman"/>
                <w:color w:val="000000" w:themeColor="text1"/>
                <w:highlight w:val="none"/>
                <w:lang w:val="en-US" w:eastAsia="zh-CN"/>
                <w14:textFill>
                  <w14:solidFill>
                    <w14:schemeClr w14:val="tx1"/>
                  </w14:solidFill>
                </w14:textFill>
              </w:rPr>
              <w:fldChar w:fldCharType="end"/>
            </w:r>
            <w:r>
              <w:rPr>
                <w:rFonts w:hint="eastAsia" w:cs="Times New Roman"/>
                <w:color w:val="000000" w:themeColor="text1"/>
                <w:highlight w:val="none"/>
                <w:lang w:val="en-US" w:eastAsia="zh-CN"/>
                <w14:textFill>
                  <w14:solidFill>
                    <w14:schemeClr w14:val="tx1"/>
                  </w14:solidFill>
                </w14:textFill>
              </w:rPr>
              <w:t>。</w:t>
            </w:r>
          </w:p>
          <w:p w14:paraId="4A2ADBDA">
            <w:pPr>
              <w:pStyle w:val="30"/>
              <w:bidi w:val="0"/>
              <w:rPr>
                <w:rFonts w:hint="default"/>
                <w:color w:val="000000" w:themeColor="text1"/>
                <w:highlight w:val="none"/>
                <w:lang w:val="en-US" w:eastAsia="zh-CN"/>
                <w14:textFill>
                  <w14:solidFill>
                    <w14:schemeClr w14:val="tx1"/>
                  </w14:solidFill>
                </w14:textFill>
              </w:rPr>
            </w:pPr>
            <w:bookmarkStart w:id="137" w:name="_Ref7753"/>
            <w:r>
              <w:rPr>
                <w:rFonts w:hint="default"/>
                <w:color w:val="000000" w:themeColor="text1"/>
                <w:highlight w:val="none"/>
                <w:lang w:val="en-US" w:eastAsia="zh-CN"/>
                <w14:textFill>
                  <w14:solidFill>
                    <w14:schemeClr w14:val="tx1"/>
                  </w14:solidFill>
                </w14:textFill>
              </w:rPr>
              <w:t>本项目特征污染物现状监测结果</w:t>
            </w:r>
            <w:bookmarkEnd w:id="137"/>
          </w:p>
          <w:p w14:paraId="20ACA054">
            <w:pPr>
              <w:jc w:val="center"/>
              <w:rPr>
                <w:rFonts w:hint="default"/>
                <w:lang w:val="en-US" w:eastAsia="zh-CN"/>
              </w:rPr>
            </w:pPr>
            <w:r>
              <w:rPr>
                <w:rFonts w:hint="eastAsia"/>
                <w:b/>
                <w:bCs/>
                <w:color w:val="FF0000"/>
                <w:sz w:val="36"/>
                <w:szCs w:val="36"/>
                <w:highlight w:val="yellow"/>
                <w:lang w:val="en-US" w:eastAsia="zh-CN"/>
              </w:rPr>
              <w:t>涉密，删除</w:t>
            </w:r>
          </w:p>
          <w:p w14:paraId="0D3AF39F">
            <w:pPr>
              <w:ind w:firstLine="480"/>
              <w:rPr>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由</w: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begin"/>
            </w:r>
            <w:r>
              <w:rPr>
                <w:rFonts w:hint="default" w:ascii="Times New Roman" w:hAnsi="Times New Roman" w:cs="Times New Roman"/>
                <w:color w:val="000000" w:themeColor="text1"/>
                <w:highlight w:val="none"/>
                <w:lang w:val="en-US" w:eastAsia="zh-CN"/>
                <w14:textFill>
                  <w14:solidFill>
                    <w14:schemeClr w14:val="tx1"/>
                  </w14:solidFill>
                </w14:textFill>
              </w:rPr>
              <w:instrText xml:space="preserve"> REF _Ref7753 \n \h </w:instrTex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separate"/>
            </w:r>
            <w:r>
              <w:rPr>
                <w:rFonts w:hint="default" w:ascii="Times New Roman" w:hAnsi="Times New Roman" w:cs="Times New Roman"/>
                <w:color w:val="000000" w:themeColor="text1"/>
                <w:highlight w:val="none"/>
                <w:lang w:val="en-US" w:eastAsia="zh-CN"/>
                <w14:textFill>
                  <w14:solidFill>
                    <w14:schemeClr w14:val="tx1"/>
                  </w14:solidFill>
                </w14:textFill>
              </w:rPr>
              <w:t>表3.1-4</w: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end"/>
            </w:r>
            <w:r>
              <w:rPr>
                <w:rFonts w:hint="default" w:ascii="Times New Roman" w:hAnsi="Times New Roman" w:cs="Times New Roman"/>
                <w:color w:val="000000" w:themeColor="text1"/>
                <w:highlight w:val="none"/>
                <w:lang w:val="en-US" w:eastAsia="zh-CN"/>
                <w14:textFill>
                  <w14:solidFill>
                    <w14:schemeClr w14:val="tx1"/>
                  </w14:solidFill>
                </w14:textFill>
              </w:rPr>
              <w:t>的监测结果可知，</w:t>
            </w:r>
            <w:r>
              <w:rPr>
                <w:rFonts w:hint="eastAsia"/>
                <w:color w:val="000000" w:themeColor="text1"/>
                <w:highlight w:val="none"/>
                <w:lang w:val="en-US" w:eastAsia="zh-CN"/>
                <w14:textFill>
                  <w14:solidFill>
                    <w14:schemeClr w14:val="tx1"/>
                  </w14:solidFill>
                </w14:textFill>
              </w:rPr>
              <w:t>各</w:t>
            </w:r>
            <w:r>
              <w:rPr>
                <w:rFonts w:hint="eastAsia"/>
                <w:color w:val="000000" w:themeColor="text1"/>
                <w:highlight w:val="none"/>
                <w14:textFill>
                  <w14:solidFill>
                    <w14:schemeClr w14:val="tx1"/>
                  </w14:solidFill>
                </w14:textFill>
              </w:rPr>
              <w:t>监测点位</w:t>
            </w:r>
            <w:r>
              <w:rPr>
                <w:rFonts w:hint="eastAsia"/>
                <w:color w:val="000000" w:themeColor="text1"/>
                <w:highlight w:val="none"/>
                <w:lang w:val="en-US" w:eastAsia="zh-CN"/>
                <w14:textFill>
                  <w14:solidFill>
                    <w14:schemeClr w14:val="tx1"/>
                  </w14:solidFill>
                </w14:textFill>
              </w:rPr>
              <w:t>TSP、苯并[a]芘的环境质量现状均符合《环境空气质量标准》（GB3095-2012）二级标准限值要求；</w:t>
            </w:r>
            <w:r>
              <w:rPr>
                <w:rFonts w:hint="eastAsia"/>
                <w:color w:val="000000" w:themeColor="text1"/>
                <w:highlight w:val="none"/>
                <w14:textFill>
                  <w14:solidFill>
                    <w14:schemeClr w14:val="tx1"/>
                  </w14:solidFill>
                </w14:textFill>
              </w:rPr>
              <w:t>非甲烷总烃的</w:t>
            </w:r>
            <w:r>
              <w:rPr>
                <w:color w:val="000000" w:themeColor="text1"/>
                <w:highlight w:val="none"/>
                <w14:textFill>
                  <w14:solidFill>
                    <w14:schemeClr w14:val="tx1"/>
                  </w14:solidFill>
                </w14:textFill>
              </w:rPr>
              <w:t>环境质量现状符合《大气污染物综合排放标准详解》（中国环境科学出版社、国家环境保护局科技标准司）244页中的限值要求。项目所在区域环境空气质量现状良好。</w:t>
            </w:r>
          </w:p>
          <w:p w14:paraId="59CECE0E">
            <w:pPr>
              <w:ind w:left="0" w:leftChars="0" w:firstLine="0" w:firstLineChars="0"/>
              <w:jc w:val="center"/>
              <w:rPr>
                <w:rFonts w:hint="eastAsia" w:eastAsia="宋体"/>
                <w:color w:val="000000" w:themeColor="text1"/>
                <w:highlight w:val="none"/>
                <w:lang w:val="en-US" w:eastAsia="zh-CN"/>
                <w14:textFill>
                  <w14:solidFill>
                    <w14:schemeClr w14:val="tx1"/>
                  </w14:solidFill>
                </w14:textFill>
              </w:rPr>
            </w:pPr>
            <w:r>
              <w:rPr>
                <w:rFonts w:hint="eastAsia"/>
                <w:b/>
                <w:bCs/>
                <w:color w:val="FF0000"/>
                <w:sz w:val="36"/>
                <w:szCs w:val="36"/>
                <w:highlight w:val="yellow"/>
                <w:lang w:val="en-US" w:eastAsia="zh-CN"/>
              </w:rPr>
              <w:t>涉密，删除</w:t>
            </w:r>
          </w:p>
          <w:p w14:paraId="2C468F1D">
            <w:pPr>
              <w:pStyle w:val="28"/>
              <w:numPr>
                <w:ilvl w:val="5"/>
                <w:numId w:val="3"/>
              </w:numPr>
              <w:tabs>
                <w:tab w:val="left" w:pos="0"/>
              </w:tabs>
              <w:bidi w:val="0"/>
              <w:rPr>
                <w:rFonts w:hint="default"/>
                <w:color w:val="000000" w:themeColor="text1"/>
                <w:highlight w:val="none"/>
                <w:lang w:val="en-US"/>
                <w14:textFill>
                  <w14:solidFill>
                    <w14:schemeClr w14:val="tx1"/>
                  </w14:solidFill>
                </w14:textFill>
              </w:rPr>
            </w:pPr>
            <w:bookmarkStart w:id="138" w:name="_Ref18046"/>
            <w:r>
              <w:rPr>
                <w:rFonts w:hint="eastAsia"/>
                <w:color w:val="000000" w:themeColor="text1"/>
                <w:highlight w:val="none"/>
                <w:lang w:val="en-US" w:eastAsia="zh-CN"/>
                <w14:textFill>
                  <w14:solidFill>
                    <w14:schemeClr w14:val="tx1"/>
                  </w14:solidFill>
                </w14:textFill>
              </w:rPr>
              <w:t>大气环境现状监测点位图</w:t>
            </w:r>
            <w:bookmarkEnd w:id="138"/>
          </w:p>
          <w:p w14:paraId="18B3B99B">
            <w:pPr>
              <w:pStyle w:val="3"/>
              <w:numPr>
                <w:ilvl w:val="2"/>
                <w:numId w:val="4"/>
              </w:numPr>
              <w:bidi w:val="0"/>
              <w:rPr>
                <w:rFonts w:hint="default" w:ascii="Times New Roman" w:hAnsi="Times New Roman" w:cs="Times New Roman"/>
                <w:color w:val="000000" w:themeColor="text1"/>
                <w:highlight w:val="none"/>
                <w14:textFill>
                  <w14:solidFill>
                    <w14:schemeClr w14:val="tx1"/>
                  </w14:solidFill>
                </w14:textFill>
              </w:rPr>
            </w:pPr>
            <w:bookmarkStart w:id="139" w:name="_Toc9749"/>
            <w:bookmarkStart w:id="140" w:name="_Toc29879"/>
            <w:bookmarkStart w:id="141" w:name="_Toc4727"/>
            <w:r>
              <w:rPr>
                <w:rFonts w:hint="default" w:ascii="Times New Roman" w:hAnsi="Times New Roman" w:cs="Times New Roman"/>
                <w:color w:val="000000" w:themeColor="text1"/>
                <w:highlight w:val="none"/>
                <w14:textFill>
                  <w14:solidFill>
                    <w14:schemeClr w14:val="tx1"/>
                  </w14:solidFill>
                </w14:textFill>
              </w:rPr>
              <w:t>水环境质量现状</w:t>
            </w:r>
            <w:bookmarkEnd w:id="139"/>
            <w:bookmarkEnd w:id="140"/>
            <w:bookmarkEnd w:id="141"/>
          </w:p>
          <w:p w14:paraId="0D1B64EB">
            <w:pP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本项目运营期生活污水通过园区污水管网排入永安市贡川产业园水东工业集中区污水处理厂深度处理，永安市贡川产业园水东工业集中区污水处理厂尾水排入沙溪。</w:t>
            </w:r>
          </w:p>
          <w:p w14:paraId="0E26FE63">
            <w:pPr>
              <w:rPr>
                <w:rFonts w:hint="eastAsia"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w:t>
            </w:r>
            <w:r>
              <w:rPr>
                <w:rFonts w:hint="eastAsia" w:ascii="Times New Roman" w:hAnsi="Times New Roman" w:cs="Times New Roman"/>
                <w:color w:val="000000" w:themeColor="text1"/>
                <w:highlight w:val="none"/>
                <w:lang w:val="en-US" w:eastAsia="zh-CN"/>
                <w14:textFill>
                  <w14:solidFill>
                    <w14:schemeClr w14:val="tx1"/>
                  </w14:solidFill>
                </w14:textFill>
              </w:rPr>
              <w:t>三明市生态环境局于</w:t>
            </w:r>
            <w:r>
              <w:rPr>
                <w:rFonts w:hint="default" w:ascii="Times New Roman" w:hAnsi="Times New Roman" w:cs="Times New Roman"/>
                <w:color w:val="000000" w:themeColor="text1"/>
                <w:highlight w:val="none"/>
                <w14:textFill>
                  <w14:solidFill>
                    <w14:schemeClr w14:val="tx1"/>
                  </w14:solidFill>
                </w14:textFill>
              </w:rPr>
              <w:t>202</w:t>
            </w:r>
            <w:r>
              <w:rPr>
                <w:rFonts w:hint="eastAsia" w:cs="Times New Roman"/>
                <w:color w:val="000000" w:themeColor="text1"/>
                <w:highlight w:val="none"/>
                <w:lang w:val="en-US" w:eastAsia="zh-CN"/>
                <w14:textFill>
                  <w14:solidFill>
                    <w14:schemeClr w14:val="tx1"/>
                  </w14:solidFill>
                </w14:textFill>
              </w:rPr>
              <w:t>5</w:t>
            </w:r>
            <w:r>
              <w:rPr>
                <w:rFonts w:hint="default" w:ascii="Times New Roman" w:hAnsi="Times New Roman" w:cs="Times New Roman"/>
                <w:color w:val="000000" w:themeColor="text1"/>
                <w:highlight w:val="none"/>
                <w14:textFill>
                  <w14:solidFill>
                    <w14:schemeClr w14:val="tx1"/>
                  </w14:solidFill>
                </w14:textFill>
              </w:rPr>
              <w:t>年</w:t>
            </w:r>
            <w:r>
              <w:rPr>
                <w:rFonts w:hint="eastAsia"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月</w:t>
            </w:r>
            <w:r>
              <w:rPr>
                <w:rFonts w:hint="eastAsia" w:ascii="Times New Roman" w:hAnsi="Times New Roman" w:cs="Times New Roman"/>
                <w:color w:val="000000" w:themeColor="text1"/>
                <w:highlight w:val="none"/>
                <w:lang w:val="en-US" w:eastAsia="zh-CN"/>
                <w14:textFill>
                  <w14:solidFill>
                    <w14:schemeClr w14:val="tx1"/>
                  </w14:solidFill>
                </w14:textFill>
              </w:rPr>
              <w:t>7日发布的《三明市水环境质量月报（2025年2月）》</w:t>
            </w:r>
            <w:r>
              <w:rPr>
                <w:rFonts w:hint="default" w:ascii="Times New Roman" w:hAnsi="Times New Roman"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2025年2月，主要河流19个国控断面水质达标率为100%，共检测6个省控断面，水质达标率为100%，水质状况均为“优”。本项目所在水域为沙溪，按照月报中永安贡川桥断面的水质情况，本项目所在区域地表水满足《地表水环境质量标准》（GB3838-2002）中</w:t>
            </w:r>
            <w:r>
              <w:rPr>
                <w:rFonts w:hint="default" w:ascii="Times New Roman" w:hAnsi="Times New Roman" w:cs="Times New Roman"/>
                <w:color w:val="000000" w:themeColor="text1"/>
                <w:highlight w:val="none"/>
                <w:lang w:val="en-US" w:eastAsia="zh-CN"/>
                <w14:textFill>
                  <w14:solidFill>
                    <w14:schemeClr w14:val="tx1"/>
                  </w14:solidFill>
                </w14:textFill>
              </w:rPr>
              <w:t>Ⅲ类水</w:t>
            </w:r>
            <w:r>
              <w:rPr>
                <w:rFonts w:hint="eastAsia" w:cs="Times New Roman"/>
                <w:color w:val="000000" w:themeColor="text1"/>
                <w:highlight w:val="none"/>
                <w:lang w:val="en-US" w:eastAsia="zh-CN"/>
                <w14:textFill>
                  <w14:solidFill>
                    <w14:schemeClr w14:val="tx1"/>
                  </w14:solidFill>
                </w14:textFill>
              </w:rPr>
              <w:t>质标准，水质现状良好，能满足水环境功能区划要求。</w:t>
            </w:r>
          </w:p>
          <w:p w14:paraId="7C65852B">
            <w:pPr>
              <w:ind w:left="0" w:leftChars="0" w:firstLine="0" w:firstLineChars="0"/>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drawing>
                <wp:inline distT="0" distB="0" distL="114300" distR="114300">
                  <wp:extent cx="5285105" cy="3445510"/>
                  <wp:effectExtent l="0" t="0" r="10795" b="2540"/>
                  <wp:docPr id="2" name="图片 872" descr="三明市水环境质量月报（2025年2月）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72" descr="三明市水环境质量月报（2025年2月）PS"/>
                          <pic:cNvPicPr>
                            <a:picLocks noChangeAspect="1"/>
                          </pic:cNvPicPr>
                        </pic:nvPicPr>
                        <pic:blipFill>
                          <a:blip r:embed="rId19"/>
                          <a:stretch>
                            <a:fillRect/>
                          </a:stretch>
                        </pic:blipFill>
                        <pic:spPr>
                          <a:xfrm>
                            <a:off x="0" y="0"/>
                            <a:ext cx="5285105" cy="3445510"/>
                          </a:xfrm>
                          <a:prstGeom prst="rect">
                            <a:avLst/>
                          </a:prstGeom>
                          <a:noFill/>
                          <a:ln>
                            <a:noFill/>
                          </a:ln>
                        </pic:spPr>
                      </pic:pic>
                    </a:graphicData>
                  </a:graphic>
                </wp:inline>
              </w:drawing>
            </w:r>
          </w:p>
          <w:p w14:paraId="77811689">
            <w:pPr>
              <w:pStyle w:val="2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三明市国（省）控断面水质状况</w:t>
            </w:r>
          </w:p>
          <w:p w14:paraId="182DFA83">
            <w:pPr>
              <w:pStyle w:val="3"/>
              <w:numPr>
                <w:ilvl w:val="2"/>
                <w:numId w:val="4"/>
              </w:numPr>
              <w:bidi w:val="0"/>
              <w:rPr>
                <w:rFonts w:hint="default" w:ascii="Times New Roman" w:hAnsi="Times New Roman" w:cs="Times New Roman"/>
                <w:color w:val="000000" w:themeColor="text1"/>
                <w:highlight w:val="none"/>
                <w:lang w:val="en-US" w:eastAsia="zh-CN"/>
                <w14:textFill>
                  <w14:solidFill>
                    <w14:schemeClr w14:val="tx1"/>
                  </w14:solidFill>
                </w14:textFill>
              </w:rPr>
            </w:pPr>
            <w:bookmarkStart w:id="142" w:name="_Toc15024"/>
            <w:bookmarkStart w:id="143" w:name="_Toc1944"/>
            <w:bookmarkStart w:id="144" w:name="_Toc4317"/>
            <w:r>
              <w:rPr>
                <w:rFonts w:hint="default" w:ascii="Times New Roman" w:hAnsi="Times New Roman" w:cs="Times New Roman"/>
                <w:color w:val="000000" w:themeColor="text1"/>
                <w:highlight w:val="none"/>
                <w:lang w:val="en-US" w:eastAsia="zh-CN"/>
                <w14:textFill>
                  <w14:solidFill>
                    <w14:schemeClr w14:val="tx1"/>
                  </w14:solidFill>
                </w14:textFill>
              </w:rPr>
              <w:t>声环境质量现状</w:t>
            </w:r>
            <w:bookmarkEnd w:id="142"/>
            <w:bookmarkEnd w:id="143"/>
            <w:bookmarkEnd w:id="144"/>
          </w:p>
          <w:p w14:paraId="17D66799">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本项目厂界外周边50 m范围内无声环境保护目标，依据《建设项目环境影响报告表编制技术指南（污染影响类）（试行）》，本项目可不开展声环境质量现状监测。</w:t>
            </w:r>
          </w:p>
          <w:p w14:paraId="09AB56B4">
            <w:pPr>
              <w:pStyle w:val="3"/>
              <w:numPr>
                <w:ilvl w:val="2"/>
                <w:numId w:val="4"/>
              </w:numPr>
              <w:bidi w:val="0"/>
              <w:rPr>
                <w:rFonts w:hint="default" w:ascii="Times New Roman" w:hAnsi="Times New Roman" w:cs="Times New Roman"/>
                <w:color w:val="000000" w:themeColor="text1"/>
                <w:highlight w:val="none"/>
                <w:lang w:val="en-US" w:eastAsia="zh-CN"/>
                <w14:textFill>
                  <w14:solidFill>
                    <w14:schemeClr w14:val="tx1"/>
                  </w14:solidFill>
                </w14:textFill>
              </w:rPr>
            </w:pPr>
            <w:bookmarkStart w:id="145" w:name="_Toc20055"/>
            <w:bookmarkStart w:id="146" w:name="_Toc15353"/>
            <w:bookmarkStart w:id="147" w:name="_Toc5225"/>
            <w:r>
              <w:rPr>
                <w:rFonts w:hint="default" w:ascii="Times New Roman" w:hAnsi="Times New Roman" w:cs="Times New Roman"/>
                <w:color w:val="000000" w:themeColor="text1"/>
                <w:highlight w:val="none"/>
                <w:lang w:val="en-US" w:eastAsia="zh-CN"/>
                <w14:textFill>
                  <w14:solidFill>
                    <w14:schemeClr w14:val="tx1"/>
                  </w14:solidFill>
                </w14:textFill>
              </w:rPr>
              <w:t>生态环境质量现状</w:t>
            </w:r>
            <w:bookmarkEnd w:id="145"/>
            <w:bookmarkEnd w:id="146"/>
            <w:bookmarkEnd w:id="147"/>
          </w:p>
          <w:p w14:paraId="45B7F44A">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本项目位于</w:t>
            </w:r>
            <w:r>
              <w:rPr>
                <w:rFonts w:hint="default" w:ascii="Times New Roman" w:hAnsi="Times New Roman" w:cs="Times New Roman"/>
                <w:color w:val="000000" w:themeColor="text1"/>
                <w:sz w:val="24"/>
                <w:highlight w:val="none"/>
                <w:u w:val="none"/>
                <w14:textFill>
                  <w14:solidFill>
                    <w14:schemeClr w14:val="tx1"/>
                  </w14:solidFill>
                </w14:textFill>
              </w:rPr>
              <w:t>福建省</w:t>
            </w:r>
            <w:r>
              <w:rPr>
                <w:rFonts w:hint="eastAsia"/>
                <w:color w:val="000000" w:themeColor="text1"/>
                <w:highlight w:val="none"/>
                <w:lang w:val="en-US" w:eastAsia="zh-CN"/>
                <w14:textFill>
                  <w14:solidFill>
                    <w14:schemeClr w14:val="tx1"/>
                  </w14:solidFill>
                </w14:textFill>
              </w:rPr>
              <w:t>三明市永安市贡川镇水东工业园区56号</w:t>
            </w:r>
            <w:r>
              <w:rPr>
                <w:rFonts w:hint="eastAsia" w:cs="Times New Roman"/>
                <w:color w:val="000000" w:themeColor="text1"/>
                <w:highlight w:val="none"/>
                <w:lang w:val="en-US" w:eastAsia="zh-CN"/>
                <w14:textFill>
                  <w14:solidFill>
                    <w14:schemeClr w14:val="tx1"/>
                  </w14:solidFill>
                </w14:textFill>
              </w:rPr>
              <w:t>，租赁</w:t>
            </w:r>
            <w:r>
              <w:rPr>
                <w:rFonts w:hint="eastAsia"/>
                <w:color w:val="000000" w:themeColor="text1"/>
                <w:highlight w:val="none"/>
                <w:lang w:val="en-US" w:eastAsia="zh-CN"/>
                <w14:textFill>
                  <w14:solidFill>
                    <w14:schemeClr w14:val="tx1"/>
                  </w14:solidFill>
                </w14:textFill>
              </w:rPr>
              <w:t>福建中禾新材料有限公司1#车间、3#车间和综合楼（其中3#车间、综合楼为已建，1#车间厂房构筑物施工由租赁方承担）</w:t>
            </w:r>
            <w:r>
              <w:rPr>
                <w:rFonts w:hint="eastAsia" w:cs="Times New Roman"/>
                <w:color w:val="000000" w:themeColor="text1"/>
                <w:highlight w:val="none"/>
                <w:lang w:val="en-US" w:eastAsia="zh-CN"/>
                <w14:textFill>
                  <w14:solidFill>
                    <w14:schemeClr w14:val="tx1"/>
                  </w14:solidFill>
                </w14:textFill>
              </w:rPr>
              <w:t>，本项目不涉及厂房构筑施工建设的施工活动。项目所在地为工业用地，</w:t>
            </w:r>
            <w:r>
              <w:rPr>
                <w:color w:val="000000" w:themeColor="text1"/>
                <w:highlight w:val="none"/>
                <w14:textFill>
                  <w14:solidFill>
                    <w14:schemeClr w14:val="tx1"/>
                  </w14:solidFill>
                </w14:textFill>
              </w:rPr>
              <w:t>且用地周边无珍稀濒危物种、自然保护区、风景名胜区等生态敏感目标，不属于生态敏感区。项目生产运营不会造成评价区域内生物量和物种多样性的锐减，不会引起荒漠化、水和土地的理化性质恶化，对生态环境造成的影响很小，根据《建设项目环境影响报告表编制技术指南（污染影响类）（试行）》</w:t>
            </w:r>
            <w:r>
              <w:rPr>
                <w:rFonts w:hint="default" w:ascii="Times New Roman" w:hAnsi="Times New Roman" w:cs="Times New Roman"/>
                <w:color w:val="000000" w:themeColor="text1"/>
                <w:highlight w:val="none"/>
                <w:lang w:val="en-US" w:eastAsia="zh-CN"/>
                <w14:textFill>
                  <w14:solidFill>
                    <w14:schemeClr w14:val="tx1"/>
                  </w14:solidFill>
                </w14:textFill>
              </w:rPr>
              <w:t>，本项目可不开展生态环境现状调查。</w:t>
            </w:r>
          </w:p>
          <w:p w14:paraId="34A9BBB2">
            <w:pPr>
              <w:pStyle w:val="3"/>
              <w:numPr>
                <w:ilvl w:val="2"/>
                <w:numId w:val="3"/>
              </w:num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电磁辐射</w:t>
            </w:r>
          </w:p>
          <w:p w14:paraId="17FBC145">
            <w:pPr>
              <w:rPr>
                <w:rFonts w:hint="eastAsia"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项目不属于电磁辐射类项目，不开展电磁辐射现状监测与评价</w:t>
            </w:r>
            <w:r>
              <w:rPr>
                <w:rFonts w:hint="eastAsia"/>
                <w:color w:val="000000" w:themeColor="text1"/>
                <w:highlight w:val="none"/>
                <w:lang w:eastAsia="zh-CN"/>
                <w14:textFill>
                  <w14:solidFill>
                    <w14:schemeClr w14:val="tx1"/>
                  </w14:solidFill>
                </w14:textFill>
              </w:rPr>
              <w:t>。</w:t>
            </w:r>
          </w:p>
          <w:p w14:paraId="5E459D2D">
            <w:pPr>
              <w:pStyle w:val="3"/>
              <w:numPr>
                <w:ilvl w:val="2"/>
                <w:numId w:val="4"/>
              </w:numPr>
              <w:bidi w:val="0"/>
              <w:rPr>
                <w:rFonts w:hint="default" w:ascii="Times New Roman" w:hAnsi="Times New Roman" w:cs="Times New Roman"/>
                <w:color w:val="000000" w:themeColor="text1"/>
                <w:highlight w:val="none"/>
                <w:lang w:val="en-US" w:eastAsia="zh-CN"/>
                <w14:textFill>
                  <w14:solidFill>
                    <w14:schemeClr w14:val="tx1"/>
                  </w14:solidFill>
                </w14:textFill>
              </w:rPr>
            </w:pPr>
            <w:bookmarkStart w:id="148" w:name="_Toc542"/>
            <w:bookmarkStart w:id="149" w:name="_Toc29677"/>
            <w:bookmarkStart w:id="150" w:name="_Toc7511"/>
            <w:r>
              <w:rPr>
                <w:rFonts w:hint="default" w:ascii="Times New Roman" w:hAnsi="Times New Roman" w:cs="Times New Roman"/>
                <w:color w:val="000000" w:themeColor="text1"/>
                <w:highlight w:val="none"/>
                <w:lang w:val="en-US" w:eastAsia="zh-CN"/>
                <w14:textFill>
                  <w14:solidFill>
                    <w14:schemeClr w14:val="tx1"/>
                  </w14:solidFill>
                </w14:textFill>
              </w:rPr>
              <w:t>地下水、土壤环境质量现状</w:t>
            </w:r>
            <w:bookmarkEnd w:id="148"/>
            <w:bookmarkEnd w:id="149"/>
            <w:bookmarkEnd w:id="150"/>
          </w:p>
          <w:p w14:paraId="56F73DF4">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根据《建设项目环境影响报告表编制技术指南（污染影响类）（试行）》中表明：原则上不开展地下水、土壤环境质量现状调查。</w:t>
            </w:r>
          </w:p>
          <w:p w14:paraId="34BB013C">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本项目</w:t>
            </w:r>
            <w:r>
              <w:rPr>
                <w:rFonts w:hint="eastAsia" w:cs="Times New Roman"/>
                <w:color w:val="000000" w:themeColor="text1"/>
                <w:highlight w:val="none"/>
                <w:lang w:val="en-US" w:eastAsia="zh-CN"/>
                <w14:textFill>
                  <w14:solidFill>
                    <w14:schemeClr w14:val="tx1"/>
                  </w14:solidFill>
                </w14:textFill>
              </w:rPr>
              <w:t>生产车间地面均按规范</w:t>
            </w:r>
            <w:r>
              <w:rPr>
                <w:rFonts w:hint="default" w:ascii="Times New Roman" w:hAnsi="Times New Roman" w:cs="Times New Roman"/>
                <w:color w:val="000000" w:themeColor="text1"/>
                <w:highlight w:val="none"/>
                <w:lang w:val="en-US" w:eastAsia="zh-CN"/>
                <w14:textFill>
                  <w14:solidFill>
                    <w14:schemeClr w14:val="tx1"/>
                  </w14:solidFill>
                </w14:textFill>
              </w:rPr>
              <w:t>采取硬化、防腐防渗措施，</w:t>
            </w:r>
            <w:r>
              <w:rPr>
                <w:rFonts w:hint="eastAsia" w:cs="Times New Roman"/>
                <w:color w:val="000000" w:themeColor="text1"/>
                <w:highlight w:val="none"/>
                <w:lang w:val="en-US" w:eastAsia="zh-CN"/>
                <w14:textFill>
                  <w14:solidFill>
                    <w14:schemeClr w14:val="tx1"/>
                  </w14:solidFill>
                </w14:textFill>
              </w:rPr>
              <w:t>故</w:t>
            </w:r>
            <w:r>
              <w:rPr>
                <w:rFonts w:hint="default" w:ascii="Times New Roman" w:hAnsi="Times New Roman" w:cs="Times New Roman"/>
                <w:color w:val="000000" w:themeColor="text1"/>
                <w:highlight w:val="none"/>
                <w:lang w:val="en-US" w:eastAsia="zh-CN"/>
                <w14:textFill>
                  <w14:solidFill>
                    <w14:schemeClr w14:val="tx1"/>
                  </w14:solidFill>
                </w14:textFill>
              </w:rPr>
              <w:t>不存在地下水、土壤污染途径，因此可不开展环境质量现状调查。</w:t>
            </w:r>
          </w:p>
        </w:tc>
      </w:tr>
      <w:tr w14:paraId="404DCA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89" w:type="pct"/>
            <w:noWrap w:val="0"/>
            <w:vAlign w:val="center"/>
          </w:tcPr>
          <w:p w14:paraId="5F51057C">
            <w:pPr>
              <w:adjustRightInd w:val="0"/>
              <w:snapToGrid w:val="0"/>
              <w:ind w:left="0" w:leftChars="0" w:firstLine="0" w:firstLineChars="0"/>
              <w:jc w:val="center"/>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环境保护目标</w:t>
            </w:r>
          </w:p>
        </w:tc>
        <w:tc>
          <w:tcPr>
            <w:tcW w:w="4610" w:type="pct"/>
            <w:noWrap w:val="0"/>
            <w:vAlign w:val="center"/>
          </w:tcPr>
          <w:p w14:paraId="38AC5E20">
            <w:pPr>
              <w:pStyle w:val="2"/>
              <w:numPr>
                <w:ilvl w:val="1"/>
                <w:numId w:val="4"/>
              </w:numPr>
              <w:tabs>
                <w:tab w:val="left" w:pos="420"/>
              </w:tabs>
              <w:bidi w:val="0"/>
              <w:rPr>
                <w:rFonts w:hint="default" w:ascii="Times New Roman" w:hAnsi="Times New Roman" w:cs="Times New Roman"/>
                <w:color w:val="000000" w:themeColor="text1"/>
                <w:highlight w:val="none"/>
                <w:lang w:val="en-US" w:eastAsia="zh-CN"/>
                <w14:textFill>
                  <w14:solidFill>
                    <w14:schemeClr w14:val="tx1"/>
                  </w14:solidFill>
                </w14:textFill>
              </w:rPr>
            </w:pPr>
            <w:bookmarkStart w:id="151" w:name="_Toc16476"/>
            <w:r>
              <w:rPr>
                <w:rFonts w:hint="default" w:ascii="Times New Roman" w:hAnsi="Times New Roman" w:cs="Times New Roman"/>
                <w:color w:val="000000" w:themeColor="text1"/>
                <w:highlight w:val="none"/>
                <w:lang w:val="en-US" w:eastAsia="zh-CN"/>
                <w14:textFill>
                  <w14:solidFill>
                    <w14:schemeClr w14:val="tx1"/>
                  </w14:solidFill>
                </w14:textFill>
              </w:rPr>
              <w:t>环境保护目标</w:t>
            </w:r>
            <w:bookmarkEnd w:id="151"/>
          </w:p>
          <w:p w14:paraId="7ED92CD9">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本项目位于</w:t>
            </w:r>
            <w:r>
              <w:rPr>
                <w:rFonts w:hint="eastAsia"/>
                <w:color w:val="000000" w:themeColor="text1"/>
                <w:highlight w:val="none"/>
                <w:lang w:val="en-US" w:eastAsia="zh-CN"/>
                <w14:textFill>
                  <w14:solidFill>
                    <w14:schemeClr w14:val="tx1"/>
                  </w14:solidFill>
                </w14:textFill>
              </w:rPr>
              <w:t>三明市永安市贡川镇水东工业园区56号</w:t>
            </w:r>
            <w:r>
              <w:rPr>
                <w:rFonts w:hint="default" w:ascii="Times New Roman" w:hAnsi="Times New Roman" w:cs="Times New Roman"/>
                <w:color w:val="000000" w:themeColor="text1"/>
                <w:highlight w:val="none"/>
                <w:lang w:val="en-US" w:eastAsia="zh-CN"/>
                <w14:textFill>
                  <w14:solidFill>
                    <w14:schemeClr w14:val="tx1"/>
                  </w14:solidFill>
                </w14:textFill>
              </w:rPr>
              <w:t>，根据项目性质和周围环境特征，确定项目评价范围内不涉及自然保护区、风景名胜区、文物古迹等敏感目标。本项目周边环境敏感目标详见</w: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begin"/>
            </w:r>
            <w:r>
              <w:rPr>
                <w:rFonts w:hint="default" w:ascii="Times New Roman" w:hAnsi="Times New Roman" w:cs="Times New Roman"/>
                <w:color w:val="000000" w:themeColor="text1"/>
                <w:highlight w:val="none"/>
                <w:lang w:val="en-US" w:eastAsia="zh-CN"/>
                <w14:textFill>
                  <w14:solidFill>
                    <w14:schemeClr w14:val="tx1"/>
                  </w14:solidFill>
                </w14:textFill>
              </w:rPr>
              <w:instrText xml:space="preserve"> REF _Ref27440 \n \h </w:instrTex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separate"/>
            </w:r>
            <w:r>
              <w:rPr>
                <w:rFonts w:hint="default" w:ascii="Times New Roman" w:hAnsi="Times New Roman" w:cs="Times New Roman"/>
                <w:color w:val="000000" w:themeColor="text1"/>
                <w:highlight w:val="none"/>
                <w:lang w:val="en-US" w:eastAsia="zh-CN"/>
                <w14:textFill>
                  <w14:solidFill>
                    <w14:schemeClr w14:val="tx1"/>
                  </w14:solidFill>
                </w14:textFill>
              </w:rPr>
              <w:t>表3.2-1</w: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end"/>
            </w:r>
            <w:r>
              <w:rPr>
                <w:rFonts w:hint="default" w:ascii="Times New Roman" w:hAnsi="Times New Roman" w:cs="Times New Roman"/>
                <w:color w:val="000000" w:themeColor="text1"/>
                <w:highlight w:val="none"/>
                <w:lang w:val="en-US" w:eastAsia="zh-CN"/>
                <w14:textFill>
                  <w14:solidFill>
                    <w14:schemeClr w14:val="tx1"/>
                  </w14:solidFill>
                </w14:textFill>
              </w:rPr>
              <w:t>和附图</w:t>
            </w:r>
            <w:r>
              <w:rPr>
                <w:rFonts w:hint="eastAsia"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w:t>
            </w:r>
          </w:p>
          <w:p w14:paraId="6319A9A0">
            <w:pPr>
              <w:pStyle w:val="30"/>
              <w:numPr>
                <w:ilvl w:val="4"/>
                <w:numId w:val="4"/>
              </w:numPr>
              <w:tabs>
                <w:tab w:val="left" w:pos="0"/>
              </w:tabs>
              <w:bidi w:val="0"/>
              <w:rPr>
                <w:rFonts w:hint="default" w:ascii="Times New Roman" w:hAnsi="Times New Roman" w:cs="Times New Roman"/>
                <w:color w:val="000000" w:themeColor="text1"/>
                <w:highlight w:val="none"/>
                <w:lang w:val="en-US" w:eastAsia="zh-CN"/>
                <w14:textFill>
                  <w14:solidFill>
                    <w14:schemeClr w14:val="tx1"/>
                  </w14:solidFill>
                </w14:textFill>
              </w:rPr>
            </w:pPr>
            <w:bookmarkStart w:id="152" w:name="_Ref27440"/>
            <w:r>
              <w:rPr>
                <w:rFonts w:hint="default" w:ascii="Times New Roman" w:hAnsi="Times New Roman" w:cs="Times New Roman"/>
                <w:color w:val="000000" w:themeColor="text1"/>
                <w:highlight w:val="none"/>
                <w:lang w:val="en-US" w:eastAsia="zh-CN"/>
                <w14:textFill>
                  <w14:solidFill>
                    <w14:schemeClr w14:val="tx1"/>
                  </w14:solidFill>
                </w14:textFill>
              </w:rPr>
              <w:t>本项目周边环境保护敏感目标一览表</w:t>
            </w:r>
            <w:bookmarkEnd w:id="152"/>
          </w:p>
          <w:tbl>
            <w:tblPr>
              <w:tblStyle w:val="18"/>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1054"/>
              <w:gridCol w:w="1633"/>
              <w:gridCol w:w="701"/>
              <w:gridCol w:w="1226"/>
              <w:gridCol w:w="1020"/>
              <w:gridCol w:w="1948"/>
            </w:tblGrid>
            <w:tr w14:paraId="06398B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Merge w:val="restart"/>
                  <w:tcBorders>
                    <w:tl2br w:val="nil"/>
                    <w:tr2bl w:val="nil"/>
                  </w:tcBorders>
                  <w:noWrap w:val="0"/>
                  <w:vAlign w:val="center"/>
                </w:tcPr>
                <w:p w14:paraId="3CC59773">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环境要素</w:t>
                  </w:r>
                </w:p>
              </w:tc>
              <w:tc>
                <w:tcPr>
                  <w:tcW w:w="1054" w:type="dxa"/>
                  <w:tcBorders>
                    <w:tl2br w:val="nil"/>
                    <w:tr2bl w:val="nil"/>
                  </w:tcBorders>
                  <w:noWrap w:val="0"/>
                  <w:vAlign w:val="center"/>
                </w:tcPr>
                <w:p w14:paraId="4BF5A921">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保护对象</w:t>
                  </w:r>
                </w:p>
              </w:tc>
              <w:tc>
                <w:tcPr>
                  <w:tcW w:w="1633" w:type="dxa"/>
                  <w:tcBorders>
                    <w:tl2br w:val="nil"/>
                    <w:tr2bl w:val="nil"/>
                  </w:tcBorders>
                  <w:noWrap w:val="0"/>
                  <w:vAlign w:val="center"/>
                </w:tcPr>
                <w:p w14:paraId="40208448">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经纬度</w:t>
                  </w:r>
                </w:p>
              </w:tc>
              <w:tc>
                <w:tcPr>
                  <w:tcW w:w="701" w:type="dxa"/>
                  <w:tcBorders>
                    <w:tl2br w:val="nil"/>
                    <w:tr2bl w:val="nil"/>
                  </w:tcBorders>
                  <w:noWrap w:val="0"/>
                  <w:vAlign w:val="center"/>
                </w:tcPr>
                <w:p w14:paraId="5F5E8F59">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相对方位</w:t>
                  </w:r>
                </w:p>
              </w:tc>
              <w:tc>
                <w:tcPr>
                  <w:tcW w:w="1226" w:type="dxa"/>
                  <w:tcBorders>
                    <w:tl2br w:val="nil"/>
                    <w:tr2bl w:val="nil"/>
                  </w:tcBorders>
                  <w:noWrap w:val="0"/>
                  <w:vAlign w:val="center"/>
                </w:tcPr>
                <w:p w14:paraId="23E07C90">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相对厂界距离/m</w:t>
                  </w:r>
                </w:p>
              </w:tc>
              <w:tc>
                <w:tcPr>
                  <w:tcW w:w="1020" w:type="dxa"/>
                  <w:tcBorders>
                    <w:tl2br w:val="nil"/>
                    <w:tr2bl w:val="nil"/>
                  </w:tcBorders>
                  <w:noWrap w:val="0"/>
                  <w:vAlign w:val="center"/>
                </w:tcPr>
                <w:p w14:paraId="76CE3327">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规模/保护内容</w:t>
                  </w:r>
                </w:p>
              </w:tc>
              <w:tc>
                <w:tcPr>
                  <w:tcW w:w="1948" w:type="dxa"/>
                  <w:vMerge w:val="restart"/>
                  <w:tcBorders>
                    <w:tl2br w:val="nil"/>
                    <w:tr2bl w:val="nil"/>
                  </w:tcBorders>
                  <w:noWrap w:val="0"/>
                  <w:vAlign w:val="center"/>
                </w:tcPr>
                <w:p w14:paraId="427B7B8D">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环境功能区</w:t>
                  </w:r>
                </w:p>
              </w:tc>
            </w:tr>
            <w:tr w14:paraId="14AC01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tcBorders>
                    <w:tl2br w:val="nil"/>
                    <w:tr2bl w:val="nil"/>
                  </w:tcBorders>
                  <w:noWrap w:val="0"/>
                  <w:vAlign w:val="center"/>
                </w:tcPr>
                <w:p w14:paraId="17124F5C">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大气环境</w:t>
                  </w:r>
                </w:p>
              </w:tc>
              <w:tc>
                <w:tcPr>
                  <w:tcW w:w="5634" w:type="dxa"/>
                  <w:gridSpan w:val="5"/>
                  <w:tcBorders>
                    <w:tl2br w:val="nil"/>
                    <w:tr2bl w:val="nil"/>
                  </w:tcBorders>
                  <w:noWrap w:val="0"/>
                  <w:vAlign w:val="center"/>
                </w:tcPr>
                <w:p w14:paraId="1C39936E">
                  <w:pPr>
                    <w:pStyle w:val="26"/>
                    <w:bidi w:val="0"/>
                    <w:ind w:firstLine="0" w:firstLineChars="0"/>
                    <w:jc w:val="center"/>
                    <w:rPr>
                      <w:rFonts w:hint="default"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2"/>
                      <w:highlight w:val="none"/>
                      <w:lang w:val="en-US" w:eastAsia="zh-CN" w:bidi="ar-SA"/>
                      <w14:textFill>
                        <w14:solidFill>
                          <w14:schemeClr w14:val="tx1"/>
                        </w14:solidFill>
                      </w14:textFill>
                    </w:rPr>
                    <w:t>项目厂界外500m范围内无环境保护目标（位于本项目东侧250 m的井岗村五组大坪头均已拆迁，无人员居住）</w:t>
                  </w:r>
                </w:p>
              </w:tc>
              <w:tc>
                <w:tcPr>
                  <w:tcW w:w="1948" w:type="dxa"/>
                  <w:tcBorders>
                    <w:tl2br w:val="nil"/>
                    <w:tr2bl w:val="nil"/>
                  </w:tcBorders>
                  <w:noWrap w:val="0"/>
                  <w:vAlign w:val="center"/>
                </w:tcPr>
                <w:p w14:paraId="33D86B2F">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二</w:t>
                  </w:r>
                  <w:r>
                    <w:rPr>
                      <w:rFonts w:hint="default" w:ascii="Times New Roman" w:hAnsi="Times New Roman" w:cs="Times New Roman"/>
                      <w:color w:val="000000" w:themeColor="text1"/>
                      <w:highlight w:val="none"/>
                      <w:lang w:val="en-US" w:eastAsia="zh-CN" w:bidi="ar-SA"/>
                      <w14:textFill>
                        <w14:solidFill>
                          <w14:schemeClr w14:val="tx1"/>
                        </w14:solidFill>
                      </w14:textFill>
                    </w:rPr>
                    <w:t>类功能区，执行《环境空气质量标准》(GB3095-2012)中的二级标准</w:t>
                  </w:r>
                </w:p>
              </w:tc>
            </w:tr>
            <w:tr w14:paraId="39F48E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tcBorders>
                    <w:tl2br w:val="nil"/>
                    <w:tr2bl w:val="nil"/>
                  </w:tcBorders>
                  <w:noWrap w:val="0"/>
                  <w:vAlign w:val="center"/>
                </w:tcPr>
                <w:p w14:paraId="7464E0BE">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地表水</w:t>
                  </w:r>
                </w:p>
              </w:tc>
              <w:tc>
                <w:tcPr>
                  <w:tcW w:w="1054" w:type="dxa"/>
                  <w:tcBorders>
                    <w:tl2br w:val="nil"/>
                    <w:tr2bl w:val="nil"/>
                  </w:tcBorders>
                  <w:noWrap w:val="0"/>
                  <w:vAlign w:val="center"/>
                </w:tcPr>
                <w:p w14:paraId="15D7C7F0">
                  <w:pPr>
                    <w:pStyle w:val="26"/>
                    <w:bidi w:val="0"/>
                    <w:ind w:firstLine="0" w:firstLineChars="0"/>
                    <w:jc w:val="center"/>
                    <w:rPr>
                      <w:rFonts w:hint="default"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2"/>
                      <w:highlight w:val="none"/>
                      <w:lang w:val="en-US" w:eastAsia="zh-CN" w:bidi="ar-SA"/>
                      <w14:textFill>
                        <w14:solidFill>
                          <w14:schemeClr w14:val="tx1"/>
                        </w14:solidFill>
                      </w14:textFill>
                    </w:rPr>
                    <w:t>沙溪</w:t>
                  </w:r>
                </w:p>
              </w:tc>
              <w:tc>
                <w:tcPr>
                  <w:tcW w:w="1633" w:type="dxa"/>
                  <w:tcBorders>
                    <w:tl2br w:val="nil"/>
                    <w:tr2bl w:val="nil"/>
                  </w:tcBorders>
                  <w:noWrap w:val="0"/>
                  <w:vAlign w:val="center"/>
                </w:tcPr>
                <w:p w14:paraId="051715D5">
                  <w:pPr>
                    <w:pStyle w:val="26"/>
                    <w:bidi w:val="0"/>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117.437324</w:t>
                  </w:r>
                  <w:r>
                    <w:rPr>
                      <w:rFonts w:hint="eastAsia"/>
                      <w:color w:val="000000" w:themeColor="text1"/>
                      <w:highlight w:val="none"/>
                      <w:lang w:val="en-US" w:eastAsia="zh-CN" w:bidi="ar-SA"/>
                      <w14:textFill>
                        <w14:solidFill>
                          <w14:schemeClr w14:val="tx1"/>
                        </w14:solidFill>
                      </w14:textFill>
                    </w:rPr>
                    <w:t>N</w:t>
                  </w:r>
                </w:p>
                <w:p w14:paraId="5F910F4D">
                  <w:pPr>
                    <w:pStyle w:val="26"/>
                    <w:bidi w:val="0"/>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26.077938</w:t>
                  </w:r>
                  <w:r>
                    <w:rPr>
                      <w:rFonts w:hint="eastAsia"/>
                      <w:color w:val="000000" w:themeColor="text1"/>
                      <w:highlight w:val="none"/>
                      <w:lang w:val="en-US" w:eastAsia="zh-CN" w:bidi="ar-SA"/>
                      <w14:textFill>
                        <w14:solidFill>
                          <w14:schemeClr w14:val="tx1"/>
                        </w14:solidFill>
                      </w14:textFill>
                    </w:rPr>
                    <w:t>E</w:t>
                  </w:r>
                </w:p>
              </w:tc>
              <w:tc>
                <w:tcPr>
                  <w:tcW w:w="701" w:type="dxa"/>
                  <w:tcBorders>
                    <w:tl2br w:val="nil"/>
                    <w:tr2bl w:val="nil"/>
                  </w:tcBorders>
                  <w:noWrap w:val="0"/>
                  <w:vAlign w:val="center"/>
                </w:tcPr>
                <w:p w14:paraId="5F70FF96">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W</w:t>
                  </w:r>
                </w:p>
              </w:tc>
              <w:tc>
                <w:tcPr>
                  <w:tcW w:w="1226" w:type="dxa"/>
                  <w:tcBorders>
                    <w:tl2br w:val="nil"/>
                    <w:tr2bl w:val="nil"/>
                  </w:tcBorders>
                  <w:noWrap w:val="0"/>
                  <w:vAlign w:val="center"/>
                </w:tcPr>
                <w:p w14:paraId="4D47D497">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1510</w:t>
                  </w:r>
                </w:p>
              </w:tc>
              <w:tc>
                <w:tcPr>
                  <w:tcW w:w="1020" w:type="dxa"/>
                  <w:tcBorders>
                    <w:tl2br w:val="nil"/>
                    <w:tr2bl w:val="nil"/>
                  </w:tcBorders>
                  <w:noWrap w:val="0"/>
                  <w:vAlign w:val="center"/>
                </w:tcPr>
                <w:p w14:paraId="187DD164">
                  <w:pPr>
                    <w:pStyle w:val="26"/>
                    <w:bidi w:val="0"/>
                    <w:ind w:firstLine="0" w:firstLineChars="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地表水</w:t>
                  </w:r>
                </w:p>
              </w:tc>
              <w:tc>
                <w:tcPr>
                  <w:tcW w:w="1948" w:type="dxa"/>
                  <w:tcBorders>
                    <w:tl2br w:val="nil"/>
                    <w:tr2bl w:val="nil"/>
                  </w:tcBorders>
                  <w:noWrap w:val="0"/>
                  <w:vAlign w:val="center"/>
                </w:tcPr>
                <w:p w14:paraId="5CE5CDDF">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Ⅲ</w:t>
                  </w:r>
                  <w:r>
                    <w:rPr>
                      <w:rFonts w:hint="eastAsia" w:ascii="Times New Roman" w:hAnsi="Times New Roman" w:cs="Times New Roman"/>
                      <w:color w:val="000000" w:themeColor="text1"/>
                      <w:highlight w:val="none"/>
                      <w:lang w:val="en-US" w:eastAsia="zh-CN" w:bidi="ar-SA"/>
                      <w14:textFill>
                        <w14:solidFill>
                          <w14:schemeClr w14:val="tx1"/>
                        </w14:solidFill>
                      </w14:textFill>
                    </w:rPr>
                    <w:t>类功能区，</w:t>
                  </w:r>
                  <w:r>
                    <w:rPr>
                      <w:rFonts w:hint="default" w:ascii="Times New Roman" w:hAnsi="Times New Roman" w:cs="Times New Roman"/>
                      <w:color w:val="000000" w:themeColor="text1"/>
                      <w:highlight w:val="none"/>
                      <w:lang w:val="en-US" w:eastAsia="zh-CN" w:bidi="ar-SA"/>
                      <w14:textFill>
                        <w14:solidFill>
                          <w14:schemeClr w14:val="tx1"/>
                        </w14:solidFill>
                      </w14:textFill>
                    </w:rPr>
                    <w:t>《地表水环境质量标准》（GB3838-2002）中Ⅲ类标准</w:t>
                  </w:r>
                </w:p>
              </w:tc>
            </w:tr>
            <w:tr w14:paraId="6E58C6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tcBorders>
                    <w:tl2br w:val="nil"/>
                    <w:tr2bl w:val="nil"/>
                  </w:tcBorders>
                  <w:noWrap w:val="0"/>
                  <w:vAlign w:val="center"/>
                </w:tcPr>
                <w:p w14:paraId="5FEAF85C">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声环境</w:t>
                  </w:r>
                </w:p>
              </w:tc>
              <w:tc>
                <w:tcPr>
                  <w:tcW w:w="7582" w:type="dxa"/>
                  <w:gridSpan w:val="6"/>
                  <w:tcBorders>
                    <w:tl2br w:val="nil"/>
                    <w:tr2bl w:val="nil"/>
                  </w:tcBorders>
                  <w:noWrap w:val="0"/>
                  <w:vAlign w:val="center"/>
                </w:tcPr>
                <w:p w14:paraId="01E4C4FD">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项目厂界外周边50 m范围内无声环境保护目标</w:t>
                  </w:r>
                </w:p>
              </w:tc>
            </w:tr>
            <w:tr w14:paraId="67DCED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tcBorders>
                    <w:tl2br w:val="nil"/>
                    <w:tr2bl w:val="nil"/>
                  </w:tcBorders>
                  <w:noWrap w:val="0"/>
                  <w:vAlign w:val="center"/>
                </w:tcPr>
                <w:p w14:paraId="24F5EA24">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地下水</w:t>
                  </w:r>
                </w:p>
              </w:tc>
              <w:tc>
                <w:tcPr>
                  <w:tcW w:w="7582" w:type="dxa"/>
                  <w:gridSpan w:val="6"/>
                  <w:tcBorders>
                    <w:tl2br w:val="nil"/>
                    <w:tr2bl w:val="nil"/>
                  </w:tcBorders>
                  <w:noWrap w:val="0"/>
                  <w:vAlign w:val="center"/>
                </w:tcPr>
                <w:p w14:paraId="00F32206">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SA"/>
                      <w14:textFill>
                        <w14:solidFill>
                          <w14:schemeClr w14:val="tx1"/>
                        </w14:solidFill>
                      </w14:textFill>
                    </w:rPr>
                    <w:t>项目厂界外500米范围内无地下水集中式饮用水水源和热水、矿泉水、温泉等特殊地下水资源</w:t>
                  </w:r>
                </w:p>
              </w:tc>
            </w:tr>
            <w:tr w14:paraId="2D3302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tcBorders>
                    <w:tl2br w:val="nil"/>
                    <w:tr2bl w:val="nil"/>
                  </w:tcBorders>
                  <w:noWrap w:val="0"/>
                  <w:vAlign w:val="center"/>
                </w:tcPr>
                <w:p w14:paraId="32E53B0C">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生态环境</w:t>
                  </w:r>
                </w:p>
              </w:tc>
              <w:tc>
                <w:tcPr>
                  <w:tcW w:w="7582" w:type="dxa"/>
                  <w:gridSpan w:val="6"/>
                  <w:tcBorders>
                    <w:tl2br w:val="nil"/>
                    <w:tr2bl w:val="nil"/>
                  </w:tcBorders>
                  <w:noWrap w:val="0"/>
                  <w:vAlign w:val="center"/>
                </w:tcPr>
                <w:p w14:paraId="0225514F">
                  <w:pPr>
                    <w:pStyle w:val="26"/>
                    <w:bidi w:val="0"/>
                    <w:jc w:val="center"/>
                    <w:rPr>
                      <w:rFonts w:hint="default" w:ascii="Times New Roman" w:hAnsi="Times New Roman" w:eastAsia="宋体" w:cs="Times New Roman"/>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项目位于三明市永安市贡川镇水东工业园区56号</w:t>
                  </w:r>
                  <w:r>
                    <w:rPr>
                      <w:rFonts w:hint="default" w:ascii="Times New Roman" w:hAnsi="Times New Roman" w:eastAsia="宋体" w:cs="Times New Roman"/>
                      <w:color w:val="000000" w:themeColor="text1"/>
                      <w:highlight w:val="none"/>
                      <w:lang w:val="en-US" w:eastAsia="zh-CN" w:bidi="ar-SA"/>
                      <w14:textFill>
                        <w14:solidFill>
                          <w14:schemeClr w14:val="tx1"/>
                        </w14:solidFill>
                      </w14:textFill>
                    </w:rPr>
                    <w:t>，</w:t>
                  </w:r>
                  <w:r>
                    <w:rPr>
                      <w:rFonts w:hint="eastAsia" w:cs="Times New Roman"/>
                      <w:color w:val="000000" w:themeColor="text1"/>
                      <w:highlight w:val="none"/>
                      <w:lang w:val="en-US" w:eastAsia="zh-CN" w:bidi="ar-SA"/>
                      <w14:textFill>
                        <w14:solidFill>
                          <w14:schemeClr w14:val="tx1"/>
                        </w14:solidFill>
                      </w14:textFill>
                    </w:rPr>
                    <w:t>用地范围内</w:t>
                  </w:r>
                  <w:r>
                    <w:rPr>
                      <w:color w:val="000000" w:themeColor="text1"/>
                      <w:highlight w:val="none"/>
                      <w:lang w:val="en-US" w:eastAsia="zh-CN" w:bidi="ar-SA"/>
                      <w14:textFill>
                        <w14:solidFill>
                          <w14:schemeClr w14:val="tx1"/>
                        </w14:solidFill>
                      </w14:textFill>
                    </w:rPr>
                    <w:t>无珍稀濒危物种、自然保护区、风景名胜区等生态</w:t>
                  </w:r>
                  <w:r>
                    <w:rPr>
                      <w:rFonts w:hint="eastAsia"/>
                      <w:color w:val="000000" w:themeColor="text1"/>
                      <w:highlight w:val="none"/>
                      <w:lang w:val="en-US" w:eastAsia="zh-CN" w:bidi="ar-SA"/>
                      <w14:textFill>
                        <w14:solidFill>
                          <w14:schemeClr w14:val="tx1"/>
                        </w14:solidFill>
                      </w14:textFill>
                    </w:rPr>
                    <w:t>环境保护目标</w:t>
                  </w:r>
                </w:p>
              </w:tc>
            </w:tr>
          </w:tbl>
          <w:p w14:paraId="6984FFA9">
            <w:pPr>
              <w:bidi w:val="0"/>
              <w:ind w:left="0" w:leftChars="0" w:firstLine="0" w:firstLineChars="0"/>
              <w:rPr>
                <w:rFonts w:hint="default"/>
                <w:color w:val="000000" w:themeColor="text1"/>
                <w:highlight w:val="none"/>
                <w:lang w:val="en-US" w:eastAsia="zh-CN"/>
                <w14:textFill>
                  <w14:solidFill>
                    <w14:schemeClr w14:val="tx1"/>
                  </w14:solidFill>
                </w14:textFill>
              </w:rPr>
            </w:pPr>
          </w:p>
        </w:tc>
      </w:tr>
      <w:tr w14:paraId="766133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89" w:type="pct"/>
            <w:noWrap w:val="0"/>
            <w:vAlign w:val="center"/>
          </w:tcPr>
          <w:p w14:paraId="5E1E5AA3">
            <w:pPr>
              <w:adjustRightInd w:val="0"/>
              <w:snapToGrid w:val="0"/>
              <w:ind w:left="0" w:leftChars="0" w:firstLine="0" w:firstLineChars="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污染物排放控制标准</w:t>
            </w:r>
          </w:p>
        </w:tc>
        <w:tc>
          <w:tcPr>
            <w:tcW w:w="4610" w:type="pct"/>
            <w:noWrap w:val="0"/>
            <w:vAlign w:val="center"/>
          </w:tcPr>
          <w:p w14:paraId="0A3DDD36">
            <w:pPr>
              <w:pStyle w:val="2"/>
              <w:numPr>
                <w:ilvl w:val="1"/>
                <w:numId w:val="4"/>
              </w:numPr>
              <w:tabs>
                <w:tab w:val="left" w:pos="420"/>
              </w:tabs>
              <w:bidi w:val="0"/>
              <w:rPr>
                <w:rFonts w:hint="default" w:ascii="Times New Roman" w:hAnsi="Times New Roman" w:cs="Times New Roman"/>
                <w:color w:val="000000" w:themeColor="text1"/>
                <w:highlight w:val="none"/>
                <w:lang w:val="en-US" w:eastAsia="zh-CN"/>
                <w14:textFill>
                  <w14:solidFill>
                    <w14:schemeClr w14:val="tx1"/>
                  </w14:solidFill>
                </w14:textFill>
              </w:rPr>
            </w:pPr>
            <w:bookmarkStart w:id="153" w:name="_Toc13774"/>
            <w:r>
              <w:rPr>
                <w:rFonts w:hint="default" w:ascii="Times New Roman" w:hAnsi="Times New Roman" w:cs="Times New Roman"/>
                <w:color w:val="000000" w:themeColor="text1"/>
                <w:highlight w:val="none"/>
                <w:lang w:val="en-US" w:eastAsia="zh-CN"/>
                <w14:textFill>
                  <w14:solidFill>
                    <w14:schemeClr w14:val="tx1"/>
                  </w14:solidFill>
                </w14:textFill>
              </w:rPr>
              <w:t>污染物排放控制标准</w:t>
            </w:r>
            <w:bookmarkEnd w:id="153"/>
          </w:p>
          <w:p w14:paraId="25A6D542">
            <w:pPr>
              <w:pStyle w:val="3"/>
              <w:numPr>
                <w:ilvl w:val="2"/>
                <w:numId w:val="4"/>
              </w:numPr>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大气污染物排放标准</w:t>
            </w:r>
          </w:p>
          <w:p w14:paraId="228877A8">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项目生产过程中产生的污染物主要为颗粒物、沥青烟、苯并[a]芘和非甲烷总烃，其中颗粒物、沥青烟、苯并[a]芘排放执行</w:t>
            </w:r>
            <w:r>
              <w:rPr>
                <w:rFonts w:hint="eastAsia" w:ascii="Times New Roman" w:hAnsi="Times New Roman" w:eastAsia="宋体" w:cs="Times New Roman"/>
                <w:color w:val="000000" w:themeColor="text1"/>
                <w:highlight w:val="none"/>
                <w14:textFill>
                  <w14:solidFill>
                    <w14:schemeClr w14:val="tx1"/>
                  </w14:solidFill>
                </w14:textFill>
              </w:rPr>
              <w:t>《大气污染物综合排放标准》（GB16297-1996）表2中二级标准以及无组织排放</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监控浓度</w:t>
            </w:r>
            <w:r>
              <w:rPr>
                <w:rFonts w:hint="eastAsia" w:ascii="Times New Roman" w:hAnsi="Times New Roman" w:eastAsia="宋体" w:cs="Times New Roman"/>
                <w:color w:val="000000" w:themeColor="text1"/>
                <w:highlight w:val="none"/>
                <w14:textFill>
                  <w14:solidFill>
                    <w14:schemeClr w14:val="tx1"/>
                  </w14:solidFill>
                </w14:textFill>
              </w:rPr>
              <w:t>限值</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非甲烷总烃有组织和无组织排放参照执行</w:t>
            </w:r>
            <w:r>
              <w:rPr>
                <w:rFonts w:hint="eastAsia"/>
                <w:color w:val="000000" w:themeColor="text1"/>
                <w:highlight w:val="none"/>
                <w:lang w:val="en-US" w:eastAsia="zh-CN"/>
                <w14:textFill>
                  <w14:solidFill>
                    <w14:schemeClr w14:val="tx1"/>
                  </w14:solidFill>
                </w14:textFill>
              </w:rPr>
              <w:t>《工业企业挥发性有机物排放标准》（DB35/1782-2018）表1、表2、表3中相应标准限值；非甲烷总烃厂区内任意一次浓度值执行《挥发性有机物无组织排放控制标准》（GB37822-2019）附录A的表A.1的相应规定。排放标准限值详见</w:t>
            </w:r>
            <w:r>
              <w:rPr>
                <w:rFonts w:hint="eastAsia"/>
                <w:color w:val="000000" w:themeColor="text1"/>
                <w:highlight w:val="none"/>
                <w:lang w:val="en-US" w:eastAsia="zh-CN"/>
                <w14:textFill>
                  <w14:solidFill>
                    <w14:schemeClr w14:val="tx1"/>
                  </w14:solidFill>
                </w14:textFill>
              </w:rPr>
              <w:fldChar w:fldCharType="begin"/>
            </w:r>
            <w:r>
              <w:rPr>
                <w:rFonts w:hint="eastAsia"/>
                <w:color w:val="000000" w:themeColor="text1"/>
                <w:highlight w:val="none"/>
                <w:lang w:val="en-US" w:eastAsia="zh-CN"/>
                <w14:textFill>
                  <w14:solidFill>
                    <w14:schemeClr w14:val="tx1"/>
                  </w14:solidFill>
                </w14:textFill>
              </w:rPr>
              <w:instrText xml:space="preserve"> REF _Ref28401 \n \h </w:instrText>
            </w:r>
            <w:r>
              <w:rPr>
                <w:rFonts w:hint="eastAsia"/>
                <w:color w:val="000000" w:themeColor="text1"/>
                <w:highlight w:val="none"/>
                <w:lang w:val="en-US" w:eastAsia="zh-CN"/>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表3.3-1</w:t>
            </w:r>
            <w:r>
              <w:rPr>
                <w:rFonts w:hint="eastAsia"/>
                <w:color w:val="000000" w:themeColor="text1"/>
                <w:highlight w:val="none"/>
                <w:lang w:val="en-US" w:eastAsia="zh-CN"/>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fldChar w:fldCharType="begin"/>
            </w:r>
            <w:r>
              <w:rPr>
                <w:rFonts w:hint="eastAsia"/>
                <w:color w:val="000000" w:themeColor="text1"/>
                <w:highlight w:val="none"/>
                <w:lang w:val="en-US" w:eastAsia="zh-CN"/>
                <w14:textFill>
                  <w14:solidFill>
                    <w14:schemeClr w14:val="tx1"/>
                  </w14:solidFill>
                </w14:textFill>
              </w:rPr>
              <w:instrText xml:space="preserve"> REF _Ref28404 \n \h </w:instrText>
            </w:r>
            <w:r>
              <w:rPr>
                <w:rFonts w:hint="eastAsia"/>
                <w:color w:val="000000" w:themeColor="text1"/>
                <w:highlight w:val="none"/>
                <w:lang w:val="en-US" w:eastAsia="zh-CN"/>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表3.3-2</w:t>
            </w:r>
            <w:r>
              <w:rPr>
                <w:rFonts w:hint="eastAsia"/>
                <w:color w:val="000000" w:themeColor="text1"/>
                <w:highlight w:val="none"/>
                <w:lang w:val="en-US" w:eastAsia="zh-CN"/>
                <w14:textFill>
                  <w14:solidFill>
                    <w14:schemeClr w14:val="tx1"/>
                  </w14:solidFill>
                </w14:textFill>
              </w:rPr>
              <w:fldChar w:fldCharType="end"/>
            </w:r>
            <w:r>
              <w:rPr>
                <w:rFonts w:hint="default" w:ascii="Times New Roman" w:hAnsi="Times New Roman" w:cs="Times New Roman"/>
                <w:color w:val="000000" w:themeColor="text1"/>
                <w:highlight w:val="none"/>
                <w:lang w:val="en-US" w:eastAsia="zh-CN"/>
                <w14:textFill>
                  <w14:solidFill>
                    <w14:schemeClr w14:val="tx1"/>
                  </w14:solidFill>
                </w14:textFill>
              </w:rPr>
              <w:t>。</w:t>
            </w:r>
          </w:p>
          <w:p w14:paraId="1102F636">
            <w:pPr>
              <w:pStyle w:val="30"/>
              <w:bidi w:val="0"/>
              <w:rPr>
                <w:rFonts w:hint="default"/>
                <w:color w:val="000000" w:themeColor="text1"/>
                <w:highlight w:val="none"/>
                <w:lang w:val="en-US" w:eastAsia="zh-CN"/>
                <w14:textFill>
                  <w14:solidFill>
                    <w14:schemeClr w14:val="tx1"/>
                  </w14:solidFill>
                </w14:textFill>
              </w:rPr>
            </w:pPr>
            <w:bookmarkStart w:id="154" w:name="_Ref28401"/>
            <w:r>
              <w:rPr>
                <w:rFonts w:hint="default"/>
                <w:color w:val="000000" w:themeColor="text1"/>
                <w:highlight w:val="none"/>
                <w:lang w:val="en-US" w:eastAsia="zh-CN"/>
                <w14:textFill>
                  <w14:solidFill>
                    <w14:schemeClr w14:val="tx1"/>
                  </w14:solidFill>
                </w14:textFill>
              </w:rPr>
              <w:t>有组织废气排放标准限值</w:t>
            </w:r>
            <w:bookmarkEnd w:id="154"/>
          </w:p>
          <w:tbl>
            <w:tblPr>
              <w:tblStyle w:val="1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22"/>
              <w:gridCol w:w="1868"/>
              <w:gridCol w:w="2739"/>
              <w:gridCol w:w="2117"/>
            </w:tblGrid>
            <w:tr w14:paraId="0703E8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972" w:type="pct"/>
                  <w:vMerge w:val="restart"/>
                  <w:tcBorders>
                    <w:tl2br w:val="nil"/>
                    <w:tr2bl w:val="nil"/>
                  </w:tcBorders>
                  <w:noWrap w:val="0"/>
                  <w:vAlign w:val="center"/>
                </w:tcPr>
                <w:p w14:paraId="53071BF9">
                  <w:pPr>
                    <w:pStyle w:val="26"/>
                    <w:bidi w:val="0"/>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污染物项目</w:t>
                  </w:r>
                </w:p>
              </w:tc>
              <w:tc>
                <w:tcPr>
                  <w:tcW w:w="1119" w:type="pct"/>
                  <w:vMerge w:val="restart"/>
                  <w:tcBorders>
                    <w:tl2br w:val="nil"/>
                    <w:tr2bl w:val="nil"/>
                  </w:tcBorders>
                  <w:noWrap w:val="0"/>
                  <w:vAlign w:val="center"/>
                </w:tcPr>
                <w:p w14:paraId="53BA8BF2">
                  <w:pPr>
                    <w:pStyle w:val="26"/>
                    <w:bidi w:val="0"/>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排放浓度（mg/m</w:t>
                  </w:r>
                  <w:r>
                    <w:rPr>
                      <w:rFonts w:hint="default"/>
                      <w:color w:val="000000" w:themeColor="text1"/>
                      <w:highlight w:val="none"/>
                      <w:vertAlign w:val="superscript"/>
                      <w:lang w:val="en-US" w:eastAsia="zh-CN" w:bidi="ar-SA"/>
                      <w14:textFill>
                        <w14:solidFill>
                          <w14:schemeClr w14:val="tx1"/>
                        </w14:solidFill>
                      </w14:textFill>
                    </w:rPr>
                    <w:t>3</w:t>
                  </w:r>
                  <w:r>
                    <w:rPr>
                      <w:rFonts w:hint="default"/>
                      <w:color w:val="000000" w:themeColor="text1"/>
                      <w:highlight w:val="none"/>
                      <w:lang w:val="en-US" w:eastAsia="zh-CN" w:bidi="ar-SA"/>
                      <w14:textFill>
                        <w14:solidFill>
                          <w14:schemeClr w14:val="tx1"/>
                        </w14:solidFill>
                      </w14:textFill>
                    </w:rPr>
                    <w:t>）</w:t>
                  </w:r>
                </w:p>
              </w:tc>
              <w:tc>
                <w:tcPr>
                  <w:tcW w:w="1641" w:type="pct"/>
                  <w:tcBorders>
                    <w:tl2br w:val="nil"/>
                    <w:tr2bl w:val="nil"/>
                  </w:tcBorders>
                  <w:noWrap w:val="0"/>
                  <w:vAlign w:val="center"/>
                </w:tcPr>
                <w:p w14:paraId="56C7BFBA">
                  <w:pPr>
                    <w:pStyle w:val="26"/>
                    <w:bidi w:val="0"/>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最高允许</w:t>
                  </w:r>
                  <w:r>
                    <w:rPr>
                      <w:rFonts w:hint="default"/>
                      <w:color w:val="000000" w:themeColor="text1"/>
                      <w:highlight w:val="none"/>
                      <w:lang w:val="en-US" w:eastAsia="zh-CN" w:bidi="ar-SA"/>
                      <w14:textFill>
                        <w14:solidFill>
                          <w14:schemeClr w14:val="tx1"/>
                        </w14:solidFill>
                      </w14:textFill>
                    </w:rPr>
                    <w:t>排放速率（kg/h）</w:t>
                  </w:r>
                </w:p>
              </w:tc>
              <w:tc>
                <w:tcPr>
                  <w:tcW w:w="1266" w:type="pct"/>
                  <w:vMerge w:val="restart"/>
                  <w:tcBorders>
                    <w:tl2br w:val="nil"/>
                    <w:tr2bl w:val="nil"/>
                  </w:tcBorders>
                  <w:noWrap w:val="0"/>
                  <w:vAlign w:val="center"/>
                </w:tcPr>
                <w:p w14:paraId="4A5B1D6D">
                  <w:pPr>
                    <w:pStyle w:val="26"/>
                    <w:bidi w:val="0"/>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标准来源</w:t>
                  </w:r>
                </w:p>
              </w:tc>
            </w:tr>
            <w:tr w14:paraId="0296CA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972" w:type="pct"/>
                  <w:vMerge w:val="continue"/>
                  <w:tcBorders>
                    <w:tl2br w:val="nil"/>
                    <w:tr2bl w:val="nil"/>
                  </w:tcBorders>
                  <w:noWrap w:val="0"/>
                  <w:vAlign w:val="center"/>
                </w:tcPr>
                <w:p w14:paraId="552E20A6">
                  <w:pPr>
                    <w:pStyle w:val="26"/>
                    <w:bidi w:val="0"/>
                    <w:rPr>
                      <w:rFonts w:hint="default"/>
                      <w:color w:val="000000" w:themeColor="text1"/>
                      <w:highlight w:val="none"/>
                      <w:lang w:val="en-US" w:eastAsia="zh-CN" w:bidi="ar-SA"/>
                      <w14:textFill>
                        <w14:solidFill>
                          <w14:schemeClr w14:val="tx1"/>
                        </w14:solidFill>
                      </w14:textFill>
                    </w:rPr>
                  </w:pPr>
                </w:p>
              </w:tc>
              <w:tc>
                <w:tcPr>
                  <w:tcW w:w="1119" w:type="pct"/>
                  <w:vMerge w:val="continue"/>
                  <w:tcBorders>
                    <w:tl2br w:val="nil"/>
                    <w:tr2bl w:val="nil"/>
                  </w:tcBorders>
                  <w:noWrap w:val="0"/>
                  <w:vAlign w:val="center"/>
                </w:tcPr>
                <w:p w14:paraId="515C93A9">
                  <w:pPr>
                    <w:pStyle w:val="26"/>
                    <w:bidi w:val="0"/>
                    <w:rPr>
                      <w:rFonts w:hint="default"/>
                      <w:color w:val="000000" w:themeColor="text1"/>
                      <w:highlight w:val="none"/>
                      <w:lang w:val="en-US" w:eastAsia="zh-CN" w:bidi="ar-SA"/>
                      <w14:textFill>
                        <w14:solidFill>
                          <w14:schemeClr w14:val="tx1"/>
                        </w14:solidFill>
                      </w14:textFill>
                    </w:rPr>
                  </w:pPr>
                </w:p>
              </w:tc>
              <w:tc>
                <w:tcPr>
                  <w:tcW w:w="1641" w:type="pct"/>
                  <w:tcBorders>
                    <w:tl2br w:val="nil"/>
                    <w:tr2bl w:val="nil"/>
                  </w:tcBorders>
                  <w:noWrap w:val="0"/>
                  <w:vAlign w:val="center"/>
                </w:tcPr>
                <w:p w14:paraId="6BADCFFE">
                  <w:pPr>
                    <w:pStyle w:val="26"/>
                    <w:bidi w:val="0"/>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15 m高排气筒</w:t>
                  </w:r>
                </w:p>
              </w:tc>
              <w:tc>
                <w:tcPr>
                  <w:tcW w:w="1266" w:type="pct"/>
                  <w:vMerge w:val="continue"/>
                  <w:tcBorders>
                    <w:tl2br w:val="nil"/>
                    <w:tr2bl w:val="nil"/>
                  </w:tcBorders>
                  <w:noWrap w:val="0"/>
                  <w:vAlign w:val="center"/>
                </w:tcPr>
                <w:p w14:paraId="233F700A">
                  <w:pPr>
                    <w:pStyle w:val="26"/>
                    <w:bidi w:val="0"/>
                    <w:rPr>
                      <w:rFonts w:hint="default"/>
                      <w:color w:val="000000" w:themeColor="text1"/>
                      <w:highlight w:val="none"/>
                      <w:lang w:val="en-US" w:eastAsia="zh-CN" w:bidi="ar-SA"/>
                      <w14:textFill>
                        <w14:solidFill>
                          <w14:schemeClr w14:val="tx1"/>
                        </w14:solidFill>
                      </w14:textFill>
                    </w:rPr>
                  </w:pPr>
                </w:p>
              </w:tc>
            </w:tr>
            <w:tr w14:paraId="6788E7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972" w:type="pct"/>
                  <w:tcBorders>
                    <w:tl2br w:val="nil"/>
                    <w:tr2bl w:val="nil"/>
                  </w:tcBorders>
                  <w:noWrap w:val="0"/>
                  <w:vAlign w:val="center"/>
                </w:tcPr>
                <w:p w14:paraId="56A00CA1">
                  <w:pPr>
                    <w:pStyle w:val="26"/>
                    <w:bidi w:val="0"/>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颗粒物</w:t>
                  </w:r>
                </w:p>
              </w:tc>
              <w:tc>
                <w:tcPr>
                  <w:tcW w:w="1119" w:type="pct"/>
                  <w:tcBorders>
                    <w:tl2br w:val="nil"/>
                    <w:tr2bl w:val="nil"/>
                  </w:tcBorders>
                  <w:noWrap w:val="0"/>
                  <w:vAlign w:val="center"/>
                </w:tcPr>
                <w:p w14:paraId="27B7028F">
                  <w:pPr>
                    <w:pStyle w:val="26"/>
                    <w:bidi w:val="0"/>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120*</w:t>
                  </w:r>
                </w:p>
              </w:tc>
              <w:tc>
                <w:tcPr>
                  <w:tcW w:w="1641" w:type="pct"/>
                  <w:tcBorders>
                    <w:tl2br w:val="nil"/>
                    <w:tr2bl w:val="nil"/>
                  </w:tcBorders>
                  <w:noWrap w:val="0"/>
                  <w:vAlign w:val="center"/>
                </w:tcPr>
                <w:p w14:paraId="4C24BC78">
                  <w:pPr>
                    <w:pStyle w:val="26"/>
                    <w:bidi w:val="0"/>
                    <w:ind w:firstLine="0" w:firstLineChars="0"/>
                    <w:jc w:val="center"/>
                    <w:rPr>
                      <w:rFonts w:hint="default"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t>3.5</w:t>
                  </w:r>
                </w:p>
              </w:tc>
              <w:tc>
                <w:tcPr>
                  <w:tcW w:w="1266" w:type="pct"/>
                  <w:vMerge w:val="restart"/>
                  <w:tcBorders>
                    <w:tl2br w:val="nil"/>
                    <w:tr2bl w:val="nil"/>
                  </w:tcBorders>
                  <w:noWrap w:val="0"/>
                  <w:vAlign w:val="center"/>
                </w:tcPr>
                <w:p w14:paraId="3BC99DB9">
                  <w:pPr>
                    <w:pStyle w:val="26"/>
                    <w:bidi w:val="0"/>
                    <w:rPr>
                      <w:rFonts w:hint="default"/>
                      <w:color w:val="000000" w:themeColor="text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highlight w:val="none"/>
                      <w:lang w:val="en-US" w:eastAsia="zh-CN" w:bidi="ar-SA"/>
                      <w14:textFill>
                        <w14:solidFill>
                          <w14:schemeClr w14:val="tx1"/>
                        </w14:solidFill>
                      </w14:textFill>
                    </w:rPr>
                    <w:t>GB16297-1996</w:t>
                  </w:r>
                </w:p>
              </w:tc>
            </w:tr>
            <w:tr w14:paraId="3C26A4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972" w:type="pct"/>
                  <w:tcBorders>
                    <w:tl2br w:val="nil"/>
                    <w:tr2bl w:val="nil"/>
                  </w:tcBorders>
                  <w:noWrap w:val="0"/>
                  <w:vAlign w:val="center"/>
                </w:tcPr>
                <w:p w14:paraId="0B103FBF">
                  <w:pPr>
                    <w:pStyle w:val="26"/>
                    <w:bidi w:val="0"/>
                    <w:ind w:firstLine="0" w:firstLineChars="0"/>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沥青烟</w:t>
                  </w:r>
                </w:p>
              </w:tc>
              <w:tc>
                <w:tcPr>
                  <w:tcW w:w="1119" w:type="pct"/>
                  <w:tcBorders>
                    <w:tl2br w:val="nil"/>
                    <w:tr2bl w:val="nil"/>
                  </w:tcBorders>
                  <w:noWrap w:val="0"/>
                  <w:vAlign w:val="center"/>
                </w:tcPr>
                <w:p w14:paraId="1AD7D325">
                  <w:pPr>
                    <w:pStyle w:val="26"/>
                    <w:bidi w:val="0"/>
                    <w:ind w:firstLine="0" w:firstLineChars="0"/>
                    <w:rPr>
                      <w:rFonts w:hint="default"/>
                      <w:color w:val="000000" w:themeColor="text1"/>
                      <w:sz w:val="21"/>
                      <w:szCs w:val="22"/>
                      <w:highlight w:val="none"/>
                      <w:lang w:val="en-US" w:eastAsia="zh-CN" w:bidi="ar-SA"/>
                      <w14:textFill>
                        <w14:solidFill>
                          <w14:schemeClr w14:val="tx1"/>
                        </w14:solidFill>
                      </w14:textFill>
                    </w:rPr>
                  </w:pPr>
                  <w:r>
                    <w:rPr>
                      <w:rFonts w:hint="eastAsia"/>
                      <w:color w:val="000000" w:themeColor="text1"/>
                      <w:sz w:val="21"/>
                      <w:szCs w:val="22"/>
                      <w:highlight w:val="none"/>
                      <w:lang w:val="en-US" w:eastAsia="zh-CN" w:bidi="ar-SA"/>
                      <w14:textFill>
                        <w14:solidFill>
                          <w14:schemeClr w14:val="tx1"/>
                        </w14:solidFill>
                      </w14:textFill>
                    </w:rPr>
                    <w:t>75</w:t>
                  </w:r>
                </w:p>
              </w:tc>
              <w:tc>
                <w:tcPr>
                  <w:tcW w:w="1641" w:type="pct"/>
                  <w:tcBorders>
                    <w:tl2br w:val="nil"/>
                    <w:tr2bl w:val="nil"/>
                  </w:tcBorders>
                  <w:noWrap w:val="0"/>
                  <w:vAlign w:val="center"/>
                </w:tcPr>
                <w:p w14:paraId="1E251991">
                  <w:pPr>
                    <w:pStyle w:val="26"/>
                    <w:bidi w:val="0"/>
                    <w:ind w:firstLine="0" w:firstLineChars="0"/>
                    <w:jc w:val="center"/>
                    <w:rPr>
                      <w:rFonts w:hint="default"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t>0.18</w:t>
                  </w:r>
                </w:p>
              </w:tc>
              <w:tc>
                <w:tcPr>
                  <w:tcW w:w="1266" w:type="pct"/>
                  <w:vMerge w:val="continue"/>
                  <w:tcBorders>
                    <w:tl2br w:val="nil"/>
                    <w:tr2bl w:val="nil"/>
                  </w:tcBorders>
                  <w:noWrap w:val="0"/>
                  <w:vAlign w:val="center"/>
                </w:tcPr>
                <w:p w14:paraId="725E4BDB">
                  <w:pPr>
                    <w:pStyle w:val="26"/>
                    <w:bidi w:val="0"/>
                    <w:rPr>
                      <w:rFonts w:hint="default"/>
                      <w:color w:val="000000" w:themeColor="text1"/>
                      <w:highlight w:val="none"/>
                      <w:lang w:val="en-US" w:eastAsia="zh-CN" w:bidi="ar-SA"/>
                      <w14:textFill>
                        <w14:solidFill>
                          <w14:schemeClr w14:val="tx1"/>
                        </w14:solidFill>
                      </w14:textFill>
                    </w:rPr>
                  </w:pPr>
                </w:p>
              </w:tc>
            </w:tr>
            <w:tr w14:paraId="2A3273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trPr>
              <w:tc>
                <w:tcPr>
                  <w:tcW w:w="972" w:type="pct"/>
                  <w:tcBorders>
                    <w:tl2br w:val="nil"/>
                    <w:tr2bl w:val="nil"/>
                  </w:tcBorders>
                  <w:noWrap w:val="0"/>
                  <w:vAlign w:val="center"/>
                </w:tcPr>
                <w:p w14:paraId="60591BD2">
                  <w:pPr>
                    <w:pStyle w:val="26"/>
                    <w:bidi w:val="0"/>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苯并[a]芘</w:t>
                  </w:r>
                </w:p>
              </w:tc>
              <w:tc>
                <w:tcPr>
                  <w:tcW w:w="1119" w:type="pct"/>
                  <w:tcBorders>
                    <w:tl2br w:val="nil"/>
                    <w:tr2bl w:val="nil"/>
                  </w:tcBorders>
                  <w:noWrap w:val="0"/>
                  <w:vAlign w:val="center"/>
                </w:tcPr>
                <w:p w14:paraId="731A66D1">
                  <w:pPr>
                    <w:pStyle w:val="26"/>
                    <w:bidi w:val="0"/>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0.0003</w:t>
                  </w:r>
                </w:p>
              </w:tc>
              <w:tc>
                <w:tcPr>
                  <w:tcW w:w="1641" w:type="pct"/>
                  <w:tcBorders>
                    <w:tl2br w:val="nil"/>
                    <w:tr2bl w:val="nil"/>
                  </w:tcBorders>
                  <w:noWrap w:val="0"/>
                  <w:vAlign w:val="center"/>
                </w:tcPr>
                <w:p w14:paraId="75A9967D">
                  <w:pPr>
                    <w:pStyle w:val="26"/>
                    <w:bidi w:val="0"/>
                    <w:ind w:firstLine="0" w:firstLineChars="0"/>
                    <w:jc w:val="center"/>
                    <w:rPr>
                      <w:rFonts w:hint="default"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t>0.050</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superscript"/>
                      <w:lang w:val="en-US" w:eastAsia="zh-CN" w:bidi="ar-SA"/>
                      <w14:textFill>
                        <w14:solidFill>
                          <w14:schemeClr w14:val="tx1"/>
                        </w14:solidFill>
                      </w14:textFill>
                    </w:rPr>
                    <w:t>-3</w:t>
                  </w:r>
                </w:p>
              </w:tc>
              <w:tc>
                <w:tcPr>
                  <w:tcW w:w="1266" w:type="pct"/>
                  <w:vMerge w:val="continue"/>
                  <w:tcBorders>
                    <w:tl2br w:val="nil"/>
                    <w:tr2bl w:val="nil"/>
                  </w:tcBorders>
                  <w:noWrap w:val="0"/>
                  <w:vAlign w:val="center"/>
                </w:tcPr>
                <w:p w14:paraId="6F7CB158">
                  <w:pPr>
                    <w:pStyle w:val="26"/>
                    <w:bidi w:val="0"/>
                    <w:rPr>
                      <w:rFonts w:hint="default"/>
                      <w:color w:val="000000" w:themeColor="text1"/>
                      <w:highlight w:val="none"/>
                      <w:lang w:val="en-US" w:eastAsia="zh-CN" w:bidi="ar-SA"/>
                      <w14:textFill>
                        <w14:solidFill>
                          <w14:schemeClr w14:val="tx1"/>
                        </w14:solidFill>
                      </w14:textFill>
                    </w:rPr>
                  </w:pPr>
                </w:p>
              </w:tc>
            </w:tr>
            <w:tr w14:paraId="0675CB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972" w:type="pct"/>
                  <w:tcBorders>
                    <w:tl2br w:val="nil"/>
                    <w:tr2bl w:val="nil"/>
                  </w:tcBorders>
                  <w:noWrap w:val="0"/>
                  <w:vAlign w:val="center"/>
                </w:tcPr>
                <w:p w14:paraId="1F53AA22">
                  <w:pPr>
                    <w:pStyle w:val="26"/>
                    <w:bidi w:val="0"/>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非甲烷总烃</w:t>
                  </w:r>
                </w:p>
              </w:tc>
              <w:tc>
                <w:tcPr>
                  <w:tcW w:w="1119" w:type="pct"/>
                  <w:tcBorders>
                    <w:tl2br w:val="nil"/>
                    <w:tr2bl w:val="nil"/>
                  </w:tcBorders>
                  <w:noWrap w:val="0"/>
                  <w:vAlign w:val="center"/>
                </w:tcPr>
                <w:p w14:paraId="68CB6317">
                  <w:pPr>
                    <w:pStyle w:val="26"/>
                    <w:bidi w:val="0"/>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100</w:t>
                  </w:r>
                </w:p>
              </w:tc>
              <w:tc>
                <w:tcPr>
                  <w:tcW w:w="1641" w:type="pct"/>
                  <w:tcBorders>
                    <w:tl2br w:val="nil"/>
                    <w:tr2bl w:val="nil"/>
                  </w:tcBorders>
                  <w:noWrap w:val="0"/>
                  <w:vAlign w:val="center"/>
                </w:tcPr>
                <w:p w14:paraId="0CF3C1CD">
                  <w:pPr>
                    <w:pStyle w:val="26"/>
                    <w:bidi w:val="0"/>
                    <w:ind w:firstLine="0" w:firstLineChars="0"/>
                    <w:jc w:val="center"/>
                    <w:rPr>
                      <w:rFonts w:hint="default"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t>1.8</w:t>
                  </w:r>
                </w:p>
              </w:tc>
              <w:tc>
                <w:tcPr>
                  <w:tcW w:w="1266" w:type="pct"/>
                  <w:tcBorders>
                    <w:tl2br w:val="nil"/>
                    <w:tr2bl w:val="nil"/>
                  </w:tcBorders>
                  <w:noWrap w:val="0"/>
                  <w:vAlign w:val="center"/>
                </w:tcPr>
                <w:p w14:paraId="04BF031E">
                  <w:pPr>
                    <w:pStyle w:val="26"/>
                    <w:bidi w:val="0"/>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DB35/1782-2018</w:t>
                  </w:r>
                </w:p>
              </w:tc>
            </w:tr>
            <w:tr w14:paraId="35E949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5000" w:type="pct"/>
                  <w:gridSpan w:val="4"/>
                  <w:tcBorders>
                    <w:tl2br w:val="nil"/>
                    <w:tr2bl w:val="nil"/>
                  </w:tcBorders>
                  <w:noWrap w:val="0"/>
                  <w:vAlign w:val="center"/>
                </w:tcPr>
                <w:p w14:paraId="43A4CAC0">
                  <w:pPr>
                    <w:pStyle w:val="26"/>
                    <w:bidi w:val="0"/>
                    <w:jc w:val="left"/>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注：*本项目在硅碳负极材料生产过程中均采取氮气（惰性气体）进行保护，严格控制硅粉氧化，确保二氧化硅含量＜1%。</w:t>
                  </w:r>
                </w:p>
              </w:tc>
            </w:tr>
          </w:tbl>
          <w:p w14:paraId="375702B6">
            <w:pPr>
              <w:pStyle w:val="30"/>
              <w:bidi w:val="0"/>
              <w:rPr>
                <w:rFonts w:hint="default"/>
                <w:color w:val="000000" w:themeColor="text1"/>
                <w:highlight w:val="none"/>
                <w:lang w:val="en-US" w:eastAsia="zh-CN"/>
                <w14:textFill>
                  <w14:solidFill>
                    <w14:schemeClr w14:val="tx1"/>
                  </w14:solidFill>
                </w14:textFill>
              </w:rPr>
            </w:pPr>
            <w:bookmarkStart w:id="155" w:name="_Ref28404"/>
            <w:r>
              <w:rPr>
                <w:rFonts w:hint="default"/>
                <w:color w:val="000000" w:themeColor="text1"/>
                <w:highlight w:val="none"/>
                <w:lang w:val="en-US" w:eastAsia="zh-CN"/>
                <w14:textFill>
                  <w14:solidFill>
                    <w14:schemeClr w14:val="tx1"/>
                  </w14:solidFill>
                </w14:textFill>
              </w:rPr>
              <w:t>无组织排放浓度限值</w:t>
            </w:r>
            <w:bookmarkEnd w:id="155"/>
          </w:p>
          <w:tbl>
            <w:tblPr>
              <w:tblStyle w:val="1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1752"/>
              <w:gridCol w:w="1723"/>
              <w:gridCol w:w="2485"/>
              <w:gridCol w:w="1693"/>
            </w:tblGrid>
            <w:tr w14:paraId="555DE6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15" w:type="pct"/>
                  <w:tcBorders>
                    <w:tl2br w:val="nil"/>
                    <w:tr2bl w:val="nil"/>
                  </w:tcBorders>
                  <w:noWrap w:val="0"/>
                  <w:vAlign w:val="center"/>
                </w:tcPr>
                <w:p w14:paraId="23010D93">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序号</w:t>
                  </w:r>
                </w:p>
              </w:tc>
              <w:tc>
                <w:tcPr>
                  <w:tcW w:w="1049" w:type="pct"/>
                  <w:tcBorders>
                    <w:tl2br w:val="nil"/>
                    <w:tr2bl w:val="nil"/>
                  </w:tcBorders>
                  <w:noWrap w:val="0"/>
                  <w:vAlign w:val="center"/>
                </w:tcPr>
                <w:p w14:paraId="2496D349">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监控点</w:t>
                  </w:r>
                </w:p>
              </w:tc>
              <w:tc>
                <w:tcPr>
                  <w:tcW w:w="1032" w:type="pct"/>
                  <w:tcBorders>
                    <w:tl2br w:val="nil"/>
                    <w:tr2bl w:val="nil"/>
                  </w:tcBorders>
                  <w:noWrap w:val="0"/>
                  <w:vAlign w:val="center"/>
                </w:tcPr>
                <w:p w14:paraId="55D0F555">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污染物</w:t>
                  </w: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项目</w:t>
                  </w:r>
                </w:p>
              </w:tc>
              <w:tc>
                <w:tcPr>
                  <w:tcW w:w="1488" w:type="pct"/>
                  <w:tcBorders>
                    <w:tl2br w:val="nil"/>
                    <w:tr2bl w:val="nil"/>
                  </w:tcBorders>
                  <w:noWrap w:val="0"/>
                  <w:vAlign w:val="center"/>
                </w:tcPr>
                <w:p w14:paraId="0F403AA9">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排放浓度限值（mg/m</w:t>
                  </w:r>
                  <w:r>
                    <w:rPr>
                      <w:rFonts w:hint="default" w:ascii="Times New Roman" w:hAnsi="Times New Roman" w:cs="Times New Roman"/>
                      <w:color w:val="000000" w:themeColor="text1"/>
                      <w:sz w:val="21"/>
                      <w:szCs w:val="21"/>
                      <w:highlight w:val="none"/>
                      <w:vertAlign w:val="superscript"/>
                      <w:lang w:val="en-US" w:eastAsia="zh-CN" w:bidi="ar-SA"/>
                      <w14:textFill>
                        <w14:solidFill>
                          <w14:schemeClr w14:val="tx1"/>
                        </w14:solidFill>
                      </w14:textFill>
                    </w:rPr>
                    <w:t>3</w:t>
                  </w: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w:t>
                  </w:r>
                </w:p>
              </w:tc>
              <w:tc>
                <w:tcPr>
                  <w:tcW w:w="1014" w:type="pct"/>
                  <w:tcBorders>
                    <w:tl2br w:val="nil"/>
                    <w:tr2bl w:val="nil"/>
                  </w:tcBorders>
                  <w:noWrap w:val="0"/>
                  <w:vAlign w:val="center"/>
                </w:tcPr>
                <w:p w14:paraId="61C505BE">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标准来源</w:t>
                  </w:r>
                </w:p>
              </w:tc>
            </w:tr>
            <w:tr w14:paraId="01C1FE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15" w:type="pct"/>
                  <w:vMerge w:val="restart"/>
                  <w:tcBorders>
                    <w:tl2br w:val="nil"/>
                    <w:tr2bl w:val="nil"/>
                  </w:tcBorders>
                  <w:noWrap w:val="0"/>
                  <w:vAlign w:val="center"/>
                </w:tcPr>
                <w:p w14:paraId="214F9CC3">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1</w:t>
                  </w:r>
                </w:p>
              </w:tc>
              <w:tc>
                <w:tcPr>
                  <w:tcW w:w="1049" w:type="pct"/>
                  <w:vMerge w:val="restart"/>
                  <w:tcBorders>
                    <w:tl2br w:val="nil"/>
                    <w:tr2bl w:val="nil"/>
                  </w:tcBorders>
                  <w:noWrap w:val="0"/>
                  <w:vAlign w:val="center"/>
                </w:tcPr>
                <w:p w14:paraId="7B876F20">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企业边界监控点</w:t>
                  </w:r>
                </w:p>
              </w:tc>
              <w:tc>
                <w:tcPr>
                  <w:tcW w:w="1032" w:type="pct"/>
                  <w:tcBorders>
                    <w:tl2br w:val="nil"/>
                    <w:tr2bl w:val="nil"/>
                  </w:tcBorders>
                  <w:noWrap w:val="0"/>
                  <w:vAlign w:val="center"/>
                </w:tcPr>
                <w:p w14:paraId="319E4727">
                  <w:pPr>
                    <w:pStyle w:val="26"/>
                    <w:bidi w:val="0"/>
                    <w:ind w:firstLine="0" w:firstLineChars="0"/>
                    <w:rPr>
                      <w:rFonts w:hint="default"/>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颗粒物</w:t>
                  </w:r>
                </w:p>
              </w:tc>
              <w:tc>
                <w:tcPr>
                  <w:tcW w:w="1488" w:type="pct"/>
                  <w:tcBorders>
                    <w:tl2br w:val="nil"/>
                    <w:tr2bl w:val="nil"/>
                  </w:tcBorders>
                  <w:noWrap w:val="0"/>
                  <w:vAlign w:val="center"/>
                </w:tcPr>
                <w:p w14:paraId="49829F56">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eastAsia="宋体" w:cs="Times New Roman"/>
                      <w:color w:val="000000" w:themeColor="text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highlight w:val="none"/>
                      <w:lang w:val="en-US" w:eastAsia="zh-CN" w:bidi="ar-SA"/>
                      <w14:textFill>
                        <w14:solidFill>
                          <w14:schemeClr w14:val="tx1"/>
                        </w14:solidFill>
                      </w14:textFill>
                    </w:rPr>
                    <w:t>1.0</w:t>
                  </w:r>
                </w:p>
              </w:tc>
              <w:tc>
                <w:tcPr>
                  <w:tcW w:w="1014" w:type="pct"/>
                  <w:vMerge w:val="restart"/>
                  <w:tcBorders>
                    <w:tl2br w:val="nil"/>
                    <w:tr2bl w:val="nil"/>
                  </w:tcBorders>
                  <w:noWrap w:val="0"/>
                  <w:vAlign w:val="center"/>
                </w:tcPr>
                <w:p w14:paraId="538904F0">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highlight w:val="none"/>
                      <w:lang w:val="en-US" w:eastAsia="zh-CN" w:bidi="ar-SA"/>
                      <w14:textFill>
                        <w14:solidFill>
                          <w14:schemeClr w14:val="tx1"/>
                        </w14:solidFill>
                      </w14:textFill>
                    </w:rPr>
                    <w:t>GB16297-1996</w:t>
                  </w:r>
                </w:p>
              </w:tc>
            </w:tr>
            <w:tr w14:paraId="21C7DF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15" w:type="pct"/>
                  <w:vMerge w:val="continue"/>
                  <w:tcBorders>
                    <w:tl2br w:val="nil"/>
                    <w:tr2bl w:val="nil"/>
                  </w:tcBorders>
                  <w:noWrap w:val="0"/>
                  <w:vAlign w:val="center"/>
                </w:tcPr>
                <w:p w14:paraId="193A1DF7">
                  <w:pPr>
                    <w:pStyle w:val="26"/>
                    <w:keepNext w:val="0"/>
                    <w:keepLines w:val="0"/>
                    <w:widowControl w:val="0"/>
                    <w:suppressLineNumbers w:val="0"/>
                    <w:bidi w:val="0"/>
                    <w:spacing w:before="0" w:beforeAutospacing="0" w:after="0" w:afterAutospacing="0" w:line="240" w:lineRule="auto"/>
                    <w:ind w:right="0"/>
                    <w:jc w:val="cente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pPr>
                </w:p>
              </w:tc>
              <w:tc>
                <w:tcPr>
                  <w:tcW w:w="1049" w:type="pct"/>
                  <w:vMerge w:val="continue"/>
                  <w:tcBorders>
                    <w:tl2br w:val="nil"/>
                    <w:tr2bl w:val="nil"/>
                  </w:tcBorders>
                  <w:noWrap w:val="0"/>
                  <w:vAlign w:val="center"/>
                </w:tcPr>
                <w:p w14:paraId="6435B06B">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1032" w:type="pct"/>
                  <w:tcBorders>
                    <w:tl2br w:val="nil"/>
                    <w:tr2bl w:val="nil"/>
                  </w:tcBorders>
                  <w:noWrap w:val="0"/>
                  <w:vAlign w:val="center"/>
                </w:tcPr>
                <w:p w14:paraId="0C91A35A">
                  <w:pPr>
                    <w:pStyle w:val="26"/>
                    <w:bidi w:val="0"/>
                    <w:ind w:firstLine="0" w:firstLineChars="0"/>
                    <w:rPr>
                      <w:rFonts w:hint="default"/>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沥青烟</w:t>
                  </w:r>
                </w:p>
              </w:tc>
              <w:tc>
                <w:tcPr>
                  <w:tcW w:w="1488" w:type="pct"/>
                  <w:tcBorders>
                    <w:tl2br w:val="nil"/>
                    <w:tr2bl w:val="nil"/>
                  </w:tcBorders>
                  <w:noWrap w:val="0"/>
                  <w:vAlign w:val="center"/>
                </w:tcPr>
                <w:p w14:paraId="3652F3CF">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生产设备不得有明显的无组织排放存在</w:t>
                  </w:r>
                </w:p>
              </w:tc>
              <w:tc>
                <w:tcPr>
                  <w:tcW w:w="1014" w:type="pct"/>
                  <w:vMerge w:val="continue"/>
                  <w:tcBorders>
                    <w:tl2br w:val="nil"/>
                    <w:tr2bl w:val="nil"/>
                  </w:tcBorders>
                  <w:noWrap w:val="0"/>
                  <w:vAlign w:val="center"/>
                </w:tcPr>
                <w:p w14:paraId="30E6E865">
                  <w:pPr>
                    <w:pStyle w:val="26"/>
                    <w:keepNext w:val="0"/>
                    <w:keepLines w:val="0"/>
                    <w:widowControl w:val="0"/>
                    <w:suppressLineNumbers w:val="0"/>
                    <w:bidi w:val="0"/>
                    <w:spacing w:before="0" w:beforeAutospacing="0" w:after="0" w:afterAutospacing="0" w:line="240" w:lineRule="auto"/>
                    <w:ind w:right="0"/>
                    <w:jc w:val="center"/>
                    <w:rPr>
                      <w:rFonts w:hint="default"/>
                      <w:color w:val="000000" w:themeColor="text1"/>
                      <w:highlight w:val="none"/>
                      <w:lang w:val="en-US" w:eastAsia="zh-CN" w:bidi="ar-SA"/>
                      <w14:textFill>
                        <w14:solidFill>
                          <w14:schemeClr w14:val="tx1"/>
                        </w14:solidFill>
                      </w14:textFill>
                    </w:rPr>
                  </w:pPr>
                </w:p>
              </w:tc>
            </w:tr>
            <w:tr w14:paraId="735235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15" w:type="pct"/>
                  <w:vMerge w:val="continue"/>
                  <w:tcBorders>
                    <w:tl2br w:val="nil"/>
                    <w:tr2bl w:val="nil"/>
                  </w:tcBorders>
                  <w:noWrap w:val="0"/>
                  <w:vAlign w:val="center"/>
                </w:tcPr>
                <w:p w14:paraId="51F0E3FC">
                  <w:pPr>
                    <w:pStyle w:val="26"/>
                    <w:keepNext w:val="0"/>
                    <w:keepLines w:val="0"/>
                    <w:widowControl w:val="0"/>
                    <w:suppressLineNumbers w:val="0"/>
                    <w:bidi w:val="0"/>
                    <w:spacing w:before="0" w:beforeAutospacing="0" w:after="0" w:afterAutospacing="0" w:line="240" w:lineRule="auto"/>
                    <w:ind w:right="0"/>
                    <w:jc w:val="cente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pPr>
                </w:p>
              </w:tc>
              <w:tc>
                <w:tcPr>
                  <w:tcW w:w="1049" w:type="pct"/>
                  <w:vMerge w:val="continue"/>
                  <w:tcBorders>
                    <w:tl2br w:val="nil"/>
                    <w:tr2bl w:val="nil"/>
                  </w:tcBorders>
                  <w:noWrap w:val="0"/>
                  <w:vAlign w:val="center"/>
                </w:tcPr>
                <w:p w14:paraId="25E66218">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1032" w:type="pct"/>
                  <w:tcBorders>
                    <w:tl2br w:val="nil"/>
                    <w:tr2bl w:val="nil"/>
                  </w:tcBorders>
                  <w:noWrap w:val="0"/>
                  <w:vAlign w:val="center"/>
                </w:tcPr>
                <w:p w14:paraId="30FF27CD">
                  <w:pPr>
                    <w:pStyle w:val="26"/>
                    <w:bidi w:val="0"/>
                    <w:ind w:firstLine="0" w:firstLineChars="0"/>
                    <w:rPr>
                      <w:rFonts w:hint="default"/>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苯并[a]芘</w:t>
                  </w:r>
                </w:p>
              </w:tc>
              <w:tc>
                <w:tcPr>
                  <w:tcW w:w="1488" w:type="pct"/>
                  <w:tcBorders>
                    <w:tl2br w:val="nil"/>
                    <w:tr2bl w:val="nil"/>
                  </w:tcBorders>
                  <w:noWrap w:val="0"/>
                  <w:vAlign w:val="center"/>
                </w:tcPr>
                <w:p w14:paraId="255D9909">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0.008</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superscript"/>
                      <w:lang w:val="en-US" w:eastAsia="zh-CN" w:bidi="ar-SA"/>
                      <w14:textFill>
                        <w14:solidFill>
                          <w14:schemeClr w14:val="tx1"/>
                        </w14:solidFill>
                      </w14:textFill>
                    </w:rPr>
                    <w:t>-3</w:t>
                  </w:r>
                </w:p>
              </w:tc>
              <w:tc>
                <w:tcPr>
                  <w:tcW w:w="1014" w:type="pct"/>
                  <w:vMerge w:val="continue"/>
                  <w:tcBorders>
                    <w:tl2br w:val="nil"/>
                    <w:tr2bl w:val="nil"/>
                  </w:tcBorders>
                  <w:noWrap w:val="0"/>
                  <w:vAlign w:val="center"/>
                </w:tcPr>
                <w:p w14:paraId="3595DCA7">
                  <w:pPr>
                    <w:pStyle w:val="26"/>
                    <w:keepNext w:val="0"/>
                    <w:keepLines w:val="0"/>
                    <w:widowControl w:val="0"/>
                    <w:suppressLineNumbers w:val="0"/>
                    <w:bidi w:val="0"/>
                    <w:spacing w:before="0" w:beforeAutospacing="0" w:after="0" w:afterAutospacing="0" w:line="240" w:lineRule="auto"/>
                    <w:ind w:right="0"/>
                    <w:jc w:val="center"/>
                    <w:rPr>
                      <w:rFonts w:hint="default"/>
                      <w:color w:val="000000" w:themeColor="text1"/>
                      <w:highlight w:val="none"/>
                      <w:lang w:val="en-US" w:eastAsia="zh-CN" w:bidi="ar-SA"/>
                      <w14:textFill>
                        <w14:solidFill>
                          <w14:schemeClr w14:val="tx1"/>
                        </w14:solidFill>
                      </w14:textFill>
                    </w:rPr>
                  </w:pPr>
                </w:p>
              </w:tc>
            </w:tr>
            <w:tr w14:paraId="3C1F67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15" w:type="pct"/>
                  <w:vMerge w:val="continue"/>
                  <w:tcBorders>
                    <w:tl2br w:val="nil"/>
                    <w:tr2bl w:val="nil"/>
                  </w:tcBorders>
                  <w:noWrap w:val="0"/>
                  <w:vAlign w:val="center"/>
                </w:tcPr>
                <w:p w14:paraId="1E0AD5DF">
                  <w:pPr>
                    <w:pStyle w:val="26"/>
                    <w:keepNext w:val="0"/>
                    <w:keepLines w:val="0"/>
                    <w:widowControl w:val="0"/>
                    <w:suppressLineNumbers w:val="0"/>
                    <w:bidi w:val="0"/>
                    <w:spacing w:before="0" w:beforeAutospacing="0" w:after="0" w:afterAutospacing="0" w:line="240" w:lineRule="auto"/>
                    <w:ind w:right="0"/>
                    <w:jc w:val="cente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pPr>
                </w:p>
              </w:tc>
              <w:tc>
                <w:tcPr>
                  <w:tcW w:w="1049" w:type="pct"/>
                  <w:vMerge w:val="continue"/>
                  <w:tcBorders>
                    <w:tl2br w:val="nil"/>
                    <w:tr2bl w:val="nil"/>
                  </w:tcBorders>
                  <w:noWrap w:val="0"/>
                  <w:vAlign w:val="center"/>
                </w:tcPr>
                <w:p w14:paraId="07EC0FED">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1032" w:type="pct"/>
                  <w:tcBorders>
                    <w:tl2br w:val="nil"/>
                    <w:tr2bl w:val="nil"/>
                  </w:tcBorders>
                  <w:noWrap w:val="0"/>
                  <w:vAlign w:val="center"/>
                </w:tcPr>
                <w:p w14:paraId="2851F89B">
                  <w:pPr>
                    <w:pStyle w:val="26"/>
                    <w:bidi w:val="0"/>
                    <w:ind w:firstLine="0" w:firstLineChars="0"/>
                    <w:rPr>
                      <w:rFonts w:hint="default"/>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非甲烷总烃</w:t>
                  </w:r>
                </w:p>
              </w:tc>
              <w:tc>
                <w:tcPr>
                  <w:tcW w:w="1488" w:type="pct"/>
                  <w:tcBorders>
                    <w:tl2br w:val="nil"/>
                    <w:tr2bl w:val="nil"/>
                  </w:tcBorders>
                  <w:noWrap w:val="0"/>
                  <w:vAlign w:val="center"/>
                </w:tcPr>
                <w:p w14:paraId="3C171D83">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2.0</w:t>
                  </w:r>
                </w:p>
              </w:tc>
              <w:tc>
                <w:tcPr>
                  <w:tcW w:w="1014" w:type="pct"/>
                  <w:tcBorders>
                    <w:tl2br w:val="nil"/>
                    <w:tr2bl w:val="nil"/>
                  </w:tcBorders>
                  <w:noWrap w:val="0"/>
                  <w:vAlign w:val="center"/>
                </w:tcPr>
                <w:p w14:paraId="6723D0F0">
                  <w:pPr>
                    <w:pStyle w:val="26"/>
                    <w:keepNext w:val="0"/>
                    <w:keepLines w:val="0"/>
                    <w:widowControl w:val="0"/>
                    <w:suppressLineNumbers w:val="0"/>
                    <w:bidi w:val="0"/>
                    <w:spacing w:before="0" w:beforeAutospacing="0" w:after="0" w:afterAutospacing="0" w:line="240" w:lineRule="auto"/>
                    <w:ind w:right="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DB35/1782-2018</w:t>
                  </w:r>
                </w:p>
              </w:tc>
            </w:tr>
            <w:tr w14:paraId="6826F3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15" w:type="pct"/>
                  <w:tcBorders>
                    <w:tl2br w:val="nil"/>
                    <w:tr2bl w:val="nil"/>
                  </w:tcBorders>
                  <w:noWrap w:val="0"/>
                  <w:vAlign w:val="center"/>
                </w:tcPr>
                <w:p w14:paraId="6586783B">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2</w:t>
                  </w:r>
                </w:p>
              </w:tc>
              <w:tc>
                <w:tcPr>
                  <w:tcW w:w="1049" w:type="pct"/>
                  <w:tcBorders>
                    <w:tl2br w:val="nil"/>
                    <w:tr2bl w:val="nil"/>
                  </w:tcBorders>
                  <w:noWrap w:val="0"/>
                  <w:vAlign w:val="center"/>
                </w:tcPr>
                <w:p w14:paraId="4728022C">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厂区内监控点</w:t>
                  </w:r>
                </w:p>
              </w:tc>
              <w:tc>
                <w:tcPr>
                  <w:tcW w:w="1032" w:type="pct"/>
                  <w:tcBorders>
                    <w:tl2br w:val="nil"/>
                    <w:tr2bl w:val="nil"/>
                  </w:tcBorders>
                  <w:noWrap w:val="0"/>
                  <w:vAlign w:val="center"/>
                </w:tcPr>
                <w:p w14:paraId="01241895">
                  <w:pPr>
                    <w:pStyle w:val="26"/>
                    <w:keepNext w:val="0"/>
                    <w:keepLines w:val="0"/>
                    <w:widowControl w:val="0"/>
                    <w:suppressLineNumbers w:val="0"/>
                    <w:bidi w:val="0"/>
                    <w:spacing w:before="0" w:beforeAutospacing="0" w:after="0" w:afterAutospacing="0" w:line="240" w:lineRule="auto"/>
                    <w:ind w:right="0" w:rightChars="0" w:firstLine="0" w:firstLineChars="0"/>
                    <w:jc w:val="center"/>
                    <w:rPr>
                      <w:rFonts w:hint="default"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非甲烷总烃</w:t>
                  </w:r>
                </w:p>
              </w:tc>
              <w:tc>
                <w:tcPr>
                  <w:tcW w:w="1488" w:type="pct"/>
                  <w:tcBorders>
                    <w:tl2br w:val="nil"/>
                    <w:tr2bl w:val="nil"/>
                  </w:tcBorders>
                  <w:noWrap w:val="0"/>
                  <w:vAlign w:val="center"/>
                </w:tcPr>
                <w:p w14:paraId="3AB08CB8">
                  <w:pPr>
                    <w:pStyle w:val="26"/>
                    <w:keepNext w:val="0"/>
                    <w:keepLines w:val="0"/>
                    <w:widowControl w:val="0"/>
                    <w:suppressLineNumbers w:val="0"/>
                    <w:bidi w:val="0"/>
                    <w:spacing w:before="0" w:beforeAutospacing="0" w:after="0" w:afterAutospacing="0" w:line="240" w:lineRule="auto"/>
                    <w:ind w:right="0" w:rightChars="0" w:firstLine="0" w:firstLineChars="0"/>
                    <w:jc w:val="center"/>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8.0</w:t>
                  </w:r>
                </w:p>
              </w:tc>
              <w:tc>
                <w:tcPr>
                  <w:tcW w:w="1014" w:type="pct"/>
                  <w:tcBorders>
                    <w:tl2br w:val="nil"/>
                    <w:tr2bl w:val="nil"/>
                  </w:tcBorders>
                  <w:noWrap w:val="0"/>
                  <w:vAlign w:val="center"/>
                </w:tcPr>
                <w:p w14:paraId="2510C5A7">
                  <w:pPr>
                    <w:pStyle w:val="26"/>
                    <w:keepNext w:val="0"/>
                    <w:keepLines w:val="0"/>
                    <w:widowControl w:val="0"/>
                    <w:suppressLineNumbers w:val="0"/>
                    <w:bidi w:val="0"/>
                    <w:spacing w:before="0" w:beforeAutospacing="0" w:after="0" w:afterAutospacing="0" w:line="240" w:lineRule="auto"/>
                    <w:ind w:right="0" w:rightChars="0" w:firstLine="0" w:firstLineChars="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DB35/1782-2018</w:t>
                  </w:r>
                </w:p>
              </w:tc>
            </w:tr>
            <w:tr w14:paraId="52078C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15" w:type="pct"/>
                  <w:tcBorders>
                    <w:tl2br w:val="nil"/>
                    <w:tr2bl w:val="nil"/>
                  </w:tcBorders>
                  <w:noWrap w:val="0"/>
                  <w:vAlign w:val="center"/>
                </w:tcPr>
                <w:p w14:paraId="6B7FAAF7">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3</w:t>
                  </w:r>
                </w:p>
              </w:tc>
              <w:tc>
                <w:tcPr>
                  <w:tcW w:w="1049" w:type="pct"/>
                  <w:tcBorders>
                    <w:tl2br w:val="nil"/>
                    <w:tr2bl w:val="nil"/>
                  </w:tcBorders>
                  <w:noWrap w:val="0"/>
                  <w:vAlign w:val="center"/>
                </w:tcPr>
                <w:p w14:paraId="18C927AF">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厂区内监控点处任意一次浓度值</w:t>
                  </w:r>
                </w:p>
              </w:tc>
              <w:tc>
                <w:tcPr>
                  <w:tcW w:w="1032" w:type="pct"/>
                  <w:tcBorders>
                    <w:tl2br w:val="nil"/>
                    <w:tr2bl w:val="nil"/>
                  </w:tcBorders>
                  <w:noWrap w:val="0"/>
                  <w:vAlign w:val="center"/>
                </w:tcPr>
                <w:p w14:paraId="2ADBF493">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eastAsia="宋体"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非甲烷总烃</w:t>
                  </w:r>
                </w:p>
              </w:tc>
              <w:tc>
                <w:tcPr>
                  <w:tcW w:w="1488" w:type="pct"/>
                  <w:tcBorders>
                    <w:tl2br w:val="nil"/>
                    <w:tr2bl w:val="nil"/>
                  </w:tcBorders>
                  <w:noWrap w:val="0"/>
                  <w:vAlign w:val="center"/>
                </w:tcPr>
                <w:p w14:paraId="57F1FC00">
                  <w:pPr>
                    <w:pStyle w:val="26"/>
                    <w:keepNext w:val="0"/>
                    <w:keepLines w:val="0"/>
                    <w:widowControl w:val="0"/>
                    <w:suppressLineNumbers w:val="0"/>
                    <w:bidi w:val="0"/>
                    <w:spacing w:before="0" w:beforeAutospacing="0" w:after="0" w:afterAutospacing="0" w:line="240" w:lineRule="auto"/>
                    <w:ind w:right="0" w:rightChars="0" w:firstLine="0" w:firstLineChars="0"/>
                    <w:jc w:val="center"/>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30</w:t>
                  </w:r>
                </w:p>
              </w:tc>
              <w:tc>
                <w:tcPr>
                  <w:tcW w:w="1014" w:type="pct"/>
                  <w:tcBorders>
                    <w:tl2br w:val="nil"/>
                    <w:tr2bl w:val="nil"/>
                  </w:tcBorders>
                  <w:noWrap w:val="0"/>
                  <w:vAlign w:val="center"/>
                </w:tcPr>
                <w:p w14:paraId="4712CCE3">
                  <w:pPr>
                    <w:pStyle w:val="26"/>
                    <w:keepNext w:val="0"/>
                    <w:keepLines w:val="0"/>
                    <w:widowControl w:val="0"/>
                    <w:suppressLineNumbers w:val="0"/>
                    <w:bidi w:val="0"/>
                    <w:spacing w:before="0" w:beforeAutospacing="0" w:after="0" w:afterAutospacing="0" w:line="240" w:lineRule="auto"/>
                    <w:ind w:right="0" w:rightChars="0" w:firstLine="0" w:firstLineChars="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GB37822-2019</w:t>
                  </w:r>
                </w:p>
              </w:tc>
            </w:tr>
          </w:tbl>
          <w:p w14:paraId="366A2833">
            <w:pPr>
              <w:pStyle w:val="3"/>
              <w:numPr>
                <w:ilvl w:val="2"/>
                <w:numId w:val="4"/>
              </w:numPr>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水污染物排放标准</w:t>
            </w:r>
          </w:p>
          <w:p w14:paraId="3C2C0665">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项目设备冷却水循环使用</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不外排；生活污水经化粪池处理达到《污水综合排放标准》（GB8978-1996）</w:t>
            </w:r>
            <w:r>
              <w:rPr>
                <w:color w:val="000000" w:themeColor="text1"/>
                <w:highlight w:val="none"/>
                <w14:textFill>
                  <w14:solidFill>
                    <w14:schemeClr w14:val="tx1"/>
                  </w14:solidFill>
                </w14:textFill>
              </w:rPr>
              <w:t>表4中的三级标准</w:t>
            </w:r>
            <w:r>
              <w:rPr>
                <w:rFonts w:hint="default"/>
                <w:color w:val="000000" w:themeColor="text1"/>
                <w:highlight w:val="none"/>
                <w:lang w:val="en-US" w:eastAsia="zh-CN"/>
                <w14:textFill>
                  <w14:solidFill>
                    <w14:schemeClr w14:val="tx1"/>
                  </w14:solidFill>
                </w14:textFill>
              </w:rPr>
              <w:t>（其中NH</w:t>
            </w:r>
            <w:r>
              <w:rPr>
                <w:rFonts w:hint="default"/>
                <w:color w:val="000000" w:themeColor="text1"/>
                <w:highlight w:val="none"/>
                <w:vertAlign w:val="subscript"/>
                <w:lang w:val="en-US" w:eastAsia="zh-CN"/>
                <w14:textFill>
                  <w14:solidFill>
                    <w14:schemeClr w14:val="tx1"/>
                  </w14:solidFill>
                </w14:textFill>
              </w:rPr>
              <w:t>3</w:t>
            </w:r>
            <w:r>
              <w:rPr>
                <w:rFonts w:hint="default"/>
                <w:color w:val="000000" w:themeColor="text1"/>
                <w:highlight w:val="none"/>
                <w:lang w:val="en-US" w:eastAsia="zh-CN"/>
                <w14:textFill>
                  <w14:solidFill>
                    <w14:schemeClr w14:val="tx1"/>
                  </w14:solidFill>
                </w14:textFill>
              </w:rPr>
              <w:t>-N</w:t>
            </w:r>
            <w:r>
              <w:rPr>
                <w:color w:val="000000" w:themeColor="text1"/>
                <w:highlight w:val="none"/>
                <w14:textFill>
                  <w14:solidFill>
                    <w14:schemeClr w14:val="tx1"/>
                  </w14:solidFill>
                </w14:textFill>
              </w:rPr>
              <w:t>参照</w:t>
            </w:r>
            <w:r>
              <w:rPr>
                <w:rFonts w:hint="default"/>
                <w:color w:val="000000" w:themeColor="text1"/>
                <w:highlight w:val="none"/>
                <w:lang w:val="en-US" w:eastAsia="zh-CN"/>
                <w14:textFill>
                  <w14:solidFill>
                    <w14:schemeClr w14:val="tx1"/>
                  </w14:solidFill>
                </w14:textFill>
              </w:rPr>
              <w:t>执行</w:t>
            </w:r>
            <w:r>
              <w:rPr>
                <w:color w:val="000000" w:themeColor="text1"/>
                <w:highlight w:val="none"/>
                <w14:textFill>
                  <w14:solidFill>
                    <w14:schemeClr w14:val="tx1"/>
                  </w14:solidFill>
                </w14:textFill>
              </w:rPr>
              <w:t>《污水排入城镇下水道水质标准》（GB/T31962-2015）表1中B级标准</w:t>
            </w:r>
            <w:r>
              <w:rPr>
                <w:rFonts w:hint="default"/>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后，</w:t>
            </w:r>
            <w:r>
              <w:rPr>
                <w:rFonts w:hint="default"/>
                <w:color w:val="000000" w:themeColor="text1"/>
                <w:highlight w:val="none"/>
                <w:lang w:val="en-US" w:eastAsia="zh-CN"/>
                <w14:textFill>
                  <w14:solidFill>
                    <w14:schemeClr w14:val="tx1"/>
                  </w14:solidFill>
                </w14:textFill>
              </w:rPr>
              <w:t>通过园区污水管网最终</w:t>
            </w:r>
            <w:r>
              <w:rPr>
                <w:rFonts w:hint="eastAsia"/>
                <w:color w:val="000000" w:themeColor="text1"/>
                <w:highlight w:val="none"/>
                <w:lang w:val="en-US" w:eastAsia="zh-CN"/>
                <w14:textFill>
                  <w14:solidFill>
                    <w14:schemeClr w14:val="tx1"/>
                  </w14:solidFill>
                </w14:textFill>
              </w:rPr>
              <w:t>进入</w:t>
            </w:r>
            <w:r>
              <w:rPr>
                <w:rFonts w:hint="default"/>
                <w:color w:val="000000" w:themeColor="text1"/>
                <w:highlight w:val="none"/>
                <w:lang w:val="en-US" w:eastAsia="zh-CN"/>
                <w14:textFill>
                  <w14:solidFill>
                    <w14:schemeClr w14:val="tx1"/>
                  </w14:solidFill>
                </w14:textFill>
              </w:rPr>
              <w:t>永安市贡川产业园水东工业集中区污水处理厂</w:t>
            </w:r>
            <w:r>
              <w:rPr>
                <w:rFonts w:hint="eastAsia"/>
                <w:color w:val="000000" w:themeColor="text1"/>
                <w:highlight w:val="none"/>
                <w:lang w:val="en-US" w:eastAsia="zh-CN"/>
                <w14:textFill>
                  <w14:solidFill>
                    <w14:schemeClr w14:val="tx1"/>
                  </w14:solidFill>
                </w14:textFill>
              </w:rPr>
              <w:t>深度</w:t>
            </w:r>
            <w:r>
              <w:rPr>
                <w:rFonts w:hint="default"/>
                <w:color w:val="000000" w:themeColor="text1"/>
                <w:highlight w:val="none"/>
                <w:lang w:val="en-US" w:eastAsia="zh-CN"/>
                <w14:textFill>
                  <w14:solidFill>
                    <w14:schemeClr w14:val="tx1"/>
                  </w14:solidFill>
                </w14:textFill>
              </w:rPr>
              <w:t>处理</w:t>
            </w:r>
            <w:r>
              <w:rPr>
                <w:rFonts w:hint="eastAsia"/>
                <w:color w:val="000000" w:themeColor="text1"/>
                <w:highlight w:val="none"/>
                <w:lang w:val="en-US" w:eastAsia="zh-CN"/>
                <w14:textFill>
                  <w14:solidFill>
                    <w14:schemeClr w14:val="tx1"/>
                  </w14:solidFill>
                </w14:textFill>
              </w:rPr>
              <w:t>，污水处理厂尾水排放执行《城镇污水处理厂污染物排放标准》（GB18918-2002）表1中的一级B标准</w:t>
            </w:r>
            <w:r>
              <w:rPr>
                <w:rFonts w:hint="eastAsia" w:ascii="Times New Roman" w:hAnsi="Times New Roman" w:cs="Times New Roman"/>
                <w:color w:val="000000" w:themeColor="text1"/>
                <w:highlight w:val="none"/>
                <w:lang w:val="en-US" w:eastAsia="zh-CN"/>
                <w14:textFill>
                  <w14:solidFill>
                    <w14:schemeClr w14:val="tx1"/>
                  </w14:solidFill>
                </w14:textFill>
              </w:rPr>
              <w:t>。排放标准限值详见</w:t>
            </w:r>
            <w:r>
              <w:rPr>
                <w:rFonts w:hint="eastAsia" w:ascii="Times New Roman" w:hAnsi="Times New Roman" w:cs="Times New Roman"/>
                <w:color w:val="000000" w:themeColor="text1"/>
                <w:highlight w:val="none"/>
                <w:lang w:val="en-US" w:eastAsia="zh-CN"/>
                <w14:textFill>
                  <w14:solidFill>
                    <w14:schemeClr w14:val="tx1"/>
                  </w14:solidFill>
                </w14:textFill>
              </w:rPr>
              <w:fldChar w:fldCharType="begin"/>
            </w:r>
            <w:r>
              <w:rPr>
                <w:rFonts w:hint="eastAsia" w:ascii="Times New Roman" w:hAnsi="Times New Roman" w:cs="Times New Roman"/>
                <w:color w:val="000000" w:themeColor="text1"/>
                <w:highlight w:val="none"/>
                <w:lang w:val="en-US" w:eastAsia="zh-CN"/>
                <w14:textFill>
                  <w14:solidFill>
                    <w14:schemeClr w14:val="tx1"/>
                  </w14:solidFill>
                </w14:textFill>
              </w:rPr>
              <w:instrText xml:space="preserve"> REF _Ref29930 \n \h </w:instrText>
            </w:r>
            <w:r>
              <w:rPr>
                <w:rFonts w:hint="eastAsia" w:ascii="Times New Roman" w:hAnsi="Times New Roman" w:cs="Times New Roman"/>
                <w:color w:val="000000" w:themeColor="text1"/>
                <w:highlight w:val="none"/>
                <w:lang w:val="en-US" w:eastAsia="zh-CN"/>
                <w14:textFill>
                  <w14:solidFill>
                    <w14:schemeClr w14:val="tx1"/>
                  </w14:solidFill>
                </w14:textFill>
              </w:rPr>
              <w:fldChar w:fldCharType="separate"/>
            </w:r>
            <w:r>
              <w:rPr>
                <w:rFonts w:hint="eastAsia" w:ascii="Times New Roman" w:hAnsi="Times New Roman" w:cs="Times New Roman"/>
                <w:color w:val="000000" w:themeColor="text1"/>
                <w:highlight w:val="none"/>
                <w:lang w:val="en-US" w:eastAsia="zh-CN"/>
                <w14:textFill>
                  <w14:solidFill>
                    <w14:schemeClr w14:val="tx1"/>
                  </w14:solidFill>
                </w14:textFill>
              </w:rPr>
              <w:t>表3.3-3</w:t>
            </w:r>
            <w:r>
              <w:rPr>
                <w:rFonts w:hint="eastAsia" w:ascii="Times New Roman" w:hAnsi="Times New Roman" w:cs="Times New Roman"/>
                <w:color w:val="000000" w:themeColor="text1"/>
                <w:highlight w:val="none"/>
                <w:lang w:val="en-US" w:eastAsia="zh-CN"/>
                <w14:textFill>
                  <w14:solidFill>
                    <w14:schemeClr w14:val="tx1"/>
                  </w14:solidFill>
                </w14:textFill>
              </w:rPr>
              <w:fldChar w:fldCharType="end"/>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fldChar w:fldCharType="begin"/>
            </w:r>
            <w:r>
              <w:rPr>
                <w:rFonts w:hint="eastAsia" w:ascii="Times New Roman" w:hAnsi="Times New Roman" w:cs="Times New Roman"/>
                <w:color w:val="000000" w:themeColor="text1"/>
                <w:highlight w:val="none"/>
                <w:lang w:val="en-US" w:eastAsia="zh-CN"/>
                <w14:textFill>
                  <w14:solidFill>
                    <w14:schemeClr w14:val="tx1"/>
                  </w14:solidFill>
                </w14:textFill>
              </w:rPr>
              <w:instrText xml:space="preserve"> REF _Ref29937 \n \h </w:instrText>
            </w:r>
            <w:r>
              <w:rPr>
                <w:rFonts w:hint="eastAsia" w:ascii="Times New Roman" w:hAnsi="Times New Roman" w:cs="Times New Roman"/>
                <w:color w:val="000000" w:themeColor="text1"/>
                <w:highlight w:val="none"/>
                <w:lang w:val="en-US" w:eastAsia="zh-CN"/>
                <w14:textFill>
                  <w14:solidFill>
                    <w14:schemeClr w14:val="tx1"/>
                  </w14:solidFill>
                </w14:textFill>
              </w:rPr>
              <w:fldChar w:fldCharType="separate"/>
            </w:r>
            <w:r>
              <w:rPr>
                <w:rFonts w:hint="eastAsia" w:ascii="Times New Roman" w:hAnsi="Times New Roman" w:cs="Times New Roman"/>
                <w:color w:val="000000" w:themeColor="text1"/>
                <w:highlight w:val="none"/>
                <w:lang w:val="en-US" w:eastAsia="zh-CN"/>
                <w14:textFill>
                  <w14:solidFill>
                    <w14:schemeClr w14:val="tx1"/>
                  </w14:solidFill>
                </w14:textFill>
              </w:rPr>
              <w:t>表3.3-4</w:t>
            </w:r>
            <w:r>
              <w:rPr>
                <w:rFonts w:hint="eastAsia" w:ascii="Times New Roman" w:hAnsi="Times New Roman" w:cs="Times New Roman"/>
                <w:color w:val="000000" w:themeColor="text1"/>
                <w:highlight w:val="none"/>
                <w:lang w:val="en-US" w:eastAsia="zh-CN"/>
                <w14:textFill>
                  <w14:solidFill>
                    <w14:schemeClr w14:val="tx1"/>
                  </w14:solidFill>
                </w14:textFill>
              </w:rPr>
              <w:fldChar w:fldCharType="end"/>
            </w:r>
            <w:r>
              <w:rPr>
                <w:rFonts w:hint="eastAsia" w:ascii="Times New Roman" w:hAnsi="Times New Roman" w:cs="Times New Roman"/>
                <w:color w:val="000000" w:themeColor="text1"/>
                <w:highlight w:val="none"/>
                <w:lang w:val="en-US" w:eastAsia="zh-CN"/>
                <w14:textFill>
                  <w14:solidFill>
                    <w14:schemeClr w14:val="tx1"/>
                  </w14:solidFill>
                </w14:textFill>
              </w:rPr>
              <w:t>。</w:t>
            </w:r>
          </w:p>
          <w:p w14:paraId="17FAF311">
            <w:pPr>
              <w:pStyle w:val="30"/>
              <w:numPr>
                <w:ilvl w:val="4"/>
                <w:numId w:val="3"/>
              </w:numPr>
              <w:tabs>
                <w:tab w:val="left" w:pos="0"/>
              </w:tabs>
              <w:bidi w:val="0"/>
              <w:rPr>
                <w:rFonts w:hint="default"/>
                <w:color w:val="000000" w:themeColor="text1"/>
                <w:highlight w:val="none"/>
                <w:lang w:val="en-US" w:eastAsia="zh-CN"/>
                <w14:textFill>
                  <w14:solidFill>
                    <w14:schemeClr w14:val="tx1"/>
                  </w14:solidFill>
                </w14:textFill>
              </w:rPr>
            </w:pPr>
            <w:bookmarkStart w:id="156" w:name="_Ref29930"/>
            <w:r>
              <w:rPr>
                <w:rFonts w:hint="eastAsia"/>
                <w:color w:val="000000" w:themeColor="text1"/>
                <w:highlight w:val="none"/>
                <w:lang w:val="en-US" w:eastAsia="zh-CN"/>
                <w14:textFill>
                  <w14:solidFill>
                    <w14:schemeClr w14:val="tx1"/>
                  </w14:solidFill>
                </w14:textFill>
              </w:rPr>
              <w:t>本项目生活污水排放标准</w:t>
            </w:r>
            <w:bookmarkEnd w:id="156"/>
          </w:p>
          <w:tbl>
            <w:tblPr>
              <w:tblStyle w:val="18"/>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2965"/>
              <w:gridCol w:w="1050"/>
              <w:gridCol w:w="1576"/>
              <w:gridCol w:w="1977"/>
            </w:tblGrid>
            <w:tr w14:paraId="683A0B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65" w:type="pct"/>
                  <w:tcBorders>
                    <w:tl2br w:val="nil"/>
                    <w:tr2bl w:val="nil"/>
                  </w:tcBorders>
                  <w:noWrap w:val="0"/>
                  <w:vAlign w:val="center"/>
                </w:tcPr>
                <w:p w14:paraId="04C285AC">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序号</w:t>
                  </w:r>
                </w:p>
              </w:tc>
              <w:tc>
                <w:tcPr>
                  <w:tcW w:w="1776" w:type="pct"/>
                  <w:tcBorders>
                    <w:tl2br w:val="nil"/>
                    <w:tr2bl w:val="nil"/>
                  </w:tcBorders>
                  <w:noWrap w:val="0"/>
                  <w:vAlign w:val="center"/>
                </w:tcPr>
                <w:p w14:paraId="6815F0A4">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污染物项目</w:t>
                  </w:r>
                </w:p>
              </w:tc>
              <w:tc>
                <w:tcPr>
                  <w:tcW w:w="629" w:type="pct"/>
                  <w:tcBorders>
                    <w:tl2br w:val="nil"/>
                    <w:tr2bl w:val="nil"/>
                  </w:tcBorders>
                  <w:noWrap w:val="0"/>
                  <w:vAlign w:val="center"/>
                </w:tcPr>
                <w:p w14:paraId="6A822033">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单位</w:t>
                  </w:r>
                </w:p>
              </w:tc>
              <w:tc>
                <w:tcPr>
                  <w:tcW w:w="944" w:type="pct"/>
                  <w:tcBorders>
                    <w:tl2br w:val="nil"/>
                    <w:tr2bl w:val="nil"/>
                  </w:tcBorders>
                  <w:noWrap w:val="0"/>
                  <w:vAlign w:val="center"/>
                </w:tcPr>
                <w:p w14:paraId="4FFE5332">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标准限值</w:t>
                  </w:r>
                </w:p>
              </w:tc>
              <w:tc>
                <w:tcPr>
                  <w:tcW w:w="1184" w:type="pct"/>
                  <w:tcBorders>
                    <w:tl2br w:val="nil"/>
                    <w:tr2bl w:val="nil"/>
                  </w:tcBorders>
                  <w:noWrap w:val="0"/>
                  <w:vAlign w:val="center"/>
                </w:tcPr>
                <w:p w14:paraId="5A1CF781">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标准来源</w:t>
                  </w:r>
                </w:p>
              </w:tc>
            </w:tr>
            <w:tr w14:paraId="08578C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65" w:type="pct"/>
                  <w:tcBorders>
                    <w:tl2br w:val="nil"/>
                    <w:tr2bl w:val="nil"/>
                  </w:tcBorders>
                  <w:noWrap w:val="0"/>
                  <w:vAlign w:val="center"/>
                </w:tcPr>
                <w:p w14:paraId="10A5589B">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1</w:t>
                  </w:r>
                </w:p>
              </w:tc>
              <w:tc>
                <w:tcPr>
                  <w:tcW w:w="1776" w:type="pct"/>
                  <w:tcBorders>
                    <w:tl2br w:val="nil"/>
                    <w:tr2bl w:val="nil"/>
                  </w:tcBorders>
                  <w:noWrap w:val="0"/>
                  <w:vAlign w:val="center"/>
                </w:tcPr>
                <w:p w14:paraId="27DC740B">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pH</w:t>
                  </w:r>
                </w:p>
              </w:tc>
              <w:tc>
                <w:tcPr>
                  <w:tcW w:w="629" w:type="pct"/>
                  <w:tcBorders>
                    <w:tl2br w:val="nil"/>
                    <w:tr2bl w:val="nil"/>
                  </w:tcBorders>
                  <w:noWrap w:val="0"/>
                  <w:vAlign w:val="center"/>
                </w:tcPr>
                <w:p w14:paraId="3038A898">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无量纲</w:t>
                  </w:r>
                </w:p>
              </w:tc>
              <w:tc>
                <w:tcPr>
                  <w:tcW w:w="944" w:type="pct"/>
                  <w:tcBorders>
                    <w:tl2br w:val="nil"/>
                    <w:tr2bl w:val="nil"/>
                  </w:tcBorders>
                  <w:noWrap w:val="0"/>
                  <w:vAlign w:val="center"/>
                </w:tcPr>
                <w:p w14:paraId="0B418A1F">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6~9</w:t>
                  </w:r>
                </w:p>
              </w:tc>
              <w:tc>
                <w:tcPr>
                  <w:tcW w:w="1184" w:type="pct"/>
                  <w:vMerge w:val="restart"/>
                  <w:tcBorders>
                    <w:tl2br w:val="nil"/>
                    <w:tr2bl w:val="nil"/>
                  </w:tcBorders>
                  <w:noWrap w:val="0"/>
                  <w:vAlign w:val="center"/>
                </w:tcPr>
                <w:p w14:paraId="561C66C7">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GB8978-1996</w:t>
                  </w:r>
                </w:p>
              </w:tc>
            </w:tr>
            <w:tr w14:paraId="0E607A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65" w:type="pct"/>
                  <w:tcBorders>
                    <w:tl2br w:val="nil"/>
                    <w:tr2bl w:val="nil"/>
                  </w:tcBorders>
                  <w:noWrap w:val="0"/>
                  <w:vAlign w:val="center"/>
                </w:tcPr>
                <w:p w14:paraId="5EA0CC31">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2</w:t>
                  </w:r>
                </w:p>
              </w:tc>
              <w:tc>
                <w:tcPr>
                  <w:tcW w:w="1776" w:type="pct"/>
                  <w:tcBorders>
                    <w:tl2br w:val="nil"/>
                    <w:tr2bl w:val="nil"/>
                  </w:tcBorders>
                  <w:noWrap w:val="0"/>
                  <w:vAlign w:val="center"/>
                </w:tcPr>
                <w:p w14:paraId="6CB46D6F">
                  <w:pPr>
                    <w:pStyle w:val="26"/>
                    <w:keepNext w:val="0"/>
                    <w:keepLines w:val="0"/>
                    <w:widowControl w:val="0"/>
                    <w:suppressLineNumbers w:val="0"/>
                    <w:bidi w:val="0"/>
                    <w:spacing w:before="0" w:beforeAutospacing="0" w:after="0" w:afterAutospacing="0" w:line="240" w:lineRule="auto"/>
                    <w:ind w:right="0" w:rightChars="0" w:firstLine="0" w:firstLineChars="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COD</w:t>
                  </w:r>
                </w:p>
              </w:tc>
              <w:tc>
                <w:tcPr>
                  <w:tcW w:w="629" w:type="pct"/>
                  <w:vMerge w:val="restart"/>
                  <w:tcBorders>
                    <w:tl2br w:val="nil"/>
                    <w:tr2bl w:val="nil"/>
                  </w:tcBorders>
                  <w:noWrap w:val="0"/>
                  <w:vAlign w:val="center"/>
                </w:tcPr>
                <w:p w14:paraId="0A14E09D">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mg/L</w:t>
                  </w:r>
                </w:p>
              </w:tc>
              <w:tc>
                <w:tcPr>
                  <w:tcW w:w="944" w:type="pct"/>
                  <w:tcBorders>
                    <w:tl2br w:val="nil"/>
                    <w:tr2bl w:val="nil"/>
                  </w:tcBorders>
                  <w:noWrap w:val="0"/>
                  <w:vAlign w:val="center"/>
                </w:tcPr>
                <w:p w14:paraId="0B5DE23D">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500</w:t>
                  </w:r>
                </w:p>
              </w:tc>
              <w:tc>
                <w:tcPr>
                  <w:tcW w:w="1184" w:type="pct"/>
                  <w:vMerge w:val="continue"/>
                  <w:tcBorders>
                    <w:tl2br w:val="nil"/>
                    <w:tr2bl w:val="nil"/>
                  </w:tcBorders>
                  <w:noWrap w:val="0"/>
                  <w:vAlign w:val="center"/>
                </w:tcPr>
                <w:p w14:paraId="2F6EBA75">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p>
              </w:tc>
            </w:tr>
            <w:tr w14:paraId="3E5942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65" w:type="pct"/>
                  <w:tcBorders>
                    <w:tl2br w:val="nil"/>
                    <w:tr2bl w:val="nil"/>
                  </w:tcBorders>
                  <w:noWrap w:val="0"/>
                  <w:vAlign w:val="center"/>
                </w:tcPr>
                <w:p w14:paraId="675E8C63">
                  <w:pPr>
                    <w:pStyle w:val="26"/>
                    <w:keepNext w:val="0"/>
                    <w:keepLines w:val="0"/>
                    <w:widowControl w:val="0"/>
                    <w:suppressLineNumbers w:val="0"/>
                    <w:bidi w:val="0"/>
                    <w:spacing w:before="0" w:beforeAutospacing="0" w:after="0" w:afterAutospacing="0" w:line="240" w:lineRule="auto"/>
                    <w:ind w:right="0" w:rightChars="0" w:firstLine="0" w:firstLineChars="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3</w:t>
                  </w:r>
                </w:p>
              </w:tc>
              <w:tc>
                <w:tcPr>
                  <w:tcW w:w="1776" w:type="pct"/>
                  <w:tcBorders>
                    <w:tl2br w:val="nil"/>
                    <w:tr2bl w:val="nil"/>
                  </w:tcBorders>
                  <w:noWrap w:val="0"/>
                  <w:vAlign w:val="center"/>
                </w:tcPr>
                <w:p w14:paraId="41CA5DD1">
                  <w:pPr>
                    <w:pStyle w:val="26"/>
                    <w:keepNext w:val="0"/>
                    <w:keepLines w:val="0"/>
                    <w:widowControl w:val="0"/>
                    <w:suppressLineNumbers w:val="0"/>
                    <w:bidi w:val="0"/>
                    <w:spacing w:before="0" w:beforeAutospacing="0" w:after="0" w:afterAutospacing="0" w:line="240" w:lineRule="auto"/>
                    <w:ind w:right="0" w:rightChars="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BOD</w:t>
                  </w:r>
                  <w:r>
                    <w:rPr>
                      <w:rFonts w:hint="eastAsia" w:ascii="Times New Roman" w:hAnsi="Times New Roman" w:cs="Times New Roman"/>
                      <w:color w:val="000000" w:themeColor="text1"/>
                      <w:sz w:val="21"/>
                      <w:szCs w:val="21"/>
                      <w:highlight w:val="none"/>
                      <w:vertAlign w:val="subscript"/>
                      <w:lang w:val="en-US" w:eastAsia="zh-CN" w:bidi="ar-SA"/>
                      <w14:textFill>
                        <w14:solidFill>
                          <w14:schemeClr w14:val="tx1"/>
                        </w14:solidFill>
                      </w14:textFill>
                    </w:rPr>
                    <w:t>5</w:t>
                  </w:r>
                </w:p>
              </w:tc>
              <w:tc>
                <w:tcPr>
                  <w:tcW w:w="629" w:type="pct"/>
                  <w:vMerge w:val="continue"/>
                  <w:tcBorders>
                    <w:tl2br w:val="nil"/>
                    <w:tr2bl w:val="nil"/>
                  </w:tcBorders>
                  <w:noWrap w:val="0"/>
                  <w:vAlign w:val="center"/>
                </w:tcPr>
                <w:p w14:paraId="61817749">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p>
              </w:tc>
              <w:tc>
                <w:tcPr>
                  <w:tcW w:w="944" w:type="pct"/>
                  <w:tcBorders>
                    <w:tl2br w:val="nil"/>
                    <w:tr2bl w:val="nil"/>
                  </w:tcBorders>
                  <w:noWrap w:val="0"/>
                  <w:vAlign w:val="center"/>
                </w:tcPr>
                <w:p w14:paraId="20E5CFA7">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300</w:t>
                  </w:r>
                </w:p>
              </w:tc>
              <w:tc>
                <w:tcPr>
                  <w:tcW w:w="1184" w:type="pct"/>
                  <w:vMerge w:val="continue"/>
                  <w:tcBorders>
                    <w:tl2br w:val="nil"/>
                    <w:tr2bl w:val="nil"/>
                  </w:tcBorders>
                  <w:noWrap w:val="0"/>
                  <w:vAlign w:val="center"/>
                </w:tcPr>
                <w:p w14:paraId="4D54780B">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p>
              </w:tc>
            </w:tr>
            <w:tr w14:paraId="355399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65" w:type="pct"/>
                  <w:tcBorders>
                    <w:tl2br w:val="nil"/>
                    <w:tr2bl w:val="nil"/>
                  </w:tcBorders>
                  <w:noWrap w:val="0"/>
                  <w:vAlign w:val="center"/>
                </w:tcPr>
                <w:p w14:paraId="556D9422">
                  <w:pPr>
                    <w:pStyle w:val="26"/>
                    <w:keepNext w:val="0"/>
                    <w:keepLines w:val="0"/>
                    <w:widowControl w:val="0"/>
                    <w:suppressLineNumbers w:val="0"/>
                    <w:bidi w:val="0"/>
                    <w:spacing w:before="0" w:beforeAutospacing="0" w:after="0" w:afterAutospacing="0" w:line="240" w:lineRule="auto"/>
                    <w:ind w:right="0" w:rightChars="0" w:firstLine="0" w:firstLineChars="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4</w:t>
                  </w:r>
                </w:p>
              </w:tc>
              <w:tc>
                <w:tcPr>
                  <w:tcW w:w="1776" w:type="pct"/>
                  <w:tcBorders>
                    <w:tl2br w:val="nil"/>
                    <w:tr2bl w:val="nil"/>
                  </w:tcBorders>
                  <w:noWrap w:val="0"/>
                  <w:vAlign w:val="center"/>
                </w:tcPr>
                <w:p w14:paraId="777EC92D">
                  <w:pPr>
                    <w:pStyle w:val="26"/>
                    <w:keepNext w:val="0"/>
                    <w:keepLines w:val="0"/>
                    <w:widowControl w:val="0"/>
                    <w:suppressLineNumbers w:val="0"/>
                    <w:bidi w:val="0"/>
                    <w:spacing w:before="0" w:beforeAutospacing="0" w:after="0" w:afterAutospacing="0" w:line="240" w:lineRule="auto"/>
                    <w:ind w:right="0" w:rightChars="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SS</w:t>
                  </w:r>
                </w:p>
              </w:tc>
              <w:tc>
                <w:tcPr>
                  <w:tcW w:w="629" w:type="pct"/>
                  <w:vMerge w:val="continue"/>
                  <w:tcBorders>
                    <w:tl2br w:val="nil"/>
                    <w:tr2bl w:val="nil"/>
                  </w:tcBorders>
                  <w:noWrap w:val="0"/>
                  <w:vAlign w:val="center"/>
                </w:tcPr>
                <w:p w14:paraId="7A024FF0">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p>
              </w:tc>
              <w:tc>
                <w:tcPr>
                  <w:tcW w:w="944" w:type="pct"/>
                  <w:tcBorders>
                    <w:tl2br w:val="nil"/>
                    <w:tr2bl w:val="nil"/>
                  </w:tcBorders>
                  <w:noWrap w:val="0"/>
                  <w:vAlign w:val="center"/>
                </w:tcPr>
                <w:p w14:paraId="1E8A14C7">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400</w:t>
                  </w:r>
                </w:p>
              </w:tc>
              <w:tc>
                <w:tcPr>
                  <w:tcW w:w="1184" w:type="pct"/>
                  <w:vMerge w:val="continue"/>
                  <w:tcBorders>
                    <w:tl2br w:val="nil"/>
                    <w:tr2bl w:val="nil"/>
                  </w:tcBorders>
                  <w:noWrap w:val="0"/>
                  <w:vAlign w:val="center"/>
                </w:tcPr>
                <w:p w14:paraId="357D878C">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p>
              </w:tc>
            </w:tr>
            <w:tr w14:paraId="54EF08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65" w:type="pct"/>
                  <w:tcBorders>
                    <w:tl2br w:val="nil"/>
                    <w:tr2bl w:val="nil"/>
                  </w:tcBorders>
                  <w:noWrap w:val="0"/>
                  <w:vAlign w:val="center"/>
                </w:tcPr>
                <w:p w14:paraId="02144101">
                  <w:pPr>
                    <w:pStyle w:val="26"/>
                    <w:keepNext w:val="0"/>
                    <w:keepLines w:val="0"/>
                    <w:widowControl w:val="0"/>
                    <w:suppressLineNumbers w:val="0"/>
                    <w:bidi w:val="0"/>
                    <w:spacing w:before="0" w:beforeAutospacing="0" w:after="0" w:afterAutospacing="0" w:line="240" w:lineRule="auto"/>
                    <w:ind w:right="0" w:rightChars="0" w:firstLine="0" w:firstLineChars="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5</w:t>
                  </w:r>
                </w:p>
              </w:tc>
              <w:tc>
                <w:tcPr>
                  <w:tcW w:w="1776" w:type="pct"/>
                  <w:tcBorders>
                    <w:tl2br w:val="nil"/>
                    <w:tr2bl w:val="nil"/>
                  </w:tcBorders>
                  <w:noWrap w:val="0"/>
                  <w:vAlign w:val="center"/>
                </w:tcPr>
                <w:p w14:paraId="4E4F4D48">
                  <w:pPr>
                    <w:pStyle w:val="26"/>
                    <w:keepNext w:val="0"/>
                    <w:keepLines w:val="0"/>
                    <w:widowControl w:val="0"/>
                    <w:suppressLineNumbers w:val="0"/>
                    <w:bidi w:val="0"/>
                    <w:spacing w:before="0" w:beforeAutospacing="0" w:after="0" w:afterAutospacing="0" w:line="240" w:lineRule="auto"/>
                    <w:ind w:right="0" w:rightChars="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NH</w:t>
                  </w:r>
                  <w:r>
                    <w:rPr>
                      <w:rFonts w:hint="eastAsia" w:ascii="Times New Roman" w:hAnsi="Times New Roman" w:cs="Times New Roman"/>
                      <w:color w:val="000000" w:themeColor="text1"/>
                      <w:sz w:val="21"/>
                      <w:szCs w:val="21"/>
                      <w:highlight w:val="none"/>
                      <w:vertAlign w:val="subscript"/>
                      <w:lang w:val="en-US" w:eastAsia="zh-CN" w:bidi="ar-SA"/>
                      <w14:textFill>
                        <w14:solidFill>
                          <w14:schemeClr w14:val="tx1"/>
                        </w14:solidFill>
                      </w14:textFill>
                    </w:rPr>
                    <w:t>3</w:t>
                  </w: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-N</w:t>
                  </w:r>
                </w:p>
              </w:tc>
              <w:tc>
                <w:tcPr>
                  <w:tcW w:w="629" w:type="pct"/>
                  <w:vMerge w:val="continue"/>
                  <w:tcBorders>
                    <w:tl2br w:val="nil"/>
                    <w:tr2bl w:val="nil"/>
                  </w:tcBorders>
                  <w:noWrap w:val="0"/>
                  <w:vAlign w:val="center"/>
                </w:tcPr>
                <w:p w14:paraId="4B3D4FDF">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p>
              </w:tc>
              <w:tc>
                <w:tcPr>
                  <w:tcW w:w="944" w:type="pct"/>
                  <w:tcBorders>
                    <w:tl2br w:val="nil"/>
                    <w:tr2bl w:val="nil"/>
                  </w:tcBorders>
                  <w:noWrap w:val="0"/>
                  <w:vAlign w:val="center"/>
                </w:tcPr>
                <w:p w14:paraId="2CA46568">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45</w:t>
                  </w:r>
                </w:p>
              </w:tc>
              <w:tc>
                <w:tcPr>
                  <w:tcW w:w="1184" w:type="pct"/>
                  <w:tcBorders>
                    <w:tl2br w:val="nil"/>
                    <w:tr2bl w:val="nil"/>
                  </w:tcBorders>
                  <w:noWrap w:val="0"/>
                  <w:vAlign w:val="center"/>
                </w:tcPr>
                <w:p w14:paraId="724C16BE">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color w:val="000000" w:themeColor="text1"/>
                      <w:highlight w:val="none"/>
                      <w:lang w:val="en-US" w:eastAsia="zh-CN" w:bidi="ar-SA"/>
                      <w14:textFill>
                        <w14:solidFill>
                          <w14:schemeClr w14:val="tx1"/>
                        </w14:solidFill>
                      </w14:textFill>
                    </w:rPr>
                    <w:t>GB/T31962-2015</w:t>
                  </w:r>
                </w:p>
              </w:tc>
            </w:tr>
          </w:tbl>
          <w:p w14:paraId="10086148">
            <w:pPr>
              <w:pStyle w:val="30"/>
              <w:numPr>
                <w:ilvl w:val="4"/>
                <w:numId w:val="3"/>
              </w:numPr>
              <w:tabs>
                <w:tab w:val="left" w:pos="0"/>
              </w:tabs>
              <w:bidi w:val="0"/>
              <w:rPr>
                <w:rFonts w:hint="default"/>
                <w:color w:val="000000" w:themeColor="text1"/>
                <w:highlight w:val="none"/>
                <w:lang w:val="en-US" w:eastAsia="zh-CN"/>
                <w14:textFill>
                  <w14:solidFill>
                    <w14:schemeClr w14:val="tx1"/>
                  </w14:solidFill>
                </w14:textFill>
              </w:rPr>
            </w:pPr>
            <w:bookmarkStart w:id="157" w:name="_Ref29937"/>
            <w:r>
              <w:rPr>
                <w:rFonts w:hint="eastAsia" w:cs="Times New Roman"/>
                <w:color w:val="000000" w:themeColor="text1"/>
                <w:highlight w:val="none"/>
                <w:lang w:val="en-US" w:eastAsia="zh-CN"/>
                <w14:textFill>
                  <w14:solidFill>
                    <w14:schemeClr w14:val="tx1"/>
                  </w14:solidFill>
                </w14:textFill>
              </w:rPr>
              <w:t>污水</w:t>
            </w:r>
            <w:r>
              <w:rPr>
                <w:rFonts w:hint="default" w:ascii="Times New Roman" w:hAnsi="Times New Roman" w:cs="Times New Roman"/>
                <w:color w:val="000000" w:themeColor="text1"/>
                <w:highlight w:val="none"/>
                <w:lang w:val="en-US" w:eastAsia="zh-CN"/>
                <w14:textFill>
                  <w14:solidFill>
                    <w14:schemeClr w14:val="tx1"/>
                  </w14:solidFill>
                </w14:textFill>
              </w:rPr>
              <w:t>处理厂</w:t>
            </w:r>
            <w:r>
              <w:rPr>
                <w:rFonts w:hint="eastAsia" w:ascii="Times New Roman" w:hAnsi="Times New Roman" w:cs="Times New Roman"/>
                <w:color w:val="000000" w:themeColor="text1"/>
                <w:highlight w:val="none"/>
                <w:lang w:val="en-US" w:eastAsia="zh-CN"/>
                <w14:textFill>
                  <w14:solidFill>
                    <w14:schemeClr w14:val="tx1"/>
                  </w14:solidFill>
                </w14:textFill>
              </w:rPr>
              <w:t>排放标准</w:t>
            </w:r>
            <w:bookmarkEnd w:id="157"/>
          </w:p>
          <w:tbl>
            <w:tblPr>
              <w:tblStyle w:val="18"/>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2965"/>
              <w:gridCol w:w="1050"/>
              <w:gridCol w:w="1576"/>
              <w:gridCol w:w="1977"/>
            </w:tblGrid>
            <w:tr w14:paraId="7A9651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65" w:type="pct"/>
                  <w:tcBorders>
                    <w:tl2br w:val="nil"/>
                    <w:tr2bl w:val="nil"/>
                  </w:tcBorders>
                  <w:noWrap w:val="0"/>
                  <w:vAlign w:val="center"/>
                </w:tcPr>
                <w:p w14:paraId="683762CA">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序号</w:t>
                  </w:r>
                </w:p>
              </w:tc>
              <w:tc>
                <w:tcPr>
                  <w:tcW w:w="1776" w:type="pct"/>
                  <w:tcBorders>
                    <w:tl2br w:val="nil"/>
                    <w:tr2bl w:val="nil"/>
                  </w:tcBorders>
                  <w:noWrap w:val="0"/>
                  <w:vAlign w:val="center"/>
                </w:tcPr>
                <w:p w14:paraId="1B913175">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污染物项目</w:t>
                  </w:r>
                </w:p>
              </w:tc>
              <w:tc>
                <w:tcPr>
                  <w:tcW w:w="629" w:type="pct"/>
                  <w:tcBorders>
                    <w:tl2br w:val="nil"/>
                    <w:tr2bl w:val="nil"/>
                  </w:tcBorders>
                  <w:noWrap w:val="0"/>
                  <w:vAlign w:val="center"/>
                </w:tcPr>
                <w:p w14:paraId="20E12C89">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单位</w:t>
                  </w:r>
                </w:p>
              </w:tc>
              <w:tc>
                <w:tcPr>
                  <w:tcW w:w="944" w:type="pct"/>
                  <w:tcBorders>
                    <w:tl2br w:val="nil"/>
                    <w:tr2bl w:val="nil"/>
                  </w:tcBorders>
                  <w:noWrap w:val="0"/>
                  <w:vAlign w:val="center"/>
                </w:tcPr>
                <w:p w14:paraId="6E5C01A7">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标准限值</w:t>
                  </w:r>
                </w:p>
              </w:tc>
              <w:tc>
                <w:tcPr>
                  <w:tcW w:w="1184" w:type="pct"/>
                  <w:tcBorders>
                    <w:tl2br w:val="nil"/>
                    <w:tr2bl w:val="nil"/>
                  </w:tcBorders>
                  <w:noWrap w:val="0"/>
                  <w:vAlign w:val="center"/>
                </w:tcPr>
                <w:p w14:paraId="7567DD7F">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标准来源</w:t>
                  </w:r>
                </w:p>
              </w:tc>
            </w:tr>
            <w:tr w14:paraId="10528D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65" w:type="pct"/>
                  <w:tcBorders>
                    <w:tl2br w:val="nil"/>
                    <w:tr2bl w:val="nil"/>
                  </w:tcBorders>
                  <w:noWrap w:val="0"/>
                  <w:vAlign w:val="center"/>
                </w:tcPr>
                <w:p w14:paraId="4FEADE72">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1</w:t>
                  </w:r>
                </w:p>
              </w:tc>
              <w:tc>
                <w:tcPr>
                  <w:tcW w:w="1776" w:type="pct"/>
                  <w:tcBorders>
                    <w:tl2br w:val="nil"/>
                    <w:tr2bl w:val="nil"/>
                  </w:tcBorders>
                  <w:noWrap w:val="0"/>
                  <w:vAlign w:val="center"/>
                </w:tcPr>
                <w:p w14:paraId="23735197">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pH</w:t>
                  </w:r>
                </w:p>
              </w:tc>
              <w:tc>
                <w:tcPr>
                  <w:tcW w:w="629" w:type="pct"/>
                  <w:tcBorders>
                    <w:tl2br w:val="nil"/>
                    <w:tr2bl w:val="nil"/>
                  </w:tcBorders>
                  <w:noWrap w:val="0"/>
                  <w:vAlign w:val="center"/>
                </w:tcPr>
                <w:p w14:paraId="4EE154B9">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无量纲</w:t>
                  </w:r>
                </w:p>
              </w:tc>
              <w:tc>
                <w:tcPr>
                  <w:tcW w:w="944" w:type="pct"/>
                  <w:tcBorders>
                    <w:tl2br w:val="nil"/>
                    <w:tr2bl w:val="nil"/>
                  </w:tcBorders>
                  <w:noWrap w:val="0"/>
                  <w:vAlign w:val="center"/>
                </w:tcPr>
                <w:p w14:paraId="2B87E47C">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6~9</w:t>
                  </w:r>
                </w:p>
              </w:tc>
              <w:tc>
                <w:tcPr>
                  <w:tcW w:w="1184" w:type="pct"/>
                  <w:vMerge w:val="restart"/>
                  <w:tcBorders>
                    <w:tl2br w:val="nil"/>
                    <w:tr2bl w:val="nil"/>
                  </w:tcBorders>
                  <w:noWrap w:val="0"/>
                  <w:vAlign w:val="center"/>
                </w:tcPr>
                <w:p w14:paraId="7CD5803D">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GB18918-2002</w:t>
                  </w:r>
                </w:p>
              </w:tc>
            </w:tr>
            <w:tr w14:paraId="5C0A47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65" w:type="pct"/>
                  <w:tcBorders>
                    <w:tl2br w:val="nil"/>
                    <w:tr2bl w:val="nil"/>
                  </w:tcBorders>
                  <w:noWrap w:val="0"/>
                  <w:vAlign w:val="center"/>
                </w:tcPr>
                <w:p w14:paraId="12629D17">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2</w:t>
                  </w:r>
                </w:p>
              </w:tc>
              <w:tc>
                <w:tcPr>
                  <w:tcW w:w="1776" w:type="pct"/>
                  <w:tcBorders>
                    <w:tl2br w:val="nil"/>
                    <w:tr2bl w:val="nil"/>
                  </w:tcBorders>
                  <w:noWrap w:val="0"/>
                  <w:vAlign w:val="center"/>
                </w:tcPr>
                <w:p w14:paraId="18C79D0B">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COD</w:t>
                  </w:r>
                </w:p>
              </w:tc>
              <w:tc>
                <w:tcPr>
                  <w:tcW w:w="629" w:type="pct"/>
                  <w:vMerge w:val="restart"/>
                  <w:tcBorders>
                    <w:tl2br w:val="nil"/>
                    <w:tr2bl w:val="nil"/>
                  </w:tcBorders>
                  <w:noWrap w:val="0"/>
                  <w:vAlign w:val="center"/>
                </w:tcPr>
                <w:p w14:paraId="4128C2E6">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mg/L</w:t>
                  </w:r>
                </w:p>
              </w:tc>
              <w:tc>
                <w:tcPr>
                  <w:tcW w:w="944" w:type="pct"/>
                  <w:tcBorders>
                    <w:tl2br w:val="nil"/>
                    <w:tr2bl w:val="nil"/>
                  </w:tcBorders>
                  <w:noWrap w:val="0"/>
                  <w:vAlign w:val="center"/>
                </w:tcPr>
                <w:p w14:paraId="085599F3">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60</w:t>
                  </w:r>
                </w:p>
              </w:tc>
              <w:tc>
                <w:tcPr>
                  <w:tcW w:w="1184" w:type="pct"/>
                  <w:vMerge w:val="continue"/>
                  <w:tcBorders>
                    <w:tl2br w:val="nil"/>
                    <w:tr2bl w:val="nil"/>
                  </w:tcBorders>
                  <w:noWrap w:val="0"/>
                  <w:vAlign w:val="center"/>
                </w:tcPr>
                <w:p w14:paraId="68BDF826">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p>
              </w:tc>
            </w:tr>
            <w:tr w14:paraId="337BE7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65" w:type="pct"/>
                  <w:tcBorders>
                    <w:tl2br w:val="nil"/>
                    <w:tr2bl w:val="nil"/>
                  </w:tcBorders>
                  <w:noWrap w:val="0"/>
                  <w:vAlign w:val="center"/>
                </w:tcPr>
                <w:p w14:paraId="6190F3B1">
                  <w:pPr>
                    <w:pStyle w:val="26"/>
                    <w:keepNext w:val="0"/>
                    <w:keepLines w:val="0"/>
                    <w:widowControl w:val="0"/>
                    <w:suppressLineNumbers w:val="0"/>
                    <w:bidi w:val="0"/>
                    <w:spacing w:before="0" w:beforeAutospacing="0" w:after="0" w:afterAutospacing="0" w:line="240" w:lineRule="auto"/>
                    <w:ind w:right="0" w:rightChars="0" w:firstLine="0" w:firstLineChars="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3</w:t>
                  </w:r>
                </w:p>
              </w:tc>
              <w:tc>
                <w:tcPr>
                  <w:tcW w:w="1776" w:type="pct"/>
                  <w:tcBorders>
                    <w:tl2br w:val="nil"/>
                    <w:tr2bl w:val="nil"/>
                  </w:tcBorders>
                  <w:noWrap w:val="0"/>
                  <w:vAlign w:val="center"/>
                </w:tcPr>
                <w:p w14:paraId="72758178">
                  <w:pPr>
                    <w:pStyle w:val="26"/>
                    <w:keepNext w:val="0"/>
                    <w:keepLines w:val="0"/>
                    <w:widowControl w:val="0"/>
                    <w:suppressLineNumbers w:val="0"/>
                    <w:bidi w:val="0"/>
                    <w:spacing w:before="0" w:beforeAutospacing="0" w:after="0" w:afterAutospacing="0" w:line="240" w:lineRule="auto"/>
                    <w:ind w:right="0" w:rightChars="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BOD</w:t>
                  </w:r>
                  <w:r>
                    <w:rPr>
                      <w:rFonts w:hint="eastAsia" w:ascii="Times New Roman" w:hAnsi="Times New Roman" w:cs="Times New Roman"/>
                      <w:color w:val="000000" w:themeColor="text1"/>
                      <w:sz w:val="21"/>
                      <w:szCs w:val="21"/>
                      <w:highlight w:val="none"/>
                      <w:vertAlign w:val="subscript"/>
                      <w:lang w:val="en-US" w:eastAsia="zh-CN" w:bidi="ar-SA"/>
                      <w14:textFill>
                        <w14:solidFill>
                          <w14:schemeClr w14:val="tx1"/>
                        </w14:solidFill>
                      </w14:textFill>
                    </w:rPr>
                    <w:t>5</w:t>
                  </w:r>
                </w:p>
              </w:tc>
              <w:tc>
                <w:tcPr>
                  <w:tcW w:w="629" w:type="pct"/>
                  <w:vMerge w:val="continue"/>
                  <w:tcBorders>
                    <w:tl2br w:val="nil"/>
                    <w:tr2bl w:val="nil"/>
                  </w:tcBorders>
                  <w:noWrap w:val="0"/>
                  <w:vAlign w:val="center"/>
                </w:tcPr>
                <w:p w14:paraId="7D67D395">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p>
              </w:tc>
              <w:tc>
                <w:tcPr>
                  <w:tcW w:w="944" w:type="pct"/>
                  <w:tcBorders>
                    <w:tl2br w:val="nil"/>
                    <w:tr2bl w:val="nil"/>
                  </w:tcBorders>
                  <w:noWrap w:val="0"/>
                  <w:vAlign w:val="center"/>
                </w:tcPr>
                <w:p w14:paraId="73F12098">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20</w:t>
                  </w:r>
                </w:p>
              </w:tc>
              <w:tc>
                <w:tcPr>
                  <w:tcW w:w="1184" w:type="pct"/>
                  <w:vMerge w:val="continue"/>
                  <w:tcBorders>
                    <w:tl2br w:val="nil"/>
                    <w:tr2bl w:val="nil"/>
                  </w:tcBorders>
                  <w:noWrap w:val="0"/>
                  <w:vAlign w:val="center"/>
                </w:tcPr>
                <w:p w14:paraId="378C6104">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p>
              </w:tc>
            </w:tr>
            <w:tr w14:paraId="2D503A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65" w:type="pct"/>
                  <w:tcBorders>
                    <w:tl2br w:val="nil"/>
                    <w:tr2bl w:val="nil"/>
                  </w:tcBorders>
                  <w:noWrap w:val="0"/>
                  <w:vAlign w:val="center"/>
                </w:tcPr>
                <w:p w14:paraId="5FC8D05E">
                  <w:pPr>
                    <w:pStyle w:val="26"/>
                    <w:keepNext w:val="0"/>
                    <w:keepLines w:val="0"/>
                    <w:widowControl w:val="0"/>
                    <w:suppressLineNumbers w:val="0"/>
                    <w:bidi w:val="0"/>
                    <w:spacing w:before="0" w:beforeAutospacing="0" w:after="0" w:afterAutospacing="0" w:line="240" w:lineRule="auto"/>
                    <w:ind w:right="0" w:rightChars="0" w:firstLine="0" w:firstLineChars="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4</w:t>
                  </w:r>
                </w:p>
              </w:tc>
              <w:tc>
                <w:tcPr>
                  <w:tcW w:w="1776" w:type="pct"/>
                  <w:tcBorders>
                    <w:tl2br w:val="nil"/>
                    <w:tr2bl w:val="nil"/>
                  </w:tcBorders>
                  <w:noWrap w:val="0"/>
                  <w:vAlign w:val="center"/>
                </w:tcPr>
                <w:p w14:paraId="584DC29E">
                  <w:pPr>
                    <w:pStyle w:val="26"/>
                    <w:keepNext w:val="0"/>
                    <w:keepLines w:val="0"/>
                    <w:widowControl w:val="0"/>
                    <w:suppressLineNumbers w:val="0"/>
                    <w:bidi w:val="0"/>
                    <w:spacing w:before="0" w:beforeAutospacing="0" w:after="0" w:afterAutospacing="0" w:line="240" w:lineRule="auto"/>
                    <w:ind w:right="0" w:rightChars="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SS</w:t>
                  </w:r>
                </w:p>
              </w:tc>
              <w:tc>
                <w:tcPr>
                  <w:tcW w:w="629" w:type="pct"/>
                  <w:vMerge w:val="continue"/>
                  <w:tcBorders>
                    <w:tl2br w:val="nil"/>
                    <w:tr2bl w:val="nil"/>
                  </w:tcBorders>
                  <w:noWrap w:val="0"/>
                  <w:vAlign w:val="center"/>
                </w:tcPr>
                <w:p w14:paraId="6BB5F985">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p>
              </w:tc>
              <w:tc>
                <w:tcPr>
                  <w:tcW w:w="944" w:type="pct"/>
                  <w:tcBorders>
                    <w:tl2br w:val="nil"/>
                    <w:tr2bl w:val="nil"/>
                  </w:tcBorders>
                  <w:noWrap w:val="0"/>
                  <w:vAlign w:val="center"/>
                </w:tcPr>
                <w:p w14:paraId="72798220">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20</w:t>
                  </w:r>
                </w:p>
              </w:tc>
              <w:tc>
                <w:tcPr>
                  <w:tcW w:w="1184" w:type="pct"/>
                  <w:vMerge w:val="continue"/>
                  <w:tcBorders>
                    <w:tl2br w:val="nil"/>
                    <w:tr2bl w:val="nil"/>
                  </w:tcBorders>
                  <w:noWrap w:val="0"/>
                  <w:vAlign w:val="center"/>
                </w:tcPr>
                <w:p w14:paraId="17812B29">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p>
              </w:tc>
            </w:tr>
            <w:tr w14:paraId="553F7D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trPr>
              <w:tc>
                <w:tcPr>
                  <w:tcW w:w="465" w:type="pct"/>
                  <w:tcBorders>
                    <w:tl2br w:val="nil"/>
                    <w:tr2bl w:val="nil"/>
                  </w:tcBorders>
                  <w:noWrap w:val="0"/>
                  <w:vAlign w:val="center"/>
                </w:tcPr>
                <w:p w14:paraId="280C81F1">
                  <w:pPr>
                    <w:pStyle w:val="26"/>
                    <w:keepNext w:val="0"/>
                    <w:keepLines w:val="0"/>
                    <w:widowControl w:val="0"/>
                    <w:suppressLineNumbers w:val="0"/>
                    <w:bidi w:val="0"/>
                    <w:spacing w:before="0" w:beforeAutospacing="0" w:after="0" w:afterAutospacing="0" w:line="240" w:lineRule="auto"/>
                    <w:ind w:right="0" w:rightChars="0" w:firstLine="0" w:firstLineChars="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5</w:t>
                  </w:r>
                </w:p>
              </w:tc>
              <w:tc>
                <w:tcPr>
                  <w:tcW w:w="1776" w:type="pct"/>
                  <w:tcBorders>
                    <w:tl2br w:val="nil"/>
                    <w:tr2bl w:val="nil"/>
                  </w:tcBorders>
                  <w:noWrap w:val="0"/>
                  <w:vAlign w:val="center"/>
                </w:tcPr>
                <w:p w14:paraId="0000C504">
                  <w:pPr>
                    <w:pStyle w:val="26"/>
                    <w:keepNext w:val="0"/>
                    <w:keepLines w:val="0"/>
                    <w:widowControl w:val="0"/>
                    <w:suppressLineNumbers w:val="0"/>
                    <w:bidi w:val="0"/>
                    <w:spacing w:before="0" w:beforeAutospacing="0" w:after="0" w:afterAutospacing="0" w:line="240" w:lineRule="auto"/>
                    <w:ind w:right="0" w:rightChars="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NH</w:t>
                  </w:r>
                  <w:r>
                    <w:rPr>
                      <w:rFonts w:hint="eastAsia" w:ascii="Times New Roman" w:hAnsi="Times New Roman" w:cs="Times New Roman"/>
                      <w:color w:val="000000" w:themeColor="text1"/>
                      <w:sz w:val="21"/>
                      <w:szCs w:val="21"/>
                      <w:highlight w:val="none"/>
                      <w:vertAlign w:val="subscript"/>
                      <w:lang w:val="en-US" w:eastAsia="zh-CN" w:bidi="ar-SA"/>
                      <w14:textFill>
                        <w14:solidFill>
                          <w14:schemeClr w14:val="tx1"/>
                        </w14:solidFill>
                      </w14:textFill>
                    </w:rPr>
                    <w:t>3</w:t>
                  </w: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-N</w:t>
                  </w:r>
                </w:p>
              </w:tc>
              <w:tc>
                <w:tcPr>
                  <w:tcW w:w="629" w:type="pct"/>
                  <w:vMerge w:val="continue"/>
                  <w:tcBorders>
                    <w:tl2br w:val="nil"/>
                    <w:tr2bl w:val="nil"/>
                  </w:tcBorders>
                  <w:noWrap w:val="0"/>
                  <w:vAlign w:val="center"/>
                </w:tcPr>
                <w:p w14:paraId="007757C9">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p>
              </w:tc>
              <w:tc>
                <w:tcPr>
                  <w:tcW w:w="944" w:type="pct"/>
                  <w:tcBorders>
                    <w:tl2br w:val="nil"/>
                    <w:tr2bl w:val="nil"/>
                  </w:tcBorders>
                  <w:noWrap w:val="0"/>
                  <w:vAlign w:val="center"/>
                </w:tcPr>
                <w:p w14:paraId="7F408466">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8（15）</w:t>
                  </w:r>
                </w:p>
              </w:tc>
              <w:tc>
                <w:tcPr>
                  <w:tcW w:w="1184" w:type="pct"/>
                  <w:vMerge w:val="continue"/>
                  <w:tcBorders>
                    <w:tl2br w:val="nil"/>
                    <w:tr2bl w:val="nil"/>
                  </w:tcBorders>
                  <w:noWrap w:val="0"/>
                  <w:vAlign w:val="center"/>
                </w:tcPr>
                <w:p w14:paraId="4B6A08A2">
                  <w:pPr>
                    <w:pStyle w:val="26"/>
                    <w:keepNext w:val="0"/>
                    <w:keepLines w:val="0"/>
                    <w:widowControl w:val="0"/>
                    <w:suppressLineNumbers w:val="0"/>
                    <w:bidi w:val="0"/>
                    <w:spacing w:before="0" w:beforeAutospacing="0" w:after="0" w:afterAutospacing="0" w:line="240" w:lineRule="auto"/>
                    <w:ind w:right="0"/>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p>
              </w:tc>
            </w:tr>
          </w:tbl>
          <w:p w14:paraId="41F40B96">
            <w:pPr>
              <w:pStyle w:val="3"/>
              <w:numPr>
                <w:ilvl w:val="2"/>
                <w:numId w:val="4"/>
              </w:numPr>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噪声排放标准</w:t>
            </w:r>
          </w:p>
          <w:p w14:paraId="1CC02956">
            <w:pP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b w:val="0"/>
                <w:color w:val="000000" w:themeColor="text1"/>
                <w:sz w:val="24"/>
                <w:szCs w:val="24"/>
                <w:highlight w:val="none"/>
                <w:lang w:val="en-US" w:eastAsia="zh-CN"/>
                <w14:textFill>
                  <w14:solidFill>
                    <w14:schemeClr w14:val="tx1"/>
                  </w14:solidFill>
                </w14:textFill>
              </w:rPr>
              <w:t>运营期</w:t>
            </w:r>
            <w:r>
              <w:rPr>
                <w:rFonts w:hint="default" w:ascii="Times New Roman" w:hAnsi="Times New Roman" w:cs="Times New Roman"/>
                <w:color w:val="000000" w:themeColor="text1"/>
                <w:highlight w:val="none"/>
                <w14:textFill>
                  <w14:solidFill>
                    <w14:schemeClr w14:val="tx1"/>
                  </w14:solidFill>
                </w14:textFill>
              </w:rPr>
              <w:t>厂界噪声排放执行《工业企业厂界环境噪声排放标准》</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GB12348-2008</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中</w:t>
            </w: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类标准，详见</w:t>
            </w:r>
            <w:r>
              <w:rPr>
                <w:rFonts w:hint="default" w:ascii="Times New Roman" w:hAnsi="Times New Roman" w:cs="Times New Roman"/>
                <w:color w:val="000000" w:themeColor="text1"/>
                <w:highlight w:val="none"/>
                <w:lang w:val="en-US"/>
                <w14:textFill>
                  <w14:solidFill>
                    <w14:schemeClr w14:val="tx1"/>
                  </w14:solidFill>
                </w14:textFill>
              </w:rPr>
              <w:fldChar w:fldCharType="begin"/>
            </w:r>
            <w:r>
              <w:rPr>
                <w:rFonts w:hint="default" w:ascii="Times New Roman" w:hAnsi="Times New Roman" w:cs="Times New Roman"/>
                <w:color w:val="000000" w:themeColor="text1"/>
                <w:highlight w:val="none"/>
                <w:lang w:val="en-US"/>
                <w14:textFill>
                  <w14:solidFill>
                    <w14:schemeClr w14:val="tx1"/>
                  </w14:solidFill>
                </w14:textFill>
              </w:rPr>
              <w:instrText xml:space="preserve"> REF _Ref30955 \n \h </w:instrText>
            </w:r>
            <w:r>
              <w:rPr>
                <w:rFonts w:hint="default" w:ascii="Times New Roman" w:hAnsi="Times New Roman" w:cs="Times New Roman"/>
                <w:color w:val="000000" w:themeColor="text1"/>
                <w:highlight w:val="none"/>
                <w:lang w:val="en-US"/>
                <w14:textFill>
                  <w14:solidFill>
                    <w14:schemeClr w14:val="tx1"/>
                  </w14:solidFill>
                </w14:textFill>
              </w:rPr>
              <w:fldChar w:fldCharType="separate"/>
            </w:r>
            <w:r>
              <w:rPr>
                <w:rFonts w:hint="default" w:ascii="Times New Roman" w:hAnsi="Times New Roman" w:cs="Times New Roman"/>
                <w:color w:val="000000" w:themeColor="text1"/>
                <w:highlight w:val="none"/>
                <w:lang w:val="en-US"/>
                <w14:textFill>
                  <w14:solidFill>
                    <w14:schemeClr w14:val="tx1"/>
                  </w14:solidFill>
                </w14:textFill>
              </w:rPr>
              <w:t>表3.3-5</w:t>
            </w:r>
            <w:r>
              <w:rPr>
                <w:rFonts w:hint="default" w:ascii="Times New Roman" w:hAnsi="Times New Roman" w:cs="Times New Roman"/>
                <w:color w:val="000000" w:themeColor="text1"/>
                <w:highlight w:val="none"/>
                <w:lang w:val="en-US"/>
                <w14:textFill>
                  <w14:solidFill>
                    <w14:schemeClr w14:val="tx1"/>
                  </w14:solidFill>
                </w14:textFill>
              </w:rPr>
              <w:fldChar w:fldCharType="end"/>
            </w:r>
            <w:r>
              <w:rPr>
                <w:rFonts w:hint="default" w:ascii="Times New Roman" w:hAnsi="Times New Roman" w:cs="Times New Roman"/>
                <w:color w:val="000000" w:themeColor="text1"/>
                <w:highlight w:val="none"/>
                <w:lang w:val="en-US" w:eastAsia="zh-CN"/>
                <w14:textFill>
                  <w14:solidFill>
                    <w14:schemeClr w14:val="tx1"/>
                  </w14:solidFill>
                </w14:textFill>
              </w:rPr>
              <w:t>。</w:t>
            </w:r>
          </w:p>
          <w:p w14:paraId="24CE9072">
            <w:pPr>
              <w:pStyle w:val="30"/>
              <w:numPr>
                <w:ilvl w:val="4"/>
                <w:numId w:val="4"/>
              </w:numPr>
              <w:tabs>
                <w:tab w:val="left" w:pos="0"/>
              </w:tabs>
              <w:bidi w:val="0"/>
              <w:rPr>
                <w:rFonts w:hint="default" w:ascii="Times New Roman" w:hAnsi="Times New Roman" w:cs="Times New Roman"/>
                <w:color w:val="000000" w:themeColor="text1"/>
                <w:highlight w:val="none"/>
                <w:lang w:val="en-US" w:eastAsia="zh-CN"/>
                <w14:textFill>
                  <w14:solidFill>
                    <w14:schemeClr w14:val="tx1"/>
                  </w14:solidFill>
                </w14:textFill>
              </w:rPr>
            </w:pPr>
            <w:bookmarkStart w:id="158" w:name="_Ref30955"/>
            <w:r>
              <w:rPr>
                <w:rFonts w:hint="default" w:ascii="Times New Roman" w:hAnsi="Times New Roman" w:cs="Times New Roman"/>
                <w:color w:val="000000" w:themeColor="text1"/>
                <w:highlight w:val="none"/>
                <w14:textFill>
                  <w14:solidFill>
                    <w14:schemeClr w14:val="tx1"/>
                  </w14:solidFill>
                </w14:textFill>
              </w:rPr>
              <w:t>《工业企业厂界环境噪声排放标准》</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GB12348-2008</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摘录</w:t>
            </w:r>
            <w:r>
              <w:rPr>
                <w:rFonts w:hint="default" w:ascii="Times New Roman" w:hAnsi="Times New Roman" w:cs="Times New Roman"/>
                <w:color w:val="000000" w:themeColor="text1"/>
                <w:highlight w:val="none"/>
                <w:lang w:eastAsia="zh-CN"/>
                <w14:textFill>
                  <w14:solidFill>
                    <w14:schemeClr w14:val="tx1"/>
                  </w14:solidFill>
                </w14:textFill>
              </w:rPr>
              <w:t>）</w:t>
            </w:r>
            <w:bookmarkEnd w:id="158"/>
          </w:p>
          <w:tbl>
            <w:tblPr>
              <w:tblStyle w:val="1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19"/>
              <w:gridCol w:w="2424"/>
              <w:gridCol w:w="2424"/>
              <w:gridCol w:w="1979"/>
            </w:tblGrid>
            <w:tr w14:paraId="56DA6F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0" w:type="pct"/>
                  <w:tcBorders>
                    <w:tl2br w:val="nil"/>
                    <w:tr2bl w:val="nil"/>
                  </w:tcBorders>
                  <w:noWrap w:val="0"/>
                  <w:vAlign w:val="center"/>
                </w:tcPr>
                <w:p w14:paraId="4E4169BE">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类别</w:t>
                  </w:r>
                </w:p>
              </w:tc>
              <w:tc>
                <w:tcPr>
                  <w:tcW w:w="1452" w:type="pct"/>
                  <w:tcBorders>
                    <w:tl2br w:val="nil"/>
                    <w:tr2bl w:val="nil"/>
                  </w:tcBorders>
                  <w:noWrap w:val="0"/>
                  <w:vAlign w:val="center"/>
                </w:tcPr>
                <w:p w14:paraId="48DB9B62">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单位</w:t>
                  </w:r>
                </w:p>
              </w:tc>
              <w:tc>
                <w:tcPr>
                  <w:tcW w:w="1452" w:type="pct"/>
                  <w:tcBorders>
                    <w:tl2br w:val="nil"/>
                    <w:tr2bl w:val="nil"/>
                  </w:tcBorders>
                  <w:noWrap w:val="0"/>
                  <w:vAlign w:val="center"/>
                </w:tcPr>
                <w:p w14:paraId="31DB7B87">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昼间</w:t>
                  </w:r>
                </w:p>
              </w:tc>
              <w:tc>
                <w:tcPr>
                  <w:tcW w:w="1185" w:type="pct"/>
                  <w:tcBorders>
                    <w:tl2br w:val="nil"/>
                    <w:tr2bl w:val="nil"/>
                  </w:tcBorders>
                  <w:noWrap w:val="0"/>
                  <w:vAlign w:val="center"/>
                </w:tcPr>
                <w:p w14:paraId="5C4F8E6E">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夜间</w:t>
                  </w:r>
                </w:p>
              </w:tc>
            </w:tr>
            <w:tr w14:paraId="35E71C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0" w:type="pct"/>
                  <w:tcBorders>
                    <w:tl2br w:val="nil"/>
                    <w:tr2bl w:val="nil"/>
                  </w:tcBorders>
                  <w:noWrap w:val="0"/>
                  <w:vAlign w:val="center"/>
                </w:tcPr>
                <w:p w14:paraId="1B657568">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3类</w:t>
                  </w:r>
                </w:p>
              </w:tc>
              <w:tc>
                <w:tcPr>
                  <w:tcW w:w="1452" w:type="pct"/>
                  <w:tcBorders>
                    <w:tl2br w:val="nil"/>
                    <w:tr2bl w:val="nil"/>
                  </w:tcBorders>
                  <w:noWrap w:val="0"/>
                  <w:vAlign w:val="center"/>
                </w:tcPr>
                <w:p w14:paraId="7FABA720">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dB（A）</w:t>
                  </w:r>
                </w:p>
              </w:tc>
              <w:tc>
                <w:tcPr>
                  <w:tcW w:w="1452" w:type="pct"/>
                  <w:tcBorders>
                    <w:tl2br w:val="nil"/>
                    <w:tr2bl w:val="nil"/>
                  </w:tcBorders>
                  <w:noWrap w:val="0"/>
                  <w:vAlign w:val="center"/>
                </w:tcPr>
                <w:p w14:paraId="4AE08FCF">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65</w:t>
                  </w:r>
                </w:p>
              </w:tc>
              <w:tc>
                <w:tcPr>
                  <w:tcW w:w="1185" w:type="pct"/>
                  <w:tcBorders>
                    <w:tl2br w:val="nil"/>
                    <w:tr2bl w:val="nil"/>
                  </w:tcBorders>
                  <w:noWrap w:val="0"/>
                  <w:vAlign w:val="center"/>
                </w:tcPr>
                <w:p w14:paraId="02A2FE6B">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55</w:t>
                  </w:r>
                </w:p>
              </w:tc>
            </w:tr>
          </w:tbl>
          <w:p w14:paraId="4FE7E9BD">
            <w:pPr>
              <w:pStyle w:val="3"/>
              <w:numPr>
                <w:ilvl w:val="2"/>
                <w:numId w:val="4"/>
              </w:numPr>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固体废物</w:t>
            </w:r>
          </w:p>
          <w:p w14:paraId="22E02D13">
            <w:pPr>
              <w:bidi w:val="0"/>
              <w:rPr>
                <w:rFonts w:hint="default"/>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项目生产过程中产生的一般工业固体废物临时</w:t>
            </w:r>
            <w:r>
              <w:rPr>
                <w:rFonts w:hint="eastAsia" w:ascii="Times New Roman" w:hAnsi="Times New Roman" w:cs="Times New Roman"/>
                <w:color w:val="000000" w:themeColor="text1"/>
                <w:highlight w:val="none"/>
                <w:lang w:val="en-US" w:eastAsia="zh-CN"/>
                <w14:textFill>
                  <w14:solidFill>
                    <w14:schemeClr w14:val="tx1"/>
                  </w14:solidFill>
                </w14:textFill>
              </w:rPr>
              <w:t>贮存</w:t>
            </w:r>
            <w:r>
              <w:rPr>
                <w:rFonts w:hint="default" w:ascii="Times New Roman" w:hAnsi="Times New Roman" w:cs="Times New Roman"/>
                <w:color w:val="000000" w:themeColor="text1"/>
                <w:highlight w:val="none"/>
                <w14:textFill>
                  <w14:solidFill>
                    <w14:schemeClr w14:val="tx1"/>
                  </w14:solidFill>
                </w14:textFill>
              </w:rPr>
              <w:t>执行《一般工业固体废物贮存</w:t>
            </w:r>
            <w:r>
              <w:rPr>
                <w:rFonts w:hint="default" w:ascii="Times New Roman" w:hAnsi="Times New Roman" w:cs="Times New Roman"/>
                <w:color w:val="000000" w:themeColor="text1"/>
                <w:highlight w:val="none"/>
                <w:lang w:val="en-US" w:eastAsia="zh-CN"/>
                <w14:textFill>
                  <w14:solidFill>
                    <w14:schemeClr w14:val="tx1"/>
                  </w14:solidFill>
                </w14:textFill>
              </w:rPr>
              <w:t>和填埋</w:t>
            </w:r>
            <w:r>
              <w:rPr>
                <w:rFonts w:hint="default" w:ascii="Times New Roman" w:hAnsi="Times New Roman" w:cs="Times New Roman"/>
                <w:color w:val="000000" w:themeColor="text1"/>
                <w:highlight w:val="none"/>
                <w14:textFill>
                  <w14:solidFill>
                    <w14:schemeClr w14:val="tx1"/>
                  </w14:solidFill>
                </w14:textFill>
              </w:rPr>
              <w:t>污染控制标准》</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GB18599-20</w:t>
            </w:r>
            <w:r>
              <w:rPr>
                <w:rFonts w:hint="default" w:ascii="Times New Roman" w:hAnsi="Times New Roman" w:cs="Times New Roman"/>
                <w:color w:val="000000" w:themeColor="text1"/>
                <w:highlight w:val="none"/>
                <w:lang w:val="en-US" w:eastAsia="zh-CN"/>
                <w14:textFill>
                  <w14:solidFill>
                    <w14:schemeClr w14:val="tx1"/>
                  </w14:solidFill>
                </w14:textFill>
              </w:rPr>
              <w:t>20</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中的相关要求</w:t>
            </w:r>
            <w:r>
              <w:rPr>
                <w:rFonts w:hint="default" w:ascii="Times New Roman" w:hAnsi="Times New Roman" w:cs="Times New Roman"/>
                <w:color w:val="000000" w:themeColor="text1"/>
                <w:highlight w:val="none"/>
                <w14:textFill>
                  <w14:solidFill>
                    <w14:schemeClr w14:val="tx1"/>
                  </w14:solidFill>
                </w14:textFill>
              </w:rPr>
              <w:t>；危险废物临时</w:t>
            </w:r>
            <w:r>
              <w:rPr>
                <w:rFonts w:hint="eastAsia" w:ascii="Times New Roman" w:hAnsi="Times New Roman" w:cs="Times New Roman"/>
                <w:color w:val="000000" w:themeColor="text1"/>
                <w:highlight w:val="none"/>
                <w:lang w:val="en-US" w:eastAsia="zh-CN"/>
                <w14:textFill>
                  <w14:solidFill>
                    <w14:schemeClr w14:val="tx1"/>
                  </w14:solidFill>
                </w14:textFill>
              </w:rPr>
              <w:t>贮存</w:t>
            </w:r>
            <w:r>
              <w:rPr>
                <w:rFonts w:hint="default" w:ascii="Times New Roman" w:hAnsi="Times New Roman" w:cs="Times New Roman"/>
                <w:color w:val="000000" w:themeColor="text1"/>
                <w:highlight w:val="none"/>
                <w14:textFill>
                  <w14:solidFill>
                    <w14:schemeClr w14:val="tx1"/>
                  </w14:solidFill>
                </w14:textFill>
              </w:rPr>
              <w:t>点按《危险废物贮存污染控制标准》</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GB18597-20</w:t>
            </w:r>
            <w:r>
              <w:rPr>
                <w:rFonts w:hint="default" w:ascii="Times New Roman" w:hAnsi="Times New Roman" w:cs="Times New Roman"/>
                <w:color w:val="000000" w:themeColor="text1"/>
                <w:highlight w:val="none"/>
                <w:lang w:val="en-US" w:eastAsia="zh-CN"/>
                <w14:textFill>
                  <w14:solidFill>
                    <w14:schemeClr w14:val="tx1"/>
                  </w14:solidFill>
                </w14:textFill>
              </w:rPr>
              <w:t>23</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要求进行设置。</w:t>
            </w:r>
          </w:p>
        </w:tc>
      </w:tr>
      <w:tr w14:paraId="5D448A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89" w:type="pct"/>
            <w:noWrap w:val="0"/>
            <w:vAlign w:val="center"/>
          </w:tcPr>
          <w:p w14:paraId="2EA066F5">
            <w:pPr>
              <w:adjustRightInd w:val="0"/>
              <w:snapToGrid w:val="0"/>
              <w:ind w:left="0" w:leftChars="0" w:firstLine="0" w:firstLineChars="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总量控制指标</w:t>
            </w:r>
          </w:p>
        </w:tc>
        <w:tc>
          <w:tcPr>
            <w:tcW w:w="4610" w:type="pct"/>
            <w:noWrap w:val="0"/>
            <w:vAlign w:val="center"/>
          </w:tcPr>
          <w:p w14:paraId="74838AE9">
            <w:pPr>
              <w:pStyle w:val="2"/>
              <w:numPr>
                <w:ilvl w:val="1"/>
                <w:numId w:val="4"/>
              </w:numPr>
              <w:tabs>
                <w:tab w:val="left" w:pos="420"/>
              </w:tabs>
              <w:bidi w:val="0"/>
              <w:rPr>
                <w:rFonts w:hint="default" w:ascii="Times New Roman" w:hAnsi="Times New Roman" w:cs="Times New Roman"/>
                <w:color w:val="000000" w:themeColor="text1"/>
                <w:highlight w:val="none"/>
                <w14:textFill>
                  <w14:solidFill>
                    <w14:schemeClr w14:val="tx1"/>
                  </w14:solidFill>
                </w14:textFill>
              </w:rPr>
            </w:pPr>
            <w:bookmarkStart w:id="159" w:name="_Toc6357"/>
            <w:r>
              <w:rPr>
                <w:rFonts w:hint="default" w:ascii="Times New Roman" w:hAnsi="Times New Roman" w:cs="Times New Roman"/>
                <w:color w:val="000000" w:themeColor="text1"/>
                <w:highlight w:val="none"/>
                <w:lang w:val="en-US" w:eastAsia="zh-CN"/>
                <w14:textFill>
                  <w14:solidFill>
                    <w14:schemeClr w14:val="tx1"/>
                  </w14:solidFill>
                </w14:textFill>
              </w:rPr>
              <w:t>总量控制指标</w:t>
            </w:r>
            <w:bookmarkEnd w:id="159"/>
          </w:p>
          <w:p w14:paraId="7D436F32">
            <w:pP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国务院关于印发“十四五”节能减排综合工作方案的通知》（国发〔2021〕33号）、《福建省人民政府办公厅关于印发福建省“十四五”生态环境保护专项规划的通知》（闽政办〔2021〕59号），有关主要污染物排放总量控制计划的要求，结合本项目排污特征，确定本项目总量控制因子为挥发性有机物（以非甲烷总烃计）</w:t>
            </w:r>
            <w:r>
              <w:rPr>
                <w:rFonts w:hint="eastAsia"/>
                <w:color w:val="000000" w:themeColor="text1"/>
                <w:highlight w:val="none"/>
                <w:lang w:val="en-US" w:eastAsia="zh-CN"/>
                <w14:textFill>
                  <w14:solidFill>
                    <w14:schemeClr w14:val="tx1"/>
                  </w14:solidFill>
                </w14:textFill>
              </w:rPr>
              <w:t>。</w:t>
            </w:r>
          </w:p>
          <w:p w14:paraId="3D5503C5">
            <w:pPr>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项目污染物排放总量控制详见下表。</w:t>
            </w:r>
          </w:p>
          <w:p w14:paraId="24F52232">
            <w:pPr>
              <w:pStyle w:val="30"/>
              <w:numPr>
                <w:ilvl w:val="4"/>
                <w:numId w:val="4"/>
              </w:numPr>
              <w:tabs>
                <w:tab w:val="left" w:pos="0"/>
              </w:tabs>
              <w:bidi w:val="0"/>
              <w:rPr>
                <w:rFonts w:hint="default" w:ascii="Times New Roman" w:hAnsi="Times New Roman" w:cs="Times New Roman"/>
                <w:color w:val="000000" w:themeColor="text1"/>
                <w:highlight w:val="none"/>
                <w:lang w:val="en-US" w:eastAsia="zh-CN"/>
                <w14:textFill>
                  <w14:solidFill>
                    <w14:schemeClr w14:val="tx1"/>
                  </w14:solidFill>
                </w14:textFill>
              </w:rPr>
            </w:pPr>
            <w:bookmarkStart w:id="160" w:name="_Ref21612"/>
            <w:r>
              <w:rPr>
                <w:rFonts w:hint="eastAsia" w:ascii="Times New Roman" w:hAnsi="Times New Roman" w:cs="Times New Roman"/>
                <w:color w:val="000000" w:themeColor="text1"/>
                <w:highlight w:val="none"/>
                <w:lang w:val="en-US" w:eastAsia="zh-CN"/>
                <w14:textFill>
                  <w14:solidFill>
                    <w14:schemeClr w14:val="tx1"/>
                  </w14:solidFill>
                </w14:textFill>
              </w:rPr>
              <w:t>一期工程</w:t>
            </w:r>
            <w:r>
              <w:rPr>
                <w:rFonts w:hint="default" w:ascii="Times New Roman" w:hAnsi="Times New Roman" w:cs="Times New Roman"/>
                <w:color w:val="000000" w:themeColor="text1"/>
                <w:highlight w:val="none"/>
                <w:lang w:val="en-US" w:eastAsia="zh-CN"/>
                <w14:textFill>
                  <w14:solidFill>
                    <w14:schemeClr w14:val="tx1"/>
                  </w14:solidFill>
                </w14:textFill>
              </w:rPr>
              <w:t>总量控制指标值</w:t>
            </w:r>
            <w:bookmarkEnd w:id="160"/>
          </w:p>
          <w:tbl>
            <w:tblPr>
              <w:tblStyle w:val="1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3"/>
              <w:gridCol w:w="1334"/>
              <w:gridCol w:w="1329"/>
              <w:gridCol w:w="1102"/>
              <w:gridCol w:w="1491"/>
              <w:gridCol w:w="1697"/>
            </w:tblGrid>
            <w:tr w14:paraId="4612F2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4" w:type="pct"/>
                  <w:vMerge w:val="restart"/>
                  <w:noWrap w:val="0"/>
                  <w:vAlign w:val="center"/>
                </w:tcPr>
                <w:p w14:paraId="087F9D6D">
                  <w:pPr>
                    <w:pStyle w:val="26"/>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工程类别</w:t>
                  </w:r>
                </w:p>
              </w:tc>
              <w:tc>
                <w:tcPr>
                  <w:tcW w:w="799" w:type="pct"/>
                  <w:vMerge w:val="restart"/>
                  <w:noWrap w:val="0"/>
                  <w:vAlign w:val="center"/>
                </w:tcPr>
                <w:p w14:paraId="2222C4CF">
                  <w:pPr>
                    <w:pStyle w:val="26"/>
                    <w:ind w:firstLine="0" w:firstLineChars="0"/>
                    <w:rPr>
                      <w:color w:val="000000" w:themeColor="text1"/>
                      <w:sz w:val="21"/>
                      <w:szCs w:val="22"/>
                      <w:highlight w:val="none"/>
                      <w14:textFill>
                        <w14:solidFill>
                          <w14:schemeClr w14:val="tx1"/>
                        </w14:solidFill>
                      </w14:textFill>
                    </w:rPr>
                  </w:pPr>
                  <w:r>
                    <w:rPr>
                      <w:color w:val="000000" w:themeColor="text1"/>
                      <w:highlight w:val="none"/>
                      <w14:textFill>
                        <w14:solidFill>
                          <w14:schemeClr w14:val="tx1"/>
                        </w14:solidFill>
                      </w14:textFill>
                    </w:rPr>
                    <w:t>污染物</w:t>
                  </w:r>
                </w:p>
              </w:tc>
              <w:tc>
                <w:tcPr>
                  <w:tcW w:w="1456" w:type="pct"/>
                  <w:gridSpan w:val="2"/>
                  <w:noWrap w:val="0"/>
                  <w:vAlign w:val="center"/>
                </w:tcPr>
                <w:p w14:paraId="461BA60E">
                  <w:pPr>
                    <w:pStyle w:val="2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排放量（t/a）</w:t>
                  </w:r>
                </w:p>
              </w:tc>
              <w:tc>
                <w:tcPr>
                  <w:tcW w:w="893" w:type="pct"/>
                  <w:vMerge w:val="restart"/>
                  <w:noWrap w:val="0"/>
                  <w:vAlign w:val="center"/>
                </w:tcPr>
                <w:p w14:paraId="0D02DD9B">
                  <w:pPr>
                    <w:pStyle w:val="2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排放量（t/a）</w:t>
                  </w:r>
                </w:p>
              </w:tc>
              <w:tc>
                <w:tcPr>
                  <w:tcW w:w="1016" w:type="pct"/>
                  <w:vMerge w:val="restart"/>
                  <w:noWrap w:val="0"/>
                  <w:vAlign w:val="center"/>
                </w:tcPr>
                <w:p w14:paraId="114A10D1">
                  <w:pPr>
                    <w:pStyle w:val="2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总量控制（t/a）</w:t>
                  </w:r>
                </w:p>
              </w:tc>
            </w:tr>
            <w:tr w14:paraId="66B34A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4" w:type="pct"/>
                  <w:vMerge w:val="continue"/>
                  <w:noWrap w:val="0"/>
                  <w:vAlign w:val="center"/>
                </w:tcPr>
                <w:p w14:paraId="69ACF7DF">
                  <w:pPr>
                    <w:pStyle w:val="26"/>
                    <w:rPr>
                      <w:color w:val="000000" w:themeColor="text1"/>
                      <w:highlight w:val="none"/>
                      <w14:textFill>
                        <w14:solidFill>
                          <w14:schemeClr w14:val="tx1"/>
                        </w14:solidFill>
                      </w14:textFill>
                    </w:rPr>
                  </w:pPr>
                </w:p>
              </w:tc>
              <w:tc>
                <w:tcPr>
                  <w:tcW w:w="799" w:type="pct"/>
                  <w:vMerge w:val="continue"/>
                  <w:noWrap w:val="0"/>
                  <w:vAlign w:val="center"/>
                </w:tcPr>
                <w:p w14:paraId="621EB64E">
                  <w:pPr>
                    <w:pStyle w:val="26"/>
                    <w:ind w:firstLine="0" w:firstLineChars="0"/>
                    <w:rPr>
                      <w:color w:val="000000" w:themeColor="text1"/>
                      <w:sz w:val="21"/>
                      <w:szCs w:val="22"/>
                      <w:highlight w:val="none"/>
                      <w14:textFill>
                        <w14:solidFill>
                          <w14:schemeClr w14:val="tx1"/>
                        </w14:solidFill>
                      </w14:textFill>
                    </w:rPr>
                  </w:pPr>
                </w:p>
              </w:tc>
              <w:tc>
                <w:tcPr>
                  <w:tcW w:w="796" w:type="pct"/>
                  <w:noWrap w:val="0"/>
                  <w:vAlign w:val="center"/>
                </w:tcPr>
                <w:p w14:paraId="526C06FA">
                  <w:pPr>
                    <w:pStyle w:val="2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有组织</w:t>
                  </w:r>
                </w:p>
              </w:tc>
              <w:tc>
                <w:tcPr>
                  <w:tcW w:w="660" w:type="pct"/>
                  <w:noWrap w:val="0"/>
                  <w:vAlign w:val="center"/>
                </w:tcPr>
                <w:p w14:paraId="4F2FE220">
                  <w:pPr>
                    <w:pStyle w:val="2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无组织</w:t>
                  </w:r>
                </w:p>
              </w:tc>
              <w:tc>
                <w:tcPr>
                  <w:tcW w:w="893" w:type="pct"/>
                  <w:vMerge w:val="continue"/>
                  <w:noWrap w:val="0"/>
                  <w:vAlign w:val="center"/>
                </w:tcPr>
                <w:p w14:paraId="7057B32B">
                  <w:pPr>
                    <w:pStyle w:val="26"/>
                    <w:rPr>
                      <w:color w:val="000000" w:themeColor="text1"/>
                      <w:highlight w:val="none"/>
                      <w14:textFill>
                        <w14:solidFill>
                          <w14:schemeClr w14:val="tx1"/>
                        </w14:solidFill>
                      </w14:textFill>
                    </w:rPr>
                  </w:pPr>
                </w:p>
              </w:tc>
              <w:tc>
                <w:tcPr>
                  <w:tcW w:w="1016" w:type="pct"/>
                  <w:vMerge w:val="continue"/>
                  <w:noWrap w:val="0"/>
                  <w:vAlign w:val="center"/>
                </w:tcPr>
                <w:p w14:paraId="4B3563F8">
                  <w:pPr>
                    <w:pStyle w:val="26"/>
                    <w:rPr>
                      <w:color w:val="000000" w:themeColor="text1"/>
                      <w:highlight w:val="none"/>
                      <w14:textFill>
                        <w14:solidFill>
                          <w14:schemeClr w14:val="tx1"/>
                        </w14:solidFill>
                      </w14:textFill>
                    </w:rPr>
                  </w:pPr>
                </w:p>
              </w:tc>
            </w:tr>
            <w:tr w14:paraId="2BBC93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4" w:type="pct"/>
                  <w:noWrap w:val="0"/>
                  <w:vAlign w:val="center"/>
                </w:tcPr>
                <w:p w14:paraId="7DC216F1">
                  <w:pPr>
                    <w:pStyle w:val="26"/>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一期工程</w:t>
                  </w:r>
                </w:p>
              </w:tc>
              <w:tc>
                <w:tcPr>
                  <w:tcW w:w="799" w:type="pct"/>
                  <w:noWrap w:val="0"/>
                  <w:vAlign w:val="center"/>
                </w:tcPr>
                <w:p w14:paraId="71717625">
                  <w:pPr>
                    <w:pStyle w:val="26"/>
                    <w:ind w:firstLine="0" w:firstLineChars="0"/>
                    <w:rPr>
                      <w:color w:val="000000" w:themeColor="text1"/>
                      <w:sz w:val="21"/>
                      <w:szCs w:val="22"/>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非甲烷总烃</w:t>
                  </w:r>
                </w:p>
              </w:tc>
              <w:tc>
                <w:tcPr>
                  <w:tcW w:w="1329" w:type="dxa"/>
                  <w:noWrap w:val="0"/>
                  <w:vAlign w:val="center"/>
                </w:tcPr>
                <w:p w14:paraId="55B7897C">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2.3852</w:t>
                  </w:r>
                </w:p>
              </w:tc>
              <w:tc>
                <w:tcPr>
                  <w:tcW w:w="1102" w:type="dxa"/>
                  <w:noWrap w:val="0"/>
                  <w:vAlign w:val="center"/>
                </w:tcPr>
                <w:p w14:paraId="2992E4E0">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0.3817</w:t>
                  </w:r>
                </w:p>
              </w:tc>
              <w:tc>
                <w:tcPr>
                  <w:tcW w:w="1491" w:type="dxa"/>
                  <w:noWrap w:val="0"/>
                  <w:vAlign w:val="center"/>
                </w:tcPr>
                <w:p w14:paraId="127CFCD8">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2.7669</w:t>
                  </w:r>
                </w:p>
              </w:tc>
              <w:tc>
                <w:tcPr>
                  <w:tcW w:w="1697" w:type="dxa"/>
                  <w:noWrap w:val="0"/>
                  <w:vAlign w:val="center"/>
                </w:tcPr>
                <w:p w14:paraId="68365025">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2.7669</w:t>
                  </w:r>
                </w:p>
              </w:tc>
            </w:tr>
          </w:tbl>
          <w:p w14:paraId="5F4F8EDE">
            <w:pPr>
              <w:pStyle w:val="30"/>
              <w:bidi w:val="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二期工程建成后全厂总量控制指标值</w:t>
            </w:r>
          </w:p>
          <w:tbl>
            <w:tblPr>
              <w:tblStyle w:val="1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3"/>
              <w:gridCol w:w="1334"/>
              <w:gridCol w:w="1329"/>
              <w:gridCol w:w="1102"/>
              <w:gridCol w:w="1491"/>
              <w:gridCol w:w="1697"/>
            </w:tblGrid>
            <w:tr w14:paraId="2D0BBD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834" w:type="pct"/>
                  <w:vMerge w:val="restart"/>
                  <w:noWrap w:val="0"/>
                  <w:vAlign w:val="center"/>
                </w:tcPr>
                <w:p w14:paraId="3B0551D0">
                  <w:pPr>
                    <w:pStyle w:val="26"/>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工程类别</w:t>
                  </w:r>
                </w:p>
              </w:tc>
              <w:tc>
                <w:tcPr>
                  <w:tcW w:w="799" w:type="pct"/>
                  <w:vMerge w:val="restart"/>
                  <w:noWrap w:val="0"/>
                  <w:vAlign w:val="center"/>
                </w:tcPr>
                <w:p w14:paraId="780253A5">
                  <w:pPr>
                    <w:pStyle w:val="26"/>
                    <w:ind w:firstLine="0" w:firstLineChars="0"/>
                    <w:rPr>
                      <w:color w:val="000000" w:themeColor="text1"/>
                      <w:sz w:val="21"/>
                      <w:szCs w:val="22"/>
                      <w:highlight w:val="none"/>
                      <w14:textFill>
                        <w14:solidFill>
                          <w14:schemeClr w14:val="tx1"/>
                        </w14:solidFill>
                      </w14:textFill>
                    </w:rPr>
                  </w:pPr>
                  <w:r>
                    <w:rPr>
                      <w:color w:val="000000" w:themeColor="text1"/>
                      <w:highlight w:val="none"/>
                      <w14:textFill>
                        <w14:solidFill>
                          <w14:schemeClr w14:val="tx1"/>
                        </w14:solidFill>
                      </w14:textFill>
                    </w:rPr>
                    <w:t>污染物</w:t>
                  </w:r>
                </w:p>
              </w:tc>
              <w:tc>
                <w:tcPr>
                  <w:tcW w:w="1456" w:type="pct"/>
                  <w:gridSpan w:val="2"/>
                  <w:noWrap w:val="0"/>
                  <w:vAlign w:val="center"/>
                </w:tcPr>
                <w:p w14:paraId="1EC3AA0B">
                  <w:pPr>
                    <w:pStyle w:val="2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排放量（t/a）</w:t>
                  </w:r>
                </w:p>
              </w:tc>
              <w:tc>
                <w:tcPr>
                  <w:tcW w:w="893" w:type="pct"/>
                  <w:vMerge w:val="restart"/>
                  <w:noWrap w:val="0"/>
                  <w:vAlign w:val="center"/>
                </w:tcPr>
                <w:p w14:paraId="2E5A924F">
                  <w:pPr>
                    <w:pStyle w:val="2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排放量（t/a）</w:t>
                  </w:r>
                </w:p>
              </w:tc>
              <w:tc>
                <w:tcPr>
                  <w:tcW w:w="1016" w:type="pct"/>
                  <w:vMerge w:val="restart"/>
                  <w:noWrap w:val="0"/>
                  <w:vAlign w:val="center"/>
                </w:tcPr>
                <w:p w14:paraId="69920415">
                  <w:pPr>
                    <w:pStyle w:val="2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总量控制（t/a）</w:t>
                  </w:r>
                </w:p>
              </w:tc>
            </w:tr>
            <w:tr w14:paraId="64B3B6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4" w:type="pct"/>
                  <w:vMerge w:val="continue"/>
                  <w:noWrap w:val="0"/>
                  <w:vAlign w:val="center"/>
                </w:tcPr>
                <w:p w14:paraId="21ED5D71">
                  <w:pPr>
                    <w:pStyle w:val="26"/>
                    <w:rPr>
                      <w:color w:val="000000" w:themeColor="text1"/>
                      <w:highlight w:val="none"/>
                      <w14:textFill>
                        <w14:solidFill>
                          <w14:schemeClr w14:val="tx1"/>
                        </w14:solidFill>
                      </w14:textFill>
                    </w:rPr>
                  </w:pPr>
                </w:p>
              </w:tc>
              <w:tc>
                <w:tcPr>
                  <w:tcW w:w="799" w:type="pct"/>
                  <w:vMerge w:val="continue"/>
                  <w:noWrap w:val="0"/>
                  <w:vAlign w:val="center"/>
                </w:tcPr>
                <w:p w14:paraId="770F550F">
                  <w:pPr>
                    <w:pStyle w:val="26"/>
                    <w:ind w:firstLine="0" w:firstLineChars="0"/>
                    <w:rPr>
                      <w:color w:val="000000" w:themeColor="text1"/>
                      <w:sz w:val="21"/>
                      <w:szCs w:val="22"/>
                      <w:highlight w:val="none"/>
                      <w14:textFill>
                        <w14:solidFill>
                          <w14:schemeClr w14:val="tx1"/>
                        </w14:solidFill>
                      </w14:textFill>
                    </w:rPr>
                  </w:pPr>
                </w:p>
              </w:tc>
              <w:tc>
                <w:tcPr>
                  <w:tcW w:w="796" w:type="pct"/>
                  <w:noWrap w:val="0"/>
                  <w:vAlign w:val="center"/>
                </w:tcPr>
                <w:p w14:paraId="632788EC">
                  <w:pPr>
                    <w:pStyle w:val="2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有组织</w:t>
                  </w:r>
                </w:p>
              </w:tc>
              <w:tc>
                <w:tcPr>
                  <w:tcW w:w="660" w:type="pct"/>
                  <w:noWrap w:val="0"/>
                  <w:vAlign w:val="center"/>
                </w:tcPr>
                <w:p w14:paraId="01789D73">
                  <w:pPr>
                    <w:pStyle w:val="2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无组织</w:t>
                  </w:r>
                </w:p>
              </w:tc>
              <w:tc>
                <w:tcPr>
                  <w:tcW w:w="893" w:type="pct"/>
                  <w:vMerge w:val="continue"/>
                  <w:noWrap w:val="0"/>
                  <w:vAlign w:val="center"/>
                </w:tcPr>
                <w:p w14:paraId="68D171EB">
                  <w:pPr>
                    <w:pStyle w:val="26"/>
                    <w:rPr>
                      <w:color w:val="000000" w:themeColor="text1"/>
                      <w:highlight w:val="none"/>
                      <w14:textFill>
                        <w14:solidFill>
                          <w14:schemeClr w14:val="tx1"/>
                        </w14:solidFill>
                      </w14:textFill>
                    </w:rPr>
                  </w:pPr>
                </w:p>
              </w:tc>
              <w:tc>
                <w:tcPr>
                  <w:tcW w:w="1016" w:type="pct"/>
                  <w:vMerge w:val="continue"/>
                  <w:noWrap w:val="0"/>
                  <w:vAlign w:val="center"/>
                </w:tcPr>
                <w:p w14:paraId="236FE541">
                  <w:pPr>
                    <w:pStyle w:val="26"/>
                    <w:rPr>
                      <w:color w:val="000000" w:themeColor="text1"/>
                      <w:highlight w:val="none"/>
                      <w14:textFill>
                        <w14:solidFill>
                          <w14:schemeClr w14:val="tx1"/>
                        </w14:solidFill>
                      </w14:textFill>
                    </w:rPr>
                  </w:pPr>
                </w:p>
              </w:tc>
            </w:tr>
            <w:tr w14:paraId="45A944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4" w:type="pct"/>
                  <w:noWrap w:val="0"/>
                  <w:vAlign w:val="center"/>
                </w:tcPr>
                <w:p w14:paraId="031E8248">
                  <w:pPr>
                    <w:pStyle w:val="26"/>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全厂</w:t>
                  </w:r>
                </w:p>
              </w:tc>
              <w:tc>
                <w:tcPr>
                  <w:tcW w:w="799" w:type="pct"/>
                  <w:noWrap w:val="0"/>
                  <w:vAlign w:val="center"/>
                </w:tcPr>
                <w:p w14:paraId="37ABCEC3">
                  <w:pPr>
                    <w:pStyle w:val="26"/>
                    <w:ind w:firstLine="0" w:firstLineChars="0"/>
                    <w:rPr>
                      <w:color w:val="000000" w:themeColor="text1"/>
                      <w:sz w:val="21"/>
                      <w:szCs w:val="22"/>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非甲烷总烃</w:t>
                  </w:r>
                </w:p>
              </w:tc>
              <w:tc>
                <w:tcPr>
                  <w:tcW w:w="1329" w:type="dxa"/>
                  <w:noWrap w:val="0"/>
                  <w:vAlign w:val="center"/>
                </w:tcPr>
                <w:p w14:paraId="4F7F6FD2">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1.9877</w:t>
                  </w:r>
                </w:p>
              </w:tc>
              <w:tc>
                <w:tcPr>
                  <w:tcW w:w="1102" w:type="dxa"/>
                  <w:noWrap w:val="0"/>
                  <w:vAlign w:val="center"/>
                </w:tcPr>
                <w:p w14:paraId="4C74263D">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1.2722</w:t>
                  </w:r>
                </w:p>
              </w:tc>
              <w:tc>
                <w:tcPr>
                  <w:tcW w:w="1491" w:type="dxa"/>
                  <w:noWrap w:val="0"/>
                  <w:vAlign w:val="center"/>
                </w:tcPr>
                <w:p w14:paraId="11E246F8">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3.2599</w:t>
                  </w:r>
                </w:p>
              </w:tc>
              <w:tc>
                <w:tcPr>
                  <w:tcW w:w="1697" w:type="dxa"/>
                  <w:noWrap w:val="0"/>
                  <w:vAlign w:val="center"/>
                </w:tcPr>
                <w:p w14:paraId="4F898E6A">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3.2599</w:t>
                  </w:r>
                </w:p>
              </w:tc>
            </w:tr>
          </w:tbl>
          <w:p w14:paraId="47BD28E5">
            <w:pPr>
              <w:rPr>
                <w:rFonts w:hint="default"/>
                <w:color w:val="000000" w:themeColor="text1"/>
                <w:highlight w:val="none"/>
                <w14:textFill>
                  <w14:solidFill>
                    <w14:schemeClr w14:val="tx1"/>
                  </w14:solidFill>
                </w14:textFill>
              </w:rPr>
            </w:pPr>
          </w:p>
          <w:p w14:paraId="555FF01D">
            <w:pPr>
              <w:bidi w:val="0"/>
              <w:rPr>
                <w:rFonts w:hint="default" w:ascii="Times New Roman" w:hAnsi="Times New Roman" w:cs="Times New Roman"/>
                <w:color w:val="000000" w:themeColor="text1"/>
                <w:highlight w:val="none"/>
                <w14:textFill>
                  <w14:solidFill>
                    <w14:schemeClr w14:val="tx1"/>
                  </w14:solidFill>
                </w14:textFill>
              </w:rPr>
            </w:pPr>
          </w:p>
        </w:tc>
      </w:tr>
    </w:tbl>
    <w:p w14:paraId="2573F00A">
      <w:pPr>
        <w:adjustRightInd w:val="0"/>
        <w:snapToGrid w:val="0"/>
        <w:ind w:left="0" w:leftChars="0" w:firstLine="0" w:firstLineChars="0"/>
        <w:jc w:val="center"/>
        <w:rPr>
          <w:rFonts w:hint="default" w:ascii="Times New Roman" w:hAnsi="Times New Roman" w:cs="Times New Roman"/>
          <w:color w:val="000000" w:themeColor="text1"/>
          <w:highlight w:val="none"/>
          <w:lang w:val="en-US" w:eastAsia="zh-CN"/>
          <w14:textFill>
            <w14:solidFill>
              <w14:schemeClr w14:val="tx1"/>
            </w14:solidFill>
          </w14:textFill>
        </w:rPr>
        <w:sectPr>
          <w:headerReference r:id="rId10" w:type="default"/>
          <w:footerReference r:id="rId11"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5FBF864C">
      <w:pPr>
        <w:pStyle w:val="32"/>
        <w:numPr>
          <w:ilvl w:val="0"/>
          <w:numId w:val="4"/>
        </w:numPr>
        <w:tabs>
          <w:tab w:val="left" w:pos="0"/>
        </w:tabs>
        <w:bidi w:val="0"/>
        <w:rPr>
          <w:rFonts w:hint="default" w:ascii="Times New Roman" w:hAnsi="Times New Roman" w:cs="Times New Roman"/>
          <w:color w:val="000000" w:themeColor="text1"/>
          <w:highlight w:val="none"/>
          <w:lang w:eastAsia="zh-CN"/>
          <w14:textFill>
            <w14:solidFill>
              <w14:schemeClr w14:val="tx1"/>
            </w14:solidFill>
          </w14:textFill>
        </w:rPr>
      </w:pPr>
      <w:bookmarkStart w:id="161" w:name="_Toc4191"/>
      <w:bookmarkStart w:id="162" w:name="_Toc11651"/>
      <w:bookmarkStart w:id="163" w:name="_Toc9571"/>
      <w:bookmarkStart w:id="164" w:name="_Toc24283"/>
      <w:bookmarkStart w:id="165" w:name="_Toc23066"/>
      <w:bookmarkStart w:id="166" w:name="_Toc16001"/>
      <w:r>
        <w:rPr>
          <w:rFonts w:hint="default" w:ascii="Times New Roman" w:hAnsi="Times New Roman" w:cs="Times New Roman"/>
          <w:color w:val="000000" w:themeColor="text1"/>
          <w:highlight w:val="none"/>
          <w:lang w:val="en-US" w:eastAsia="zh-CN"/>
          <w14:textFill>
            <w14:solidFill>
              <w14:schemeClr w14:val="tx1"/>
            </w14:solidFill>
          </w14:textFill>
        </w:rPr>
        <w:t>主要环境影响和保护措施</w:t>
      </w:r>
      <w:bookmarkEnd w:id="161"/>
      <w:bookmarkEnd w:id="162"/>
      <w:bookmarkEnd w:id="163"/>
      <w:bookmarkEnd w:id="164"/>
      <w:bookmarkEnd w:id="165"/>
      <w:bookmarkEnd w:id="166"/>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8523"/>
      </w:tblGrid>
      <w:tr w14:paraId="04303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412" w:type="pct"/>
            <w:noWrap w:val="0"/>
            <w:vAlign w:val="center"/>
          </w:tcPr>
          <w:p w14:paraId="60885DB6">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施工期环境保护措施</w:t>
            </w:r>
          </w:p>
        </w:tc>
        <w:tc>
          <w:tcPr>
            <w:tcW w:w="4587" w:type="pct"/>
            <w:noWrap w:val="0"/>
            <w:vAlign w:val="center"/>
          </w:tcPr>
          <w:p w14:paraId="26269E35">
            <w:pPr>
              <w:rPr>
                <w:rFonts w:hint="default"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拟建项目位于</w:t>
            </w:r>
            <w:r>
              <w:rPr>
                <w:rFonts w:hint="eastAsia"/>
                <w:color w:val="000000" w:themeColor="text1"/>
                <w:highlight w:val="none"/>
                <w:lang w:val="en-US" w:eastAsia="zh-CN"/>
                <w14:textFill>
                  <w14:solidFill>
                    <w14:schemeClr w14:val="tx1"/>
                  </w14:solidFill>
                </w14:textFill>
              </w:rPr>
              <w:t>三明市永安市贡川镇水东工业园区56号</w:t>
            </w:r>
            <w:r>
              <w:rPr>
                <w:rFonts w:hint="eastAsia"/>
                <w:color w:val="000000" w:themeColor="text1"/>
                <w:highlight w:val="none"/>
                <w14:textFill>
                  <w14:solidFill>
                    <w14:schemeClr w14:val="tx1"/>
                  </w14:solidFill>
                </w14:textFill>
              </w:rPr>
              <w:t>（永安市石墨和石墨烯产业园）</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租赁权属福建中禾新材料有限公司1#车间、3#车间和综合楼进行生产。根据现场踏勘，目前3#车间、综合楼均为已建建筑，1#车间现状为空地，根据建设单位提供，1#车间土建施工由租赁方（福建中禾新材料有限公司）负责，因此，本项目不涉及土建施工，施工内容主要是生产设备及环保设施的安装调试，污染影响为施工噪声，没有施工废气、废水等污染物排放，设备配件包装物（废纸箱）等固体废物集中收集后外售废品收购站综合利用。设备的安装调试工作在厂房内进行，可通过墙体的阻隔达到隔声降噪效果，对外环境影响较小。</w:t>
            </w:r>
          </w:p>
        </w:tc>
      </w:tr>
      <w:tr w14:paraId="430A1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412" w:type="pct"/>
            <w:noWrap w:val="0"/>
            <w:vAlign w:val="center"/>
          </w:tcPr>
          <w:p w14:paraId="206B126D">
            <w:pPr>
              <w:pStyle w:val="26"/>
              <w:bidi w:val="0"/>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运营期环境影响和保护措施</w:t>
            </w:r>
          </w:p>
        </w:tc>
        <w:tc>
          <w:tcPr>
            <w:tcW w:w="4587" w:type="pct"/>
            <w:noWrap w:val="0"/>
            <w:vAlign w:val="center"/>
          </w:tcPr>
          <w:p w14:paraId="2311C137">
            <w:pPr>
              <w:pStyle w:val="2"/>
              <w:bidi w:val="0"/>
              <w:rPr>
                <w:rFonts w:hint="default"/>
                <w:color w:val="000000" w:themeColor="text1"/>
                <w:highlight w:val="none"/>
                <w:lang w:val="en-US" w:eastAsia="zh-CN"/>
                <w14:textFill>
                  <w14:solidFill>
                    <w14:schemeClr w14:val="tx1"/>
                  </w14:solidFill>
                </w14:textFill>
              </w:rPr>
            </w:pPr>
            <w:bookmarkStart w:id="167" w:name="_Toc18385"/>
            <w:r>
              <w:rPr>
                <w:rFonts w:hint="default"/>
                <w:color w:val="000000" w:themeColor="text1"/>
                <w:highlight w:val="none"/>
                <w:lang w:val="en-US" w:eastAsia="zh-CN"/>
                <w14:textFill>
                  <w14:solidFill>
                    <w14:schemeClr w14:val="tx1"/>
                  </w14:solidFill>
                </w14:textFill>
              </w:rPr>
              <w:t>废气</w:t>
            </w:r>
            <w:bookmarkEnd w:id="167"/>
          </w:p>
          <w:p w14:paraId="60234578">
            <w:pPr>
              <w:pStyle w:val="3"/>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废气污染物分析</w:t>
            </w:r>
          </w:p>
          <w:p w14:paraId="70E85343">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本项目全厂</w:t>
            </w:r>
            <w:r>
              <w:rPr>
                <w:rFonts w:hint="eastAsia"/>
                <w:color w:val="000000" w:themeColor="text1"/>
                <w:highlight w:val="none"/>
                <w14:textFill>
                  <w14:solidFill>
                    <w14:schemeClr w14:val="tx1"/>
                  </w14:solidFill>
                </w14:textFill>
              </w:rPr>
              <w:t>废气污染源强见</w:t>
            </w:r>
            <w:r>
              <w:rPr>
                <w:rFonts w:hint="eastAsia"/>
                <w:color w:val="000000" w:themeColor="text1"/>
                <w:highlight w:val="none"/>
                <w:lang w:eastAsia="zh-CN"/>
                <w14:textFill>
                  <w14:solidFill>
                    <w14:schemeClr w14:val="tx1"/>
                  </w14:solidFill>
                </w14:textFill>
              </w:rPr>
              <w:fldChar w:fldCharType="begin"/>
            </w:r>
            <w:r>
              <w:rPr>
                <w:rFonts w:hint="eastAsia"/>
                <w:color w:val="000000" w:themeColor="text1"/>
                <w:highlight w:val="none"/>
                <w:lang w:eastAsia="zh-CN"/>
                <w14:textFill>
                  <w14:solidFill>
                    <w14:schemeClr w14:val="tx1"/>
                  </w14:solidFill>
                </w14:textFill>
              </w:rPr>
              <w:instrText xml:space="preserve"> REF _Ref22801 \n \h </w:instrText>
            </w:r>
            <w:r>
              <w:rPr>
                <w:rFonts w:hint="eastAsia"/>
                <w:color w:val="000000" w:themeColor="text1"/>
                <w:highlight w:val="none"/>
                <w:lang w:eastAsia="zh-CN"/>
                <w14:textFill>
                  <w14:solidFill>
                    <w14:schemeClr w14:val="tx1"/>
                  </w14:solidFill>
                </w14:textFill>
              </w:rPr>
              <w:fldChar w:fldCharType="separate"/>
            </w:r>
            <w:r>
              <w:rPr>
                <w:rFonts w:hint="eastAsia"/>
                <w:color w:val="000000" w:themeColor="text1"/>
                <w:highlight w:val="none"/>
                <w:lang w:eastAsia="zh-CN"/>
                <w14:textFill>
                  <w14:solidFill>
                    <w14:schemeClr w14:val="tx1"/>
                  </w14:solidFill>
                </w14:textFill>
              </w:rPr>
              <w:t>表4.1-1</w:t>
            </w:r>
            <w:r>
              <w:rPr>
                <w:rFonts w:hint="eastAsia"/>
                <w:color w:val="000000" w:themeColor="text1"/>
                <w:highlight w:val="none"/>
                <w:lang w:eastAsia="zh-CN"/>
                <w14:textFill>
                  <w14:solidFill>
                    <w14:schemeClr w14:val="tx1"/>
                  </w14:solidFill>
                </w14:textFill>
              </w:rPr>
              <w:fldChar w:fldCharType="end"/>
            </w:r>
            <w:r>
              <w:rPr>
                <w:rFonts w:hint="eastAsia"/>
                <w:color w:val="000000" w:themeColor="text1"/>
                <w:highlight w:val="none"/>
                <w14:textFill>
                  <w14:solidFill>
                    <w14:schemeClr w14:val="tx1"/>
                  </w14:solidFill>
                </w14:textFill>
              </w:rPr>
              <w:t>，治理设施情况见</w:t>
            </w:r>
            <w:r>
              <w:rPr>
                <w:rFonts w:hint="eastAsia"/>
                <w:color w:val="000000" w:themeColor="text1"/>
                <w:highlight w:val="none"/>
                <w:lang w:eastAsia="zh-CN"/>
                <w14:textFill>
                  <w14:solidFill>
                    <w14:schemeClr w14:val="tx1"/>
                  </w14:solidFill>
                </w14:textFill>
              </w:rPr>
              <w:fldChar w:fldCharType="begin"/>
            </w:r>
            <w:r>
              <w:rPr>
                <w:rFonts w:hint="eastAsia"/>
                <w:color w:val="000000" w:themeColor="text1"/>
                <w:highlight w:val="none"/>
                <w:lang w:eastAsia="zh-CN"/>
                <w14:textFill>
                  <w14:solidFill>
                    <w14:schemeClr w14:val="tx1"/>
                  </w14:solidFill>
                </w14:textFill>
              </w:rPr>
              <w:instrText xml:space="preserve"> REF _Ref24194 \n \h </w:instrText>
            </w:r>
            <w:r>
              <w:rPr>
                <w:rFonts w:hint="eastAsia"/>
                <w:color w:val="000000" w:themeColor="text1"/>
                <w:highlight w:val="none"/>
                <w:lang w:eastAsia="zh-CN"/>
                <w14:textFill>
                  <w14:solidFill>
                    <w14:schemeClr w14:val="tx1"/>
                  </w14:solidFill>
                </w14:textFill>
              </w:rPr>
              <w:fldChar w:fldCharType="separate"/>
            </w:r>
            <w:r>
              <w:rPr>
                <w:rFonts w:hint="eastAsia"/>
                <w:color w:val="000000" w:themeColor="text1"/>
                <w:highlight w:val="none"/>
                <w:lang w:eastAsia="zh-CN"/>
                <w14:textFill>
                  <w14:solidFill>
                    <w14:schemeClr w14:val="tx1"/>
                  </w14:solidFill>
                </w14:textFill>
              </w:rPr>
              <w:t>表4.1-2</w:t>
            </w:r>
            <w:r>
              <w:rPr>
                <w:rFonts w:hint="eastAsia"/>
                <w:color w:val="000000" w:themeColor="text1"/>
                <w:highlight w:val="none"/>
                <w:lang w:eastAsia="zh-CN"/>
                <w14:textFill>
                  <w14:solidFill>
                    <w14:schemeClr w14:val="tx1"/>
                  </w14:solidFill>
                </w14:textFill>
              </w:rPr>
              <w:fldChar w:fldCharType="end"/>
            </w:r>
            <w:r>
              <w:rPr>
                <w:rFonts w:hint="eastAsia"/>
                <w:color w:val="000000" w:themeColor="text1"/>
                <w:highlight w:val="none"/>
                <w14:textFill>
                  <w14:solidFill>
                    <w14:schemeClr w14:val="tx1"/>
                  </w14:solidFill>
                </w14:textFill>
              </w:rPr>
              <w:t>，排放口基本情况见</w:t>
            </w:r>
            <w:r>
              <w:rPr>
                <w:rFonts w:hint="eastAsia"/>
                <w:color w:val="000000" w:themeColor="text1"/>
                <w:highlight w:val="none"/>
                <w:lang w:eastAsia="zh-CN"/>
                <w14:textFill>
                  <w14:solidFill>
                    <w14:schemeClr w14:val="tx1"/>
                  </w14:solidFill>
                </w14:textFill>
              </w:rPr>
              <w:fldChar w:fldCharType="begin"/>
            </w:r>
            <w:r>
              <w:rPr>
                <w:rFonts w:hint="eastAsia"/>
                <w:color w:val="000000" w:themeColor="text1"/>
                <w:highlight w:val="none"/>
                <w:lang w:eastAsia="zh-CN"/>
                <w14:textFill>
                  <w14:solidFill>
                    <w14:schemeClr w14:val="tx1"/>
                  </w14:solidFill>
                </w14:textFill>
              </w:rPr>
              <w:instrText xml:space="preserve"> REF _Ref15026 \n \h </w:instrText>
            </w:r>
            <w:r>
              <w:rPr>
                <w:rFonts w:hint="eastAsia"/>
                <w:color w:val="000000" w:themeColor="text1"/>
                <w:highlight w:val="none"/>
                <w:lang w:eastAsia="zh-CN"/>
                <w14:textFill>
                  <w14:solidFill>
                    <w14:schemeClr w14:val="tx1"/>
                  </w14:solidFill>
                </w14:textFill>
              </w:rPr>
              <w:fldChar w:fldCharType="separate"/>
            </w:r>
            <w:r>
              <w:rPr>
                <w:rFonts w:hint="eastAsia"/>
                <w:color w:val="000000" w:themeColor="text1"/>
                <w:highlight w:val="none"/>
                <w:lang w:eastAsia="zh-CN"/>
                <w14:textFill>
                  <w14:solidFill>
                    <w14:schemeClr w14:val="tx1"/>
                  </w14:solidFill>
                </w14:textFill>
              </w:rPr>
              <w:t>表4.2-3</w:t>
            </w:r>
            <w:r>
              <w:rPr>
                <w:rFonts w:hint="eastAsia"/>
                <w:color w:val="000000" w:themeColor="text1"/>
                <w:highlight w:val="none"/>
                <w:lang w:eastAsia="zh-CN"/>
                <w14:textFill>
                  <w14:solidFill>
                    <w14:schemeClr w14:val="tx1"/>
                  </w14:solidFill>
                </w14:textFill>
              </w:rPr>
              <w:fldChar w:fldCharType="end"/>
            </w:r>
            <w:r>
              <w:rPr>
                <w:rFonts w:hint="eastAsia"/>
                <w:color w:val="000000" w:themeColor="text1"/>
                <w:highlight w:val="none"/>
                <w14:textFill>
                  <w14:solidFill>
                    <w14:schemeClr w14:val="tx1"/>
                  </w14:solidFill>
                </w14:textFill>
              </w:rPr>
              <w:t>，自行监测要求见</w:t>
            </w:r>
            <w:r>
              <w:rPr>
                <w:rFonts w:hint="eastAsia"/>
                <w:color w:val="000000" w:themeColor="text1"/>
                <w:highlight w:val="none"/>
                <w:lang w:eastAsia="zh-CN"/>
                <w14:textFill>
                  <w14:solidFill>
                    <w14:schemeClr w14:val="tx1"/>
                  </w14:solidFill>
                </w14:textFill>
              </w:rPr>
              <w:fldChar w:fldCharType="begin"/>
            </w:r>
            <w:r>
              <w:rPr>
                <w:rFonts w:hint="eastAsia"/>
                <w:color w:val="000000" w:themeColor="text1"/>
                <w:highlight w:val="none"/>
                <w:lang w:eastAsia="zh-CN"/>
                <w14:textFill>
                  <w14:solidFill>
                    <w14:schemeClr w14:val="tx1"/>
                  </w14:solidFill>
                </w14:textFill>
              </w:rPr>
              <w:instrText xml:space="preserve"> REF _Ref22883 \n \h </w:instrText>
            </w:r>
            <w:r>
              <w:rPr>
                <w:rFonts w:hint="eastAsia"/>
                <w:color w:val="000000" w:themeColor="text1"/>
                <w:highlight w:val="none"/>
                <w:lang w:eastAsia="zh-CN"/>
                <w14:textFill>
                  <w14:solidFill>
                    <w14:schemeClr w14:val="tx1"/>
                  </w14:solidFill>
                </w14:textFill>
              </w:rPr>
              <w:fldChar w:fldCharType="separate"/>
            </w:r>
            <w:r>
              <w:rPr>
                <w:rFonts w:hint="eastAsia"/>
                <w:color w:val="000000" w:themeColor="text1"/>
                <w:highlight w:val="none"/>
                <w:lang w:eastAsia="zh-CN"/>
                <w14:textFill>
                  <w14:solidFill>
                    <w14:schemeClr w14:val="tx1"/>
                  </w14:solidFill>
                </w14:textFill>
              </w:rPr>
              <w:t>表4.1-4</w:t>
            </w:r>
            <w:r>
              <w:rPr>
                <w:rFonts w:hint="eastAsia"/>
                <w:color w:val="000000" w:themeColor="text1"/>
                <w:highlight w:val="none"/>
                <w:lang w:eastAsia="zh-CN"/>
                <w14:textFill>
                  <w14:solidFill>
                    <w14:schemeClr w14:val="tx1"/>
                  </w14:solidFill>
                </w14:textFill>
              </w:rPr>
              <w:fldChar w:fldCharType="end"/>
            </w:r>
            <w:r>
              <w:rPr>
                <w:rFonts w:hint="eastAsia"/>
                <w:color w:val="000000" w:themeColor="text1"/>
                <w:highlight w:val="none"/>
                <w14:textFill>
                  <w14:solidFill>
                    <w14:schemeClr w14:val="tx1"/>
                  </w14:solidFill>
                </w14:textFill>
              </w:rPr>
              <w:t>。</w:t>
            </w:r>
          </w:p>
          <w:p w14:paraId="7B83F613">
            <w:pPr>
              <w:pStyle w:val="30"/>
              <w:bidi w:val="0"/>
              <w:rPr>
                <w:rFonts w:hint="eastAsia"/>
                <w:color w:val="000000" w:themeColor="text1"/>
                <w:highlight w:val="none"/>
                <w14:textFill>
                  <w14:solidFill>
                    <w14:schemeClr w14:val="tx1"/>
                  </w14:solidFill>
                </w14:textFill>
              </w:rPr>
            </w:pPr>
            <w:bookmarkStart w:id="168" w:name="_Ref22801"/>
            <w:r>
              <w:rPr>
                <w:rFonts w:hint="eastAsia"/>
                <w:color w:val="000000" w:themeColor="text1"/>
                <w:highlight w:val="none"/>
                <w14:textFill>
                  <w14:solidFill>
                    <w14:schemeClr w14:val="tx1"/>
                  </w14:solidFill>
                </w14:textFill>
              </w:rPr>
              <w:t>废气污染源强一览表</w:t>
            </w:r>
            <w:bookmarkEnd w:id="168"/>
          </w:p>
          <w:tbl>
            <w:tblPr>
              <w:tblStyle w:val="1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4"/>
              <w:gridCol w:w="735"/>
              <w:gridCol w:w="945"/>
              <w:gridCol w:w="936"/>
              <w:gridCol w:w="840"/>
              <w:gridCol w:w="675"/>
              <w:gridCol w:w="819"/>
              <w:gridCol w:w="975"/>
              <w:gridCol w:w="855"/>
              <w:gridCol w:w="820"/>
            </w:tblGrid>
            <w:tr w14:paraId="549818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 w:type="pct"/>
                  <w:vMerge w:val="restart"/>
                  <w:noWrap w:val="0"/>
                  <w:vAlign w:val="center"/>
                </w:tcPr>
                <w:p w14:paraId="2A337697">
                  <w:pPr>
                    <w:pStyle w:val="2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产污环节</w:t>
                  </w:r>
                </w:p>
              </w:tc>
              <w:tc>
                <w:tcPr>
                  <w:tcW w:w="442" w:type="pct"/>
                  <w:vMerge w:val="restart"/>
                  <w:noWrap w:val="0"/>
                  <w:vAlign w:val="center"/>
                </w:tcPr>
                <w:p w14:paraId="5133C182">
                  <w:pPr>
                    <w:pStyle w:val="2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污染物种类</w:t>
                  </w:r>
                </w:p>
              </w:tc>
              <w:tc>
                <w:tcPr>
                  <w:tcW w:w="1638" w:type="pct"/>
                  <w:gridSpan w:val="3"/>
                  <w:noWrap w:val="0"/>
                  <w:vAlign w:val="center"/>
                </w:tcPr>
                <w:p w14:paraId="56A2E189">
                  <w:pPr>
                    <w:pStyle w:val="26"/>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产生情况</w:t>
                  </w:r>
                </w:p>
              </w:tc>
              <w:tc>
                <w:tcPr>
                  <w:tcW w:w="406" w:type="pct"/>
                  <w:vMerge w:val="restart"/>
                  <w:noWrap w:val="0"/>
                  <w:vAlign w:val="center"/>
                </w:tcPr>
                <w:p w14:paraId="66988D23">
                  <w:pPr>
                    <w:pStyle w:val="2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排放形式</w:t>
                  </w:r>
                </w:p>
              </w:tc>
              <w:tc>
                <w:tcPr>
                  <w:tcW w:w="493" w:type="pct"/>
                  <w:vMerge w:val="restart"/>
                  <w:noWrap w:val="0"/>
                  <w:vAlign w:val="center"/>
                </w:tcPr>
                <w:p w14:paraId="32A96C00">
                  <w:pPr>
                    <w:pStyle w:val="2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治理设施</w:t>
                  </w:r>
                </w:p>
              </w:tc>
              <w:tc>
                <w:tcPr>
                  <w:tcW w:w="1595" w:type="pct"/>
                  <w:gridSpan w:val="3"/>
                  <w:noWrap w:val="0"/>
                  <w:vAlign w:val="center"/>
                </w:tcPr>
                <w:p w14:paraId="52F1194E">
                  <w:pPr>
                    <w:pStyle w:val="26"/>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排放情况</w:t>
                  </w:r>
                </w:p>
              </w:tc>
            </w:tr>
            <w:tr w14:paraId="3D4FD2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 w:type="pct"/>
                  <w:vMerge w:val="continue"/>
                  <w:noWrap w:val="0"/>
                  <w:vAlign w:val="center"/>
                </w:tcPr>
                <w:p w14:paraId="21392585">
                  <w:pPr>
                    <w:pStyle w:val="26"/>
                    <w:rPr>
                      <w:rFonts w:hint="eastAsia"/>
                      <w:color w:val="000000" w:themeColor="text1"/>
                      <w:highlight w:val="none"/>
                      <w14:textFill>
                        <w14:solidFill>
                          <w14:schemeClr w14:val="tx1"/>
                        </w14:solidFill>
                      </w14:textFill>
                    </w:rPr>
                  </w:pPr>
                </w:p>
              </w:tc>
              <w:tc>
                <w:tcPr>
                  <w:tcW w:w="442" w:type="pct"/>
                  <w:vMerge w:val="continue"/>
                  <w:noWrap w:val="0"/>
                  <w:vAlign w:val="center"/>
                </w:tcPr>
                <w:p w14:paraId="06C1F32C">
                  <w:pPr>
                    <w:pStyle w:val="26"/>
                    <w:rPr>
                      <w:rFonts w:hint="eastAsia"/>
                      <w:color w:val="000000" w:themeColor="text1"/>
                      <w:highlight w:val="none"/>
                      <w14:textFill>
                        <w14:solidFill>
                          <w14:schemeClr w14:val="tx1"/>
                        </w14:solidFill>
                      </w14:textFill>
                    </w:rPr>
                  </w:pPr>
                </w:p>
              </w:tc>
              <w:tc>
                <w:tcPr>
                  <w:tcW w:w="569" w:type="pct"/>
                  <w:noWrap w:val="0"/>
                  <w:vAlign w:val="center"/>
                </w:tcPr>
                <w:p w14:paraId="3C0AC85B">
                  <w:pPr>
                    <w:pStyle w:val="2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浓度(mg/m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w:t>
                  </w:r>
                </w:p>
              </w:tc>
              <w:tc>
                <w:tcPr>
                  <w:tcW w:w="563" w:type="pct"/>
                  <w:noWrap w:val="0"/>
                  <w:vAlign w:val="center"/>
                </w:tcPr>
                <w:p w14:paraId="321517A6">
                  <w:pPr>
                    <w:pStyle w:val="2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速率(kg/h)</w:t>
                  </w:r>
                </w:p>
              </w:tc>
              <w:tc>
                <w:tcPr>
                  <w:tcW w:w="505" w:type="pct"/>
                  <w:noWrap w:val="0"/>
                  <w:vAlign w:val="center"/>
                </w:tcPr>
                <w:p w14:paraId="3FC3CF5A">
                  <w:pPr>
                    <w:pStyle w:val="2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产生量(t/a)</w:t>
                  </w:r>
                </w:p>
              </w:tc>
              <w:tc>
                <w:tcPr>
                  <w:tcW w:w="406" w:type="pct"/>
                  <w:vMerge w:val="continue"/>
                  <w:noWrap w:val="0"/>
                  <w:vAlign w:val="center"/>
                </w:tcPr>
                <w:p w14:paraId="253022E8">
                  <w:pPr>
                    <w:pStyle w:val="26"/>
                    <w:rPr>
                      <w:rFonts w:hint="eastAsia"/>
                      <w:color w:val="000000" w:themeColor="text1"/>
                      <w:highlight w:val="none"/>
                      <w14:textFill>
                        <w14:solidFill>
                          <w14:schemeClr w14:val="tx1"/>
                        </w14:solidFill>
                      </w14:textFill>
                    </w:rPr>
                  </w:pPr>
                </w:p>
              </w:tc>
              <w:tc>
                <w:tcPr>
                  <w:tcW w:w="493" w:type="pct"/>
                  <w:vMerge w:val="continue"/>
                  <w:noWrap w:val="0"/>
                  <w:vAlign w:val="center"/>
                </w:tcPr>
                <w:p w14:paraId="60CE3F44">
                  <w:pPr>
                    <w:pStyle w:val="26"/>
                    <w:rPr>
                      <w:rFonts w:hint="eastAsia"/>
                      <w:color w:val="000000" w:themeColor="text1"/>
                      <w:highlight w:val="none"/>
                      <w14:textFill>
                        <w14:solidFill>
                          <w14:schemeClr w14:val="tx1"/>
                        </w14:solidFill>
                      </w14:textFill>
                    </w:rPr>
                  </w:pPr>
                </w:p>
              </w:tc>
              <w:tc>
                <w:tcPr>
                  <w:tcW w:w="587" w:type="pct"/>
                  <w:noWrap w:val="0"/>
                  <w:vAlign w:val="center"/>
                </w:tcPr>
                <w:p w14:paraId="625B9720">
                  <w:pPr>
                    <w:pStyle w:val="2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浓度(mg/m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w:t>
                  </w:r>
                </w:p>
              </w:tc>
              <w:tc>
                <w:tcPr>
                  <w:tcW w:w="514" w:type="pct"/>
                  <w:noWrap w:val="0"/>
                  <w:vAlign w:val="center"/>
                </w:tcPr>
                <w:p w14:paraId="6F6051C6">
                  <w:pPr>
                    <w:pStyle w:val="2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速率(kg/h)</w:t>
                  </w:r>
                </w:p>
              </w:tc>
              <w:tc>
                <w:tcPr>
                  <w:tcW w:w="493" w:type="pct"/>
                  <w:noWrap w:val="0"/>
                  <w:vAlign w:val="center"/>
                </w:tcPr>
                <w:p w14:paraId="5ECF7F4E">
                  <w:pPr>
                    <w:pStyle w:val="2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排放量(t/a)</w:t>
                  </w:r>
                </w:p>
              </w:tc>
            </w:tr>
            <w:tr w14:paraId="109EBF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 w:type="pct"/>
                  <w:vMerge w:val="restart"/>
                  <w:noWrap w:val="0"/>
                  <w:vAlign w:val="center"/>
                </w:tcPr>
                <w:p w14:paraId="0FCFFFC6">
                  <w:pPr>
                    <w:pStyle w:val="26"/>
                    <w:rPr>
                      <w:rFonts w:hint="default" w:eastAsia="宋体"/>
                      <w:color w:val="000000" w:themeColor="text1"/>
                      <w:highlight w:val="none"/>
                      <w:lang w:val="en-US" w:eastAsia="zh-CN"/>
                      <w14:textFill>
                        <w14:solidFill>
                          <w14:schemeClr w14:val="tx1"/>
                        </w14:solidFill>
                      </w14:textFill>
                    </w:rPr>
                  </w:pPr>
                  <w:r>
                    <w:rPr>
                      <w:rFonts w:hint="eastAsia" w:eastAsia="宋体"/>
                      <w:b/>
                      <w:bCs/>
                      <w:color w:val="000000" w:themeColor="text1"/>
                      <w:highlight w:val="none"/>
                      <w:lang w:val="en-US" w:eastAsia="zh-CN"/>
                      <w14:textFill>
                        <w14:solidFill>
                          <w14:schemeClr w14:val="tx1"/>
                        </w14:solidFill>
                      </w14:textFill>
                    </w:rPr>
                    <w:t>一期工程</w:t>
                  </w:r>
                  <w:r>
                    <w:rPr>
                      <w:rFonts w:hint="eastAsia" w:eastAsia="宋体"/>
                      <w:color w:val="000000" w:themeColor="text1"/>
                      <w:highlight w:val="none"/>
                      <w:lang w:val="en-US" w:eastAsia="zh-CN"/>
                      <w14:textFill>
                        <w14:solidFill>
                          <w14:schemeClr w14:val="tx1"/>
                        </w14:solidFill>
                      </w14:textFill>
                    </w:rPr>
                    <w:t>（烘干、引弧放电、</w:t>
                  </w:r>
                  <w:r>
                    <w:rPr>
                      <w:rFonts w:hint="eastAsia"/>
                      <w:color w:val="000000" w:themeColor="text1"/>
                      <w:highlight w:val="none"/>
                      <w:lang w:val="en-US" w:eastAsia="zh-CN"/>
                      <w14:textFill>
                        <w14:solidFill>
                          <w14:schemeClr w14:val="tx1"/>
                        </w14:solidFill>
                      </w14:textFill>
                    </w:rPr>
                    <w:t>砂磨、烘干、</w:t>
                  </w:r>
                  <w:r>
                    <w:rPr>
                      <w:rFonts w:hint="eastAsia" w:eastAsia="宋体"/>
                      <w:color w:val="000000" w:themeColor="text1"/>
                      <w:highlight w:val="none"/>
                      <w:lang w:val="en-US" w:eastAsia="zh-CN"/>
                      <w14:textFill>
                        <w14:solidFill>
                          <w14:schemeClr w14:val="tx1"/>
                        </w14:solidFill>
                      </w14:textFill>
                    </w:rPr>
                    <w:t>包覆</w:t>
                  </w:r>
                  <w:r>
                    <w:rPr>
                      <w:rFonts w:hint="eastAsia"/>
                      <w:color w:val="000000" w:themeColor="text1"/>
                      <w:highlight w:val="none"/>
                      <w:lang w:val="en-US" w:eastAsia="zh-CN"/>
                      <w14:textFill>
                        <w14:solidFill>
                          <w14:schemeClr w14:val="tx1"/>
                        </w14:solidFill>
                      </w14:textFill>
                    </w:rPr>
                    <w:t>、二次包覆</w:t>
                  </w:r>
                  <w:r>
                    <w:rPr>
                      <w:rFonts w:hint="eastAsia" w:eastAsia="宋体"/>
                      <w:color w:val="000000" w:themeColor="text1"/>
                      <w:highlight w:val="none"/>
                      <w:lang w:val="en-US" w:eastAsia="zh-CN"/>
                      <w14:textFill>
                        <w14:solidFill>
                          <w14:schemeClr w14:val="tx1"/>
                        </w14:solidFill>
                      </w14:textFill>
                    </w:rPr>
                    <w:t>、碳化）</w:t>
                  </w:r>
                </w:p>
              </w:tc>
              <w:tc>
                <w:tcPr>
                  <w:tcW w:w="442" w:type="pct"/>
                  <w:noWrap w:val="0"/>
                  <w:vAlign w:val="center"/>
                </w:tcPr>
                <w:p w14:paraId="7B56C78B">
                  <w:pPr>
                    <w:pStyle w:val="26"/>
                    <w:bidi w:val="0"/>
                    <w:ind w:firstLine="0" w:firstLineChars="0"/>
                    <w:jc w:val="center"/>
                    <w:rPr>
                      <w:rFonts w:hint="default" w:ascii="Times New Roman" w:hAnsi="Times New Roman" w:cs="Times New Roman"/>
                      <w:color w:val="000000" w:themeColor="text1"/>
                      <w:sz w:val="21"/>
                      <w:szCs w:val="22"/>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沥青烟</w:t>
                  </w:r>
                </w:p>
              </w:tc>
              <w:tc>
                <w:tcPr>
                  <w:tcW w:w="569" w:type="pct"/>
                  <w:noWrap w:val="0"/>
                  <w:vAlign w:val="center"/>
                </w:tcPr>
                <w:p w14:paraId="36ABB6C5">
                  <w:pPr>
                    <w:pStyle w:val="26"/>
                    <w:bidi w:val="0"/>
                    <w:rPr>
                      <w:rFonts w:hint="eastAsia"/>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4.13</w:t>
                  </w:r>
                </w:p>
              </w:tc>
              <w:tc>
                <w:tcPr>
                  <w:tcW w:w="563" w:type="pct"/>
                  <w:noWrap w:val="0"/>
                  <w:vAlign w:val="center"/>
                </w:tcPr>
                <w:p w14:paraId="6ADA22A0">
                  <w:pPr>
                    <w:pStyle w:val="26"/>
                    <w:bidi w:val="0"/>
                    <w:rPr>
                      <w:rFonts w:hint="eastAsia"/>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0.0413</w:t>
                  </w:r>
                </w:p>
              </w:tc>
              <w:tc>
                <w:tcPr>
                  <w:tcW w:w="505" w:type="pct"/>
                  <w:noWrap w:val="0"/>
                  <w:vAlign w:val="center"/>
                </w:tcPr>
                <w:p w14:paraId="2F9A3A8D">
                  <w:pPr>
                    <w:pStyle w:val="26"/>
                    <w:bidi w:val="0"/>
                    <w:rPr>
                      <w:rFonts w:hint="eastAsia"/>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0.1240</w:t>
                  </w:r>
                </w:p>
              </w:tc>
              <w:tc>
                <w:tcPr>
                  <w:tcW w:w="406" w:type="pct"/>
                  <w:vMerge w:val="restart"/>
                  <w:noWrap w:val="0"/>
                  <w:vAlign w:val="center"/>
                </w:tcPr>
                <w:p w14:paraId="48BC9596">
                  <w:pPr>
                    <w:pStyle w:val="26"/>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有组织</w:t>
                  </w:r>
                </w:p>
              </w:tc>
              <w:tc>
                <w:tcPr>
                  <w:tcW w:w="493" w:type="pct"/>
                  <w:vMerge w:val="restart"/>
                  <w:noWrap w:val="0"/>
                  <w:vAlign w:val="center"/>
                </w:tcPr>
                <w:p w14:paraId="696E7E1F">
                  <w:pPr>
                    <w:pStyle w:val="26"/>
                    <w:bidi w:val="0"/>
                    <w:jc w:val="center"/>
                    <w:rPr>
                      <w:rFonts w:hint="default"/>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布袋除尘+两级活性炭吸附装置</w:t>
                  </w:r>
                </w:p>
              </w:tc>
              <w:tc>
                <w:tcPr>
                  <w:tcW w:w="587" w:type="pct"/>
                  <w:noWrap w:val="0"/>
                  <w:vAlign w:val="center"/>
                </w:tcPr>
                <w:p w14:paraId="4374ACC5">
                  <w:pPr>
                    <w:pStyle w:val="26"/>
                    <w:bidi w:val="0"/>
                    <w:ind w:firstLine="0" w:firstLineChars="0"/>
                    <w:jc w:val="center"/>
                    <w:rPr>
                      <w:rFonts w:hint="eastAsia"/>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0.62</w:t>
                  </w:r>
                </w:p>
              </w:tc>
              <w:tc>
                <w:tcPr>
                  <w:tcW w:w="514" w:type="pct"/>
                  <w:noWrap w:val="0"/>
                  <w:vAlign w:val="center"/>
                </w:tcPr>
                <w:p w14:paraId="0E60A814">
                  <w:pPr>
                    <w:pStyle w:val="26"/>
                    <w:bidi w:val="0"/>
                    <w:ind w:firstLine="0" w:firstLineChars="0"/>
                    <w:jc w:val="center"/>
                    <w:rPr>
                      <w:rFonts w:hint="eastAsia"/>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0.0062</w:t>
                  </w:r>
                </w:p>
              </w:tc>
              <w:tc>
                <w:tcPr>
                  <w:tcW w:w="493" w:type="pct"/>
                  <w:noWrap w:val="0"/>
                  <w:vAlign w:val="center"/>
                </w:tcPr>
                <w:p w14:paraId="33BA5848">
                  <w:pPr>
                    <w:pStyle w:val="26"/>
                    <w:bidi w:val="0"/>
                    <w:ind w:firstLine="0" w:firstLineChars="0"/>
                    <w:jc w:val="center"/>
                    <w:rPr>
                      <w:rFonts w:hint="eastAsia"/>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0.0186</w:t>
                  </w:r>
                </w:p>
              </w:tc>
            </w:tr>
            <w:tr w14:paraId="78EF9C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 w:type="pct"/>
                  <w:vMerge w:val="continue"/>
                  <w:noWrap w:val="0"/>
                  <w:vAlign w:val="center"/>
                </w:tcPr>
                <w:p w14:paraId="623BAFCB">
                  <w:pPr>
                    <w:pStyle w:val="26"/>
                    <w:rPr>
                      <w:rFonts w:hint="eastAsia" w:eastAsia="宋体"/>
                      <w:color w:val="000000" w:themeColor="text1"/>
                      <w:highlight w:val="none"/>
                      <w:lang w:val="en-US" w:eastAsia="zh-CN"/>
                      <w14:textFill>
                        <w14:solidFill>
                          <w14:schemeClr w14:val="tx1"/>
                        </w14:solidFill>
                      </w14:textFill>
                    </w:rPr>
                  </w:pPr>
                </w:p>
              </w:tc>
              <w:tc>
                <w:tcPr>
                  <w:tcW w:w="442" w:type="pct"/>
                  <w:noWrap w:val="0"/>
                  <w:vAlign w:val="center"/>
                </w:tcPr>
                <w:p w14:paraId="3CE07920">
                  <w:pPr>
                    <w:pStyle w:val="26"/>
                    <w:bidi w:val="0"/>
                    <w:ind w:firstLine="0" w:firstLineChars="0"/>
                    <w:jc w:val="center"/>
                    <w:rPr>
                      <w:rFonts w:hint="eastAsia" w:ascii="Times New Roman" w:hAnsi="Times New Roman" w:cs="Times New Roman"/>
                      <w:color w:val="000000" w:themeColor="text1"/>
                      <w:sz w:val="21"/>
                      <w:szCs w:val="22"/>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苯并[a]芘</w:t>
                  </w:r>
                </w:p>
              </w:tc>
              <w:tc>
                <w:tcPr>
                  <w:tcW w:w="569" w:type="pct"/>
                  <w:noWrap w:val="0"/>
                  <w:vAlign w:val="center"/>
                </w:tcPr>
                <w:p w14:paraId="4782846C">
                  <w:pPr>
                    <w:pStyle w:val="26"/>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1.10</w:t>
                  </w:r>
                </w:p>
                <w:p w14:paraId="2FC67430">
                  <w:pPr>
                    <w:pStyle w:val="26"/>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E-03</w:t>
                  </w:r>
                </w:p>
              </w:tc>
              <w:tc>
                <w:tcPr>
                  <w:tcW w:w="563" w:type="pct"/>
                  <w:noWrap w:val="0"/>
                  <w:vAlign w:val="center"/>
                </w:tcPr>
                <w:p w14:paraId="48C54C37">
                  <w:pPr>
                    <w:pStyle w:val="26"/>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1.10</w:t>
                  </w:r>
                </w:p>
                <w:p w14:paraId="43AC9F3E">
                  <w:pPr>
                    <w:pStyle w:val="26"/>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E-05</w:t>
                  </w:r>
                </w:p>
              </w:tc>
              <w:tc>
                <w:tcPr>
                  <w:tcW w:w="505" w:type="pct"/>
                  <w:noWrap w:val="0"/>
                  <w:vAlign w:val="center"/>
                </w:tcPr>
                <w:p w14:paraId="580ECDB5">
                  <w:pPr>
                    <w:pStyle w:val="26"/>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3.31</w:t>
                  </w:r>
                </w:p>
                <w:p w14:paraId="62332E9D">
                  <w:pPr>
                    <w:pStyle w:val="26"/>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E-05</w:t>
                  </w:r>
                </w:p>
              </w:tc>
              <w:tc>
                <w:tcPr>
                  <w:tcW w:w="406" w:type="pct"/>
                  <w:vMerge w:val="continue"/>
                  <w:noWrap w:val="0"/>
                  <w:vAlign w:val="center"/>
                </w:tcPr>
                <w:p w14:paraId="0C2E86B2">
                  <w:pPr>
                    <w:pStyle w:val="26"/>
                    <w:bidi w:val="0"/>
                    <w:jc w:val="center"/>
                    <w:rPr>
                      <w:rFonts w:hint="eastAsia"/>
                      <w:color w:val="000000" w:themeColor="text1"/>
                      <w:highlight w:val="none"/>
                      <w:lang w:val="en-US" w:eastAsia="zh-CN"/>
                      <w14:textFill>
                        <w14:solidFill>
                          <w14:schemeClr w14:val="tx1"/>
                        </w14:solidFill>
                      </w14:textFill>
                    </w:rPr>
                  </w:pPr>
                </w:p>
              </w:tc>
              <w:tc>
                <w:tcPr>
                  <w:tcW w:w="493" w:type="pct"/>
                  <w:vMerge w:val="continue"/>
                  <w:noWrap w:val="0"/>
                  <w:vAlign w:val="center"/>
                </w:tcPr>
                <w:p w14:paraId="625DA543">
                  <w:pPr>
                    <w:pStyle w:val="26"/>
                    <w:bidi w:val="0"/>
                    <w:jc w:val="center"/>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587" w:type="pct"/>
                  <w:noWrap w:val="0"/>
                  <w:vAlign w:val="center"/>
                </w:tcPr>
                <w:p w14:paraId="0DA48B57">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1.65</w:t>
                  </w:r>
                </w:p>
                <w:p w14:paraId="712B111A">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E-0</w:t>
                  </w:r>
                  <w:r>
                    <w:rPr>
                      <w:rFonts w:hint="eastAsia"/>
                      <w:color w:val="000000" w:themeColor="text1"/>
                      <w:highlight w:val="none"/>
                      <w:lang w:val="en-US" w:eastAsia="zh-CN"/>
                      <w14:textFill>
                        <w14:solidFill>
                          <w14:schemeClr w14:val="tx1"/>
                        </w14:solidFill>
                      </w14:textFill>
                    </w:rPr>
                    <w:t>4</w:t>
                  </w:r>
                </w:p>
              </w:tc>
              <w:tc>
                <w:tcPr>
                  <w:tcW w:w="514" w:type="pct"/>
                  <w:noWrap w:val="0"/>
                  <w:vAlign w:val="center"/>
                </w:tcPr>
                <w:p w14:paraId="001009A4">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1.65</w:t>
                  </w:r>
                </w:p>
                <w:p w14:paraId="60047733">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E-06</w:t>
                  </w:r>
                </w:p>
              </w:tc>
              <w:tc>
                <w:tcPr>
                  <w:tcW w:w="493" w:type="pct"/>
                  <w:noWrap w:val="0"/>
                  <w:vAlign w:val="center"/>
                </w:tcPr>
                <w:p w14:paraId="4369C6F9">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4.96</w:t>
                  </w:r>
                </w:p>
                <w:p w14:paraId="4964D82C">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E-06</w:t>
                  </w:r>
                </w:p>
              </w:tc>
            </w:tr>
            <w:tr w14:paraId="5D73C7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 w:type="pct"/>
                  <w:vMerge w:val="continue"/>
                  <w:noWrap w:val="0"/>
                  <w:vAlign w:val="center"/>
                </w:tcPr>
                <w:p w14:paraId="095DD75F">
                  <w:pPr>
                    <w:pStyle w:val="26"/>
                    <w:rPr>
                      <w:rFonts w:hint="eastAsia" w:eastAsia="宋体"/>
                      <w:color w:val="000000" w:themeColor="text1"/>
                      <w:highlight w:val="none"/>
                      <w:lang w:val="en-US" w:eastAsia="zh-CN"/>
                      <w14:textFill>
                        <w14:solidFill>
                          <w14:schemeClr w14:val="tx1"/>
                        </w14:solidFill>
                      </w14:textFill>
                    </w:rPr>
                  </w:pPr>
                </w:p>
              </w:tc>
              <w:tc>
                <w:tcPr>
                  <w:tcW w:w="442" w:type="pct"/>
                  <w:noWrap w:val="0"/>
                  <w:vAlign w:val="center"/>
                </w:tcPr>
                <w:p w14:paraId="140B286B">
                  <w:pPr>
                    <w:pStyle w:val="26"/>
                    <w:bidi w:val="0"/>
                    <w:ind w:firstLine="0" w:firstLineChars="0"/>
                    <w:jc w:val="center"/>
                    <w:rPr>
                      <w:rFonts w:hint="eastAsia" w:ascii="Times New Roman" w:hAnsi="Times New Roman" w:cs="Times New Roman"/>
                      <w:color w:val="000000" w:themeColor="text1"/>
                      <w:sz w:val="21"/>
                      <w:szCs w:val="22"/>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颗粒物</w:t>
                  </w:r>
                </w:p>
              </w:tc>
              <w:tc>
                <w:tcPr>
                  <w:tcW w:w="569" w:type="pct"/>
                  <w:noWrap w:val="0"/>
                  <w:vAlign w:val="center"/>
                </w:tcPr>
                <w:p w14:paraId="195702AB">
                  <w:pPr>
                    <w:pStyle w:val="26"/>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62.23</w:t>
                  </w:r>
                </w:p>
              </w:tc>
              <w:tc>
                <w:tcPr>
                  <w:tcW w:w="563" w:type="pct"/>
                  <w:noWrap w:val="0"/>
                  <w:vAlign w:val="center"/>
                </w:tcPr>
                <w:p w14:paraId="78C9B218">
                  <w:pPr>
                    <w:pStyle w:val="26"/>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0.6223</w:t>
                  </w:r>
                </w:p>
              </w:tc>
              <w:tc>
                <w:tcPr>
                  <w:tcW w:w="505" w:type="pct"/>
                  <w:noWrap w:val="0"/>
                  <w:vAlign w:val="center"/>
                </w:tcPr>
                <w:p w14:paraId="0BDF8C47">
                  <w:pPr>
                    <w:pStyle w:val="26"/>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1.8669</w:t>
                  </w:r>
                </w:p>
              </w:tc>
              <w:tc>
                <w:tcPr>
                  <w:tcW w:w="406" w:type="pct"/>
                  <w:vMerge w:val="continue"/>
                  <w:noWrap w:val="0"/>
                  <w:vAlign w:val="center"/>
                </w:tcPr>
                <w:p w14:paraId="31BF8956">
                  <w:pPr>
                    <w:pStyle w:val="26"/>
                    <w:bidi w:val="0"/>
                    <w:jc w:val="center"/>
                    <w:rPr>
                      <w:rFonts w:hint="eastAsia"/>
                      <w:color w:val="000000" w:themeColor="text1"/>
                      <w:highlight w:val="none"/>
                      <w:lang w:val="en-US" w:eastAsia="zh-CN"/>
                      <w14:textFill>
                        <w14:solidFill>
                          <w14:schemeClr w14:val="tx1"/>
                        </w14:solidFill>
                      </w14:textFill>
                    </w:rPr>
                  </w:pPr>
                </w:p>
              </w:tc>
              <w:tc>
                <w:tcPr>
                  <w:tcW w:w="493" w:type="pct"/>
                  <w:vMerge w:val="continue"/>
                  <w:noWrap w:val="0"/>
                  <w:vAlign w:val="center"/>
                </w:tcPr>
                <w:p w14:paraId="3E71095B">
                  <w:pPr>
                    <w:pStyle w:val="26"/>
                    <w:bidi w:val="0"/>
                    <w:jc w:val="center"/>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587" w:type="pct"/>
                  <w:noWrap w:val="0"/>
                  <w:vAlign w:val="center"/>
                </w:tcPr>
                <w:p w14:paraId="6AE5FC15">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0.62</w:t>
                  </w:r>
                </w:p>
              </w:tc>
              <w:tc>
                <w:tcPr>
                  <w:tcW w:w="514" w:type="pct"/>
                  <w:noWrap w:val="0"/>
                  <w:vAlign w:val="center"/>
                </w:tcPr>
                <w:p w14:paraId="62EF9A3D">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0.0062</w:t>
                  </w:r>
                </w:p>
              </w:tc>
              <w:tc>
                <w:tcPr>
                  <w:tcW w:w="493" w:type="pct"/>
                  <w:noWrap w:val="0"/>
                  <w:vAlign w:val="center"/>
                </w:tcPr>
                <w:p w14:paraId="242C9148">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0.0187</w:t>
                  </w:r>
                </w:p>
              </w:tc>
            </w:tr>
            <w:tr w14:paraId="5DD175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 w:type="pct"/>
                  <w:vMerge w:val="continue"/>
                  <w:noWrap w:val="0"/>
                  <w:vAlign w:val="center"/>
                </w:tcPr>
                <w:p w14:paraId="34345C42">
                  <w:pPr>
                    <w:pStyle w:val="26"/>
                    <w:rPr>
                      <w:rFonts w:hint="eastAsia" w:eastAsia="宋体"/>
                      <w:color w:val="000000" w:themeColor="text1"/>
                      <w:highlight w:val="none"/>
                      <w:lang w:val="en-US" w:eastAsia="zh-CN"/>
                      <w14:textFill>
                        <w14:solidFill>
                          <w14:schemeClr w14:val="tx1"/>
                        </w14:solidFill>
                      </w14:textFill>
                    </w:rPr>
                  </w:pPr>
                </w:p>
              </w:tc>
              <w:tc>
                <w:tcPr>
                  <w:tcW w:w="442" w:type="pct"/>
                  <w:noWrap w:val="0"/>
                  <w:vAlign w:val="center"/>
                </w:tcPr>
                <w:p w14:paraId="191ADBF1">
                  <w:pPr>
                    <w:pStyle w:val="26"/>
                    <w:bidi w:val="0"/>
                    <w:ind w:firstLine="0" w:firstLineChars="0"/>
                    <w:jc w:val="center"/>
                    <w:rPr>
                      <w:rFonts w:hint="eastAsia" w:ascii="Times New Roman" w:hAnsi="Times New Roman" w:cs="Times New Roman"/>
                      <w:color w:val="000000" w:themeColor="text1"/>
                      <w:sz w:val="21"/>
                      <w:szCs w:val="22"/>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非甲烷总烃</w:t>
                  </w:r>
                </w:p>
              </w:tc>
              <w:tc>
                <w:tcPr>
                  <w:tcW w:w="569" w:type="pct"/>
                  <w:noWrap w:val="0"/>
                  <w:vAlign w:val="center"/>
                </w:tcPr>
                <w:p w14:paraId="4B00B101">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378.04</w:t>
                  </w:r>
                </w:p>
              </w:tc>
              <w:tc>
                <w:tcPr>
                  <w:tcW w:w="563" w:type="pct"/>
                  <w:noWrap w:val="0"/>
                  <w:vAlign w:val="center"/>
                </w:tcPr>
                <w:p w14:paraId="5E8E9A1B">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3.7804</w:t>
                  </w:r>
                </w:p>
              </w:tc>
              <w:tc>
                <w:tcPr>
                  <w:tcW w:w="505" w:type="pct"/>
                  <w:noWrap w:val="0"/>
                  <w:vAlign w:val="center"/>
                </w:tcPr>
                <w:p w14:paraId="7AEDDF80">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11.9262</w:t>
                  </w:r>
                </w:p>
              </w:tc>
              <w:tc>
                <w:tcPr>
                  <w:tcW w:w="406" w:type="pct"/>
                  <w:vMerge w:val="continue"/>
                  <w:noWrap w:val="0"/>
                  <w:vAlign w:val="center"/>
                </w:tcPr>
                <w:p w14:paraId="7C480C0D">
                  <w:pPr>
                    <w:pStyle w:val="26"/>
                    <w:bidi w:val="0"/>
                    <w:jc w:val="center"/>
                    <w:rPr>
                      <w:rFonts w:hint="eastAsia"/>
                      <w:color w:val="000000" w:themeColor="text1"/>
                      <w:highlight w:val="none"/>
                      <w:lang w:val="en-US" w:eastAsia="zh-CN"/>
                      <w14:textFill>
                        <w14:solidFill>
                          <w14:schemeClr w14:val="tx1"/>
                        </w14:solidFill>
                      </w14:textFill>
                    </w:rPr>
                  </w:pPr>
                </w:p>
              </w:tc>
              <w:tc>
                <w:tcPr>
                  <w:tcW w:w="493" w:type="pct"/>
                  <w:vMerge w:val="continue"/>
                  <w:noWrap w:val="0"/>
                  <w:vAlign w:val="center"/>
                </w:tcPr>
                <w:p w14:paraId="598FA95F">
                  <w:pPr>
                    <w:pStyle w:val="26"/>
                    <w:bidi w:val="0"/>
                    <w:jc w:val="center"/>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587" w:type="pct"/>
                  <w:noWrap w:val="0"/>
                  <w:vAlign w:val="center"/>
                </w:tcPr>
                <w:p w14:paraId="5C5660AD">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75.61</w:t>
                  </w:r>
                </w:p>
              </w:tc>
              <w:tc>
                <w:tcPr>
                  <w:tcW w:w="514" w:type="pct"/>
                  <w:noWrap w:val="0"/>
                  <w:vAlign w:val="center"/>
                </w:tcPr>
                <w:p w14:paraId="00BA7A29">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0.7561</w:t>
                  </w:r>
                </w:p>
              </w:tc>
              <w:tc>
                <w:tcPr>
                  <w:tcW w:w="493" w:type="pct"/>
                  <w:noWrap w:val="0"/>
                  <w:vAlign w:val="center"/>
                </w:tcPr>
                <w:p w14:paraId="50F8B42E">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2.3852</w:t>
                  </w:r>
                </w:p>
              </w:tc>
            </w:tr>
            <w:tr w14:paraId="147EFB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 w:type="pct"/>
                  <w:vMerge w:val="continue"/>
                  <w:noWrap w:val="0"/>
                  <w:vAlign w:val="center"/>
                </w:tcPr>
                <w:p w14:paraId="6979F3A2">
                  <w:pPr>
                    <w:pStyle w:val="26"/>
                    <w:rPr>
                      <w:rFonts w:hint="eastAsia"/>
                      <w:color w:val="000000" w:themeColor="text1"/>
                      <w:highlight w:val="none"/>
                      <w14:textFill>
                        <w14:solidFill>
                          <w14:schemeClr w14:val="tx1"/>
                        </w14:solidFill>
                      </w14:textFill>
                    </w:rPr>
                  </w:pPr>
                </w:p>
              </w:tc>
              <w:tc>
                <w:tcPr>
                  <w:tcW w:w="442" w:type="pct"/>
                  <w:noWrap w:val="0"/>
                  <w:vAlign w:val="center"/>
                </w:tcPr>
                <w:p w14:paraId="6409C74C">
                  <w:pPr>
                    <w:pStyle w:val="26"/>
                    <w:bidi w:val="0"/>
                    <w:ind w:firstLine="0" w:firstLineChars="0"/>
                    <w:jc w:val="center"/>
                    <w:rPr>
                      <w:rFonts w:hint="eastAsia" w:ascii="Times New Roman" w:hAnsi="Times New Roman" w:cs="Times New Roman"/>
                      <w:color w:val="000000" w:themeColor="text1"/>
                      <w:sz w:val="21"/>
                      <w:szCs w:val="22"/>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沥青烟</w:t>
                  </w:r>
                </w:p>
              </w:tc>
              <w:tc>
                <w:tcPr>
                  <w:tcW w:w="569" w:type="pct"/>
                  <w:noWrap w:val="0"/>
                  <w:vAlign w:val="center"/>
                </w:tcPr>
                <w:p w14:paraId="2138D36C">
                  <w:pPr>
                    <w:pStyle w:val="26"/>
                    <w:bidi w:val="0"/>
                    <w:jc w:val="center"/>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563" w:type="pct"/>
                  <w:noWrap w:val="0"/>
                  <w:vAlign w:val="center"/>
                </w:tcPr>
                <w:p w14:paraId="4A6B24C7">
                  <w:pPr>
                    <w:pStyle w:val="26"/>
                    <w:bidi w:val="0"/>
                    <w:ind w:firstLine="0" w:firstLineChars="0"/>
                    <w:jc w:val="center"/>
                    <w:rPr>
                      <w:rFonts w:hint="eastAsia"/>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0.0008</w:t>
                  </w:r>
                </w:p>
              </w:tc>
              <w:tc>
                <w:tcPr>
                  <w:tcW w:w="505" w:type="pct"/>
                  <w:noWrap w:val="0"/>
                  <w:vAlign w:val="center"/>
                </w:tcPr>
                <w:p w14:paraId="279714A2">
                  <w:pPr>
                    <w:pStyle w:val="26"/>
                    <w:bidi w:val="0"/>
                    <w:ind w:firstLine="0" w:firstLineChars="0"/>
                    <w:jc w:val="center"/>
                    <w:rPr>
                      <w:rFonts w:hint="eastAsia"/>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0.0025</w:t>
                  </w:r>
                </w:p>
              </w:tc>
              <w:tc>
                <w:tcPr>
                  <w:tcW w:w="406" w:type="pct"/>
                  <w:vMerge w:val="restart"/>
                  <w:noWrap w:val="0"/>
                  <w:vAlign w:val="center"/>
                </w:tcPr>
                <w:p w14:paraId="568DB2AE">
                  <w:pPr>
                    <w:pStyle w:val="26"/>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无组织</w:t>
                  </w:r>
                </w:p>
              </w:tc>
              <w:tc>
                <w:tcPr>
                  <w:tcW w:w="493" w:type="pct"/>
                  <w:vMerge w:val="restart"/>
                  <w:noWrap w:val="0"/>
                  <w:vAlign w:val="center"/>
                </w:tcPr>
                <w:p w14:paraId="05F874E0">
                  <w:pPr>
                    <w:pStyle w:val="26"/>
                    <w:bidi w:val="0"/>
                    <w:jc w:val="center"/>
                    <w:rPr>
                      <w:rFonts w:hint="default"/>
                      <w:color w:val="000000" w:themeColor="text1"/>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设备排气管道收集</w:t>
                  </w:r>
                </w:p>
              </w:tc>
              <w:tc>
                <w:tcPr>
                  <w:tcW w:w="587" w:type="pct"/>
                  <w:noWrap w:val="0"/>
                  <w:vAlign w:val="center"/>
                </w:tcPr>
                <w:p w14:paraId="205AD920">
                  <w:pPr>
                    <w:pStyle w:val="26"/>
                    <w:bidi w:val="0"/>
                    <w:jc w:val="center"/>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514" w:type="pct"/>
                  <w:noWrap w:val="0"/>
                  <w:vAlign w:val="center"/>
                </w:tcPr>
                <w:p w14:paraId="681FFB4C">
                  <w:pPr>
                    <w:pStyle w:val="26"/>
                    <w:bidi w:val="0"/>
                    <w:ind w:firstLine="0" w:firstLineChars="0"/>
                    <w:jc w:val="center"/>
                    <w:rPr>
                      <w:rFonts w:hint="eastAsia"/>
                      <w:color w:val="000000" w:themeColor="text1"/>
                      <w:sz w:val="21"/>
                      <w:szCs w:val="22"/>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0.0008</w:t>
                  </w:r>
                </w:p>
              </w:tc>
              <w:tc>
                <w:tcPr>
                  <w:tcW w:w="493" w:type="pct"/>
                  <w:noWrap w:val="0"/>
                  <w:vAlign w:val="center"/>
                </w:tcPr>
                <w:p w14:paraId="42D58D89">
                  <w:pPr>
                    <w:pStyle w:val="26"/>
                    <w:bidi w:val="0"/>
                    <w:ind w:firstLine="0" w:firstLineChars="0"/>
                    <w:jc w:val="center"/>
                    <w:rPr>
                      <w:rFonts w:hint="eastAsia"/>
                      <w:color w:val="000000" w:themeColor="text1"/>
                      <w:sz w:val="21"/>
                      <w:szCs w:val="22"/>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0.0025</w:t>
                  </w:r>
                </w:p>
              </w:tc>
            </w:tr>
            <w:tr w14:paraId="36E133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 w:type="pct"/>
                  <w:vMerge w:val="continue"/>
                  <w:noWrap w:val="0"/>
                  <w:vAlign w:val="center"/>
                </w:tcPr>
                <w:p w14:paraId="4A0C1117">
                  <w:pPr>
                    <w:pStyle w:val="26"/>
                    <w:rPr>
                      <w:rFonts w:hint="eastAsia"/>
                      <w:color w:val="000000" w:themeColor="text1"/>
                      <w:highlight w:val="none"/>
                      <w14:textFill>
                        <w14:solidFill>
                          <w14:schemeClr w14:val="tx1"/>
                        </w14:solidFill>
                      </w14:textFill>
                    </w:rPr>
                  </w:pPr>
                  <w:bookmarkStart w:id="169" w:name="_Ref22830"/>
                </w:p>
              </w:tc>
              <w:tc>
                <w:tcPr>
                  <w:tcW w:w="442" w:type="pct"/>
                  <w:noWrap w:val="0"/>
                  <w:vAlign w:val="center"/>
                </w:tcPr>
                <w:p w14:paraId="653C12D9">
                  <w:pPr>
                    <w:pStyle w:val="26"/>
                    <w:bidi w:val="0"/>
                    <w:ind w:firstLine="0" w:firstLineChars="0"/>
                    <w:jc w:val="center"/>
                    <w:rPr>
                      <w:rFonts w:hint="eastAsia" w:ascii="Times New Roman" w:hAnsi="Times New Roman" w:cs="Times New Roman"/>
                      <w:color w:val="000000" w:themeColor="text1"/>
                      <w:sz w:val="21"/>
                      <w:szCs w:val="22"/>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苯并[a]芘</w:t>
                  </w:r>
                </w:p>
              </w:tc>
              <w:tc>
                <w:tcPr>
                  <w:tcW w:w="569" w:type="pct"/>
                  <w:noWrap w:val="0"/>
                  <w:vAlign w:val="center"/>
                </w:tcPr>
                <w:p w14:paraId="63C71EF8">
                  <w:pPr>
                    <w:pStyle w:val="26"/>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563" w:type="pct"/>
                  <w:noWrap w:val="0"/>
                  <w:vAlign w:val="center"/>
                </w:tcPr>
                <w:p w14:paraId="08DCF8AD">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2.25</w:t>
                  </w:r>
                </w:p>
                <w:p w14:paraId="1A4AD7E2">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E-07</w:t>
                  </w:r>
                </w:p>
              </w:tc>
              <w:tc>
                <w:tcPr>
                  <w:tcW w:w="505" w:type="pct"/>
                  <w:noWrap w:val="0"/>
                  <w:vAlign w:val="center"/>
                </w:tcPr>
                <w:p w14:paraId="4E35543E">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6.75</w:t>
                  </w:r>
                </w:p>
                <w:p w14:paraId="7D07245C">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E-07</w:t>
                  </w:r>
                </w:p>
              </w:tc>
              <w:tc>
                <w:tcPr>
                  <w:tcW w:w="406" w:type="pct"/>
                  <w:vMerge w:val="continue"/>
                  <w:noWrap w:val="0"/>
                  <w:vAlign w:val="center"/>
                </w:tcPr>
                <w:p w14:paraId="686D21CD">
                  <w:pPr>
                    <w:pStyle w:val="26"/>
                    <w:bidi w:val="0"/>
                    <w:jc w:val="center"/>
                    <w:rPr>
                      <w:rFonts w:hint="eastAsia"/>
                      <w:color w:val="000000" w:themeColor="text1"/>
                      <w:highlight w:val="none"/>
                      <w:lang w:val="en-US" w:eastAsia="zh-CN"/>
                      <w14:textFill>
                        <w14:solidFill>
                          <w14:schemeClr w14:val="tx1"/>
                        </w14:solidFill>
                      </w14:textFill>
                    </w:rPr>
                  </w:pPr>
                </w:p>
              </w:tc>
              <w:tc>
                <w:tcPr>
                  <w:tcW w:w="493" w:type="pct"/>
                  <w:vMerge w:val="continue"/>
                  <w:noWrap w:val="0"/>
                  <w:vAlign w:val="center"/>
                </w:tcPr>
                <w:p w14:paraId="69FDEA57">
                  <w:pPr>
                    <w:pStyle w:val="26"/>
                    <w:bidi w:val="0"/>
                    <w:jc w:val="center"/>
                    <w:rPr>
                      <w:rFonts w:hint="eastAsia"/>
                      <w:color w:val="000000" w:themeColor="text1"/>
                      <w:highlight w:val="none"/>
                      <w:lang w:val="en-US" w:eastAsia="zh-CN"/>
                      <w14:textFill>
                        <w14:solidFill>
                          <w14:schemeClr w14:val="tx1"/>
                        </w14:solidFill>
                      </w14:textFill>
                    </w:rPr>
                  </w:pPr>
                </w:p>
              </w:tc>
              <w:tc>
                <w:tcPr>
                  <w:tcW w:w="587" w:type="pct"/>
                  <w:noWrap w:val="0"/>
                  <w:vAlign w:val="center"/>
                </w:tcPr>
                <w:p w14:paraId="1CA3A65C">
                  <w:pPr>
                    <w:pStyle w:val="26"/>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514" w:type="pct"/>
                  <w:noWrap w:val="0"/>
                  <w:vAlign w:val="center"/>
                </w:tcPr>
                <w:p w14:paraId="13BDD7C3">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2.25</w:t>
                  </w:r>
                </w:p>
                <w:p w14:paraId="041FD880">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E-07</w:t>
                  </w:r>
                </w:p>
              </w:tc>
              <w:tc>
                <w:tcPr>
                  <w:tcW w:w="493" w:type="pct"/>
                  <w:noWrap w:val="0"/>
                  <w:vAlign w:val="center"/>
                </w:tcPr>
                <w:p w14:paraId="2ABA9DE8">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6.75</w:t>
                  </w:r>
                </w:p>
                <w:p w14:paraId="42EC5C27">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E-07</w:t>
                  </w:r>
                </w:p>
              </w:tc>
            </w:tr>
            <w:tr w14:paraId="0889BD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 w:type="pct"/>
                  <w:vMerge w:val="continue"/>
                  <w:noWrap w:val="0"/>
                  <w:vAlign w:val="center"/>
                </w:tcPr>
                <w:p w14:paraId="260CF654">
                  <w:pPr>
                    <w:pStyle w:val="26"/>
                    <w:rPr>
                      <w:rFonts w:hint="eastAsia"/>
                      <w:color w:val="000000" w:themeColor="text1"/>
                      <w:highlight w:val="none"/>
                      <w14:textFill>
                        <w14:solidFill>
                          <w14:schemeClr w14:val="tx1"/>
                        </w14:solidFill>
                      </w14:textFill>
                    </w:rPr>
                  </w:pPr>
                </w:p>
              </w:tc>
              <w:tc>
                <w:tcPr>
                  <w:tcW w:w="442" w:type="pct"/>
                  <w:noWrap w:val="0"/>
                  <w:vAlign w:val="center"/>
                </w:tcPr>
                <w:p w14:paraId="71FEC446">
                  <w:pPr>
                    <w:pStyle w:val="26"/>
                    <w:bidi w:val="0"/>
                    <w:ind w:firstLine="0" w:firstLineChars="0"/>
                    <w:jc w:val="center"/>
                    <w:rPr>
                      <w:rFonts w:hint="eastAsia" w:ascii="Times New Roman" w:hAnsi="Times New Roman" w:cs="Times New Roman"/>
                      <w:color w:val="000000" w:themeColor="text1"/>
                      <w:sz w:val="21"/>
                      <w:szCs w:val="22"/>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颗粒物</w:t>
                  </w:r>
                </w:p>
              </w:tc>
              <w:tc>
                <w:tcPr>
                  <w:tcW w:w="569" w:type="pct"/>
                  <w:noWrap w:val="0"/>
                  <w:vAlign w:val="center"/>
                </w:tcPr>
                <w:p w14:paraId="7F5FE08F">
                  <w:pPr>
                    <w:pStyle w:val="26"/>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563" w:type="pct"/>
                  <w:noWrap w:val="0"/>
                  <w:vAlign w:val="center"/>
                </w:tcPr>
                <w:p w14:paraId="0953895C">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0.0127</w:t>
                  </w:r>
                </w:p>
              </w:tc>
              <w:tc>
                <w:tcPr>
                  <w:tcW w:w="505" w:type="pct"/>
                  <w:noWrap w:val="0"/>
                  <w:vAlign w:val="center"/>
                </w:tcPr>
                <w:p w14:paraId="5420D428">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0.0381</w:t>
                  </w:r>
                </w:p>
              </w:tc>
              <w:tc>
                <w:tcPr>
                  <w:tcW w:w="406" w:type="pct"/>
                  <w:vMerge w:val="continue"/>
                  <w:noWrap w:val="0"/>
                  <w:vAlign w:val="center"/>
                </w:tcPr>
                <w:p w14:paraId="158B0B63">
                  <w:pPr>
                    <w:pStyle w:val="26"/>
                    <w:bidi w:val="0"/>
                    <w:jc w:val="center"/>
                    <w:rPr>
                      <w:rFonts w:hint="eastAsia"/>
                      <w:color w:val="000000" w:themeColor="text1"/>
                      <w:highlight w:val="none"/>
                      <w:lang w:val="en-US" w:eastAsia="zh-CN"/>
                      <w14:textFill>
                        <w14:solidFill>
                          <w14:schemeClr w14:val="tx1"/>
                        </w14:solidFill>
                      </w14:textFill>
                    </w:rPr>
                  </w:pPr>
                </w:p>
              </w:tc>
              <w:tc>
                <w:tcPr>
                  <w:tcW w:w="493" w:type="pct"/>
                  <w:vMerge w:val="continue"/>
                  <w:noWrap w:val="0"/>
                  <w:vAlign w:val="center"/>
                </w:tcPr>
                <w:p w14:paraId="591428F6">
                  <w:pPr>
                    <w:pStyle w:val="26"/>
                    <w:bidi w:val="0"/>
                    <w:jc w:val="center"/>
                    <w:rPr>
                      <w:rFonts w:hint="default"/>
                      <w:color w:val="000000" w:themeColor="text1"/>
                      <w:highlight w:val="none"/>
                      <w:lang w:val="en-US" w:eastAsia="zh-CN"/>
                      <w14:textFill>
                        <w14:solidFill>
                          <w14:schemeClr w14:val="tx1"/>
                        </w14:solidFill>
                      </w14:textFill>
                    </w:rPr>
                  </w:pPr>
                </w:p>
              </w:tc>
              <w:tc>
                <w:tcPr>
                  <w:tcW w:w="587" w:type="pct"/>
                  <w:noWrap w:val="0"/>
                  <w:vAlign w:val="center"/>
                </w:tcPr>
                <w:p w14:paraId="09EF20EE">
                  <w:pPr>
                    <w:pStyle w:val="26"/>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514" w:type="pct"/>
                  <w:noWrap w:val="0"/>
                  <w:vAlign w:val="center"/>
                </w:tcPr>
                <w:p w14:paraId="6303C27F">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0.0127</w:t>
                  </w:r>
                </w:p>
              </w:tc>
              <w:tc>
                <w:tcPr>
                  <w:tcW w:w="493" w:type="pct"/>
                  <w:noWrap w:val="0"/>
                  <w:vAlign w:val="center"/>
                </w:tcPr>
                <w:p w14:paraId="1318E1BD">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0.0381</w:t>
                  </w:r>
                </w:p>
              </w:tc>
            </w:tr>
            <w:tr w14:paraId="78E89F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 w:type="pct"/>
                  <w:vMerge w:val="continue"/>
                  <w:noWrap w:val="0"/>
                  <w:vAlign w:val="center"/>
                </w:tcPr>
                <w:p w14:paraId="2AC47827">
                  <w:pPr>
                    <w:pStyle w:val="26"/>
                    <w:rPr>
                      <w:rFonts w:hint="eastAsia"/>
                      <w:color w:val="000000" w:themeColor="text1"/>
                      <w:highlight w:val="none"/>
                      <w14:textFill>
                        <w14:solidFill>
                          <w14:schemeClr w14:val="tx1"/>
                        </w14:solidFill>
                      </w14:textFill>
                    </w:rPr>
                  </w:pPr>
                </w:p>
              </w:tc>
              <w:tc>
                <w:tcPr>
                  <w:tcW w:w="442" w:type="pct"/>
                  <w:noWrap w:val="0"/>
                  <w:vAlign w:val="center"/>
                </w:tcPr>
                <w:p w14:paraId="22D477E9">
                  <w:pPr>
                    <w:pStyle w:val="26"/>
                    <w:bidi w:val="0"/>
                    <w:ind w:firstLine="0" w:firstLineChars="0"/>
                    <w:jc w:val="center"/>
                    <w:rPr>
                      <w:rFonts w:hint="eastAsia" w:ascii="Times New Roman" w:hAnsi="Times New Roman" w:cs="Times New Roman"/>
                      <w:color w:val="000000" w:themeColor="text1"/>
                      <w:sz w:val="21"/>
                      <w:szCs w:val="22"/>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非甲烷总烃</w:t>
                  </w:r>
                </w:p>
              </w:tc>
              <w:tc>
                <w:tcPr>
                  <w:tcW w:w="569" w:type="pct"/>
                  <w:noWrap w:val="0"/>
                  <w:vAlign w:val="center"/>
                </w:tcPr>
                <w:p w14:paraId="24957280">
                  <w:pPr>
                    <w:pStyle w:val="26"/>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563" w:type="pct"/>
                  <w:noWrap w:val="0"/>
                  <w:vAlign w:val="center"/>
                </w:tcPr>
                <w:p w14:paraId="16D1BF21">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0.1154</w:t>
                  </w:r>
                </w:p>
              </w:tc>
              <w:tc>
                <w:tcPr>
                  <w:tcW w:w="505" w:type="pct"/>
                  <w:noWrap w:val="0"/>
                  <w:vAlign w:val="center"/>
                </w:tcPr>
                <w:p w14:paraId="6D6052ED">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0.3811</w:t>
                  </w:r>
                </w:p>
              </w:tc>
              <w:tc>
                <w:tcPr>
                  <w:tcW w:w="406" w:type="pct"/>
                  <w:vMerge w:val="continue"/>
                  <w:noWrap w:val="0"/>
                  <w:vAlign w:val="center"/>
                </w:tcPr>
                <w:p w14:paraId="587B0A95">
                  <w:pPr>
                    <w:pStyle w:val="26"/>
                    <w:bidi w:val="0"/>
                    <w:jc w:val="center"/>
                    <w:rPr>
                      <w:rFonts w:hint="eastAsia"/>
                      <w:color w:val="000000" w:themeColor="text1"/>
                      <w:highlight w:val="none"/>
                      <w:lang w:val="en-US" w:eastAsia="zh-CN"/>
                      <w14:textFill>
                        <w14:solidFill>
                          <w14:schemeClr w14:val="tx1"/>
                        </w14:solidFill>
                      </w14:textFill>
                    </w:rPr>
                  </w:pPr>
                </w:p>
              </w:tc>
              <w:tc>
                <w:tcPr>
                  <w:tcW w:w="493" w:type="pct"/>
                  <w:vMerge w:val="continue"/>
                  <w:noWrap w:val="0"/>
                  <w:vAlign w:val="center"/>
                </w:tcPr>
                <w:p w14:paraId="5DB6D38D">
                  <w:pPr>
                    <w:pStyle w:val="26"/>
                    <w:bidi w:val="0"/>
                    <w:jc w:val="center"/>
                    <w:rPr>
                      <w:rFonts w:hint="default"/>
                      <w:color w:val="000000" w:themeColor="text1"/>
                      <w:highlight w:val="none"/>
                      <w:lang w:val="en-US" w:eastAsia="zh-CN"/>
                      <w14:textFill>
                        <w14:solidFill>
                          <w14:schemeClr w14:val="tx1"/>
                        </w14:solidFill>
                      </w14:textFill>
                    </w:rPr>
                  </w:pPr>
                </w:p>
              </w:tc>
              <w:tc>
                <w:tcPr>
                  <w:tcW w:w="587" w:type="pct"/>
                  <w:noWrap w:val="0"/>
                  <w:vAlign w:val="center"/>
                </w:tcPr>
                <w:p w14:paraId="730BD8F6">
                  <w:pPr>
                    <w:pStyle w:val="26"/>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514" w:type="pct"/>
                  <w:noWrap w:val="0"/>
                  <w:vAlign w:val="center"/>
                </w:tcPr>
                <w:p w14:paraId="03E6AF9A">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0.1154</w:t>
                  </w:r>
                </w:p>
              </w:tc>
              <w:tc>
                <w:tcPr>
                  <w:tcW w:w="493" w:type="pct"/>
                  <w:noWrap w:val="0"/>
                  <w:vAlign w:val="center"/>
                </w:tcPr>
                <w:p w14:paraId="57608CD4">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0.3811</w:t>
                  </w:r>
                </w:p>
              </w:tc>
            </w:tr>
            <w:tr w14:paraId="08E87F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 w:type="pct"/>
                  <w:noWrap w:val="0"/>
                  <w:vAlign w:val="center"/>
                </w:tcPr>
                <w:p w14:paraId="436A67FE">
                  <w:pPr>
                    <w:pStyle w:val="26"/>
                    <w:rPr>
                      <w:rFonts w:hint="eastAsia"/>
                      <w:color w:val="000000" w:themeColor="text1"/>
                      <w:highlight w:val="none"/>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一期工程</w:t>
                  </w:r>
                  <w:r>
                    <w:rPr>
                      <w:rFonts w:hint="eastAsia"/>
                      <w:color w:val="000000" w:themeColor="text1"/>
                      <w:highlight w:val="none"/>
                      <w:lang w:val="en-US" w:eastAsia="zh-CN"/>
                      <w14:textFill>
                        <w14:solidFill>
                          <w14:schemeClr w14:val="tx1"/>
                        </w14:solidFill>
                      </w14:textFill>
                    </w:rPr>
                    <w:t>乙醇储罐呼吸废气</w:t>
                  </w:r>
                </w:p>
              </w:tc>
              <w:tc>
                <w:tcPr>
                  <w:tcW w:w="442" w:type="pct"/>
                  <w:noWrap w:val="0"/>
                  <w:vAlign w:val="center"/>
                </w:tcPr>
                <w:p w14:paraId="12AE1C6C">
                  <w:pPr>
                    <w:pStyle w:val="26"/>
                    <w:bidi w:val="0"/>
                    <w:ind w:firstLine="0" w:firstLineChars="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非甲烷总烃</w:t>
                  </w:r>
                </w:p>
              </w:tc>
              <w:tc>
                <w:tcPr>
                  <w:tcW w:w="569" w:type="pct"/>
                  <w:noWrap w:val="0"/>
                  <w:vAlign w:val="center"/>
                </w:tcPr>
                <w:p w14:paraId="582967C7">
                  <w:pPr>
                    <w:pStyle w:val="26"/>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563" w:type="pct"/>
                  <w:noWrap w:val="0"/>
                  <w:vAlign w:val="center"/>
                </w:tcPr>
                <w:p w14:paraId="5B4DA1B8">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0.0001</w:t>
                  </w:r>
                </w:p>
              </w:tc>
              <w:tc>
                <w:tcPr>
                  <w:tcW w:w="505" w:type="pct"/>
                  <w:noWrap w:val="0"/>
                  <w:vAlign w:val="center"/>
                </w:tcPr>
                <w:p w14:paraId="36AE4B1A">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0.0005</w:t>
                  </w:r>
                </w:p>
              </w:tc>
              <w:tc>
                <w:tcPr>
                  <w:tcW w:w="406" w:type="pct"/>
                  <w:noWrap w:val="0"/>
                  <w:vAlign w:val="center"/>
                </w:tcPr>
                <w:p w14:paraId="6F0833D3">
                  <w:pPr>
                    <w:pStyle w:val="26"/>
                    <w:bidi w:val="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无组织</w:t>
                  </w:r>
                </w:p>
              </w:tc>
              <w:tc>
                <w:tcPr>
                  <w:tcW w:w="493" w:type="pct"/>
                  <w:noWrap w:val="0"/>
                  <w:vAlign w:val="center"/>
                </w:tcPr>
                <w:p w14:paraId="355A4EF2">
                  <w:pPr>
                    <w:pStyle w:val="26"/>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587" w:type="pct"/>
                  <w:noWrap w:val="0"/>
                  <w:vAlign w:val="center"/>
                </w:tcPr>
                <w:p w14:paraId="77F45A24">
                  <w:pPr>
                    <w:pStyle w:val="26"/>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514" w:type="pct"/>
                  <w:noWrap w:val="0"/>
                  <w:vAlign w:val="center"/>
                </w:tcPr>
                <w:p w14:paraId="4CD3198E">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0.0001</w:t>
                  </w:r>
                </w:p>
              </w:tc>
              <w:tc>
                <w:tcPr>
                  <w:tcW w:w="493" w:type="pct"/>
                  <w:noWrap w:val="0"/>
                  <w:vAlign w:val="center"/>
                </w:tcPr>
                <w:p w14:paraId="3A068AE8">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0.0005</w:t>
                  </w:r>
                </w:p>
              </w:tc>
            </w:tr>
            <w:tr w14:paraId="4C1D0B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3" w:type="pct"/>
                  <w:vMerge w:val="restart"/>
                  <w:noWrap w:val="0"/>
                  <w:vAlign w:val="center"/>
                </w:tcPr>
                <w:p w14:paraId="7A00BE9C">
                  <w:pPr>
                    <w:pStyle w:val="26"/>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二</w:t>
                  </w:r>
                  <w:r>
                    <w:rPr>
                      <w:rFonts w:hint="eastAsia" w:eastAsia="宋体"/>
                      <w:b/>
                      <w:bCs/>
                      <w:color w:val="000000" w:themeColor="text1"/>
                      <w:highlight w:val="none"/>
                      <w:lang w:val="en-US" w:eastAsia="zh-CN"/>
                      <w14:textFill>
                        <w14:solidFill>
                          <w14:schemeClr w14:val="tx1"/>
                        </w14:solidFill>
                      </w14:textFill>
                    </w:rPr>
                    <w:t>期工程</w:t>
                  </w:r>
                  <w:r>
                    <w:rPr>
                      <w:rFonts w:hint="eastAsia" w:eastAsia="宋体"/>
                      <w:color w:val="000000" w:themeColor="text1"/>
                      <w:highlight w:val="none"/>
                      <w:lang w:val="en-US" w:eastAsia="zh-CN"/>
                      <w14:textFill>
                        <w14:solidFill>
                          <w14:schemeClr w14:val="tx1"/>
                        </w14:solidFill>
                      </w14:textFill>
                    </w:rPr>
                    <w:t>（烘干、引弧放电、</w:t>
                  </w:r>
                  <w:r>
                    <w:rPr>
                      <w:rFonts w:hint="eastAsia"/>
                      <w:color w:val="000000" w:themeColor="text1"/>
                      <w:highlight w:val="none"/>
                      <w:lang w:val="en-US" w:eastAsia="zh-CN"/>
                      <w14:textFill>
                        <w14:solidFill>
                          <w14:schemeClr w14:val="tx1"/>
                        </w14:solidFill>
                      </w14:textFill>
                    </w:rPr>
                    <w:t>砂磨、烘干、</w:t>
                  </w:r>
                  <w:r>
                    <w:rPr>
                      <w:rFonts w:hint="eastAsia" w:eastAsia="宋体"/>
                      <w:color w:val="000000" w:themeColor="text1"/>
                      <w:highlight w:val="none"/>
                      <w:lang w:val="en-US" w:eastAsia="zh-CN"/>
                      <w14:textFill>
                        <w14:solidFill>
                          <w14:schemeClr w14:val="tx1"/>
                        </w14:solidFill>
                      </w14:textFill>
                    </w:rPr>
                    <w:t>包覆</w:t>
                  </w:r>
                  <w:r>
                    <w:rPr>
                      <w:rFonts w:hint="eastAsia"/>
                      <w:color w:val="000000" w:themeColor="text1"/>
                      <w:highlight w:val="none"/>
                      <w:lang w:val="en-US" w:eastAsia="zh-CN"/>
                      <w14:textFill>
                        <w14:solidFill>
                          <w14:schemeClr w14:val="tx1"/>
                        </w14:solidFill>
                      </w14:textFill>
                    </w:rPr>
                    <w:t>、二次包覆</w:t>
                  </w:r>
                  <w:r>
                    <w:rPr>
                      <w:rFonts w:hint="eastAsia" w:eastAsia="宋体"/>
                      <w:color w:val="000000" w:themeColor="text1"/>
                      <w:highlight w:val="none"/>
                      <w:lang w:val="en-US" w:eastAsia="zh-CN"/>
                      <w14:textFill>
                        <w14:solidFill>
                          <w14:schemeClr w14:val="tx1"/>
                        </w14:solidFill>
                      </w14:textFill>
                    </w:rPr>
                    <w:t>、碳化）</w:t>
                  </w:r>
                </w:p>
              </w:tc>
              <w:tc>
                <w:tcPr>
                  <w:tcW w:w="442" w:type="pct"/>
                  <w:shd w:val="clear" w:color="auto" w:fill="auto"/>
                  <w:noWrap w:val="0"/>
                  <w:vAlign w:val="center"/>
                </w:tcPr>
                <w:p w14:paraId="45258538">
                  <w:pPr>
                    <w:pStyle w:val="26"/>
                    <w:bidi w:val="0"/>
                    <w:ind w:firstLine="0" w:firstLineChars="0"/>
                    <w:jc w:val="center"/>
                    <w:rPr>
                      <w:rFonts w:hint="eastAsia" w:ascii="Times New Roman" w:hAnsi="Times New Roman" w:eastAsia="宋体" w:cs="Times New Roman"/>
                      <w:color w:val="000000" w:themeColor="text1"/>
                      <w:sz w:val="21"/>
                      <w:szCs w:val="22"/>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沥青烟</w:t>
                  </w:r>
                </w:p>
              </w:tc>
              <w:tc>
                <w:tcPr>
                  <w:tcW w:w="569" w:type="pct"/>
                  <w:noWrap w:val="0"/>
                  <w:vAlign w:val="center"/>
                </w:tcPr>
                <w:p w14:paraId="69F480A9">
                  <w:pPr>
                    <w:pStyle w:val="26"/>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5.36</w:t>
                  </w:r>
                </w:p>
              </w:tc>
              <w:tc>
                <w:tcPr>
                  <w:tcW w:w="563" w:type="pct"/>
                  <w:noWrap w:val="0"/>
                  <w:vAlign w:val="center"/>
                </w:tcPr>
                <w:p w14:paraId="47F99C05">
                  <w:pPr>
                    <w:pStyle w:val="26"/>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0.0965</w:t>
                  </w:r>
                </w:p>
              </w:tc>
              <w:tc>
                <w:tcPr>
                  <w:tcW w:w="505" w:type="pct"/>
                  <w:noWrap w:val="0"/>
                  <w:vAlign w:val="center"/>
                </w:tcPr>
                <w:p w14:paraId="20FB15E0">
                  <w:pPr>
                    <w:pStyle w:val="26"/>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0.2894</w:t>
                  </w:r>
                </w:p>
              </w:tc>
              <w:tc>
                <w:tcPr>
                  <w:tcW w:w="406" w:type="pct"/>
                  <w:vMerge w:val="restart"/>
                  <w:shd w:val="clear" w:color="auto" w:fill="auto"/>
                  <w:noWrap w:val="0"/>
                  <w:vAlign w:val="center"/>
                </w:tcPr>
                <w:p w14:paraId="5C65266A">
                  <w:pPr>
                    <w:pStyle w:val="26"/>
                    <w:bidi w:val="0"/>
                    <w:ind w:firstLine="0" w:firstLineChars="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有组织</w:t>
                  </w:r>
                </w:p>
              </w:tc>
              <w:tc>
                <w:tcPr>
                  <w:tcW w:w="493" w:type="pct"/>
                  <w:vMerge w:val="restart"/>
                  <w:shd w:val="clear" w:color="auto" w:fill="auto"/>
                  <w:noWrap w:val="0"/>
                  <w:vAlign w:val="center"/>
                </w:tcPr>
                <w:p w14:paraId="38C42427">
                  <w:pPr>
                    <w:pStyle w:val="26"/>
                    <w:bidi w:val="0"/>
                    <w:ind w:firstLine="0" w:firstLineChars="0"/>
                    <w:jc w:val="center"/>
                    <w:rPr>
                      <w:rFonts w:hint="eastAsia" w:ascii="Times New Roman" w:hAnsi="Times New Roman" w:eastAsia="宋体" w:cs="Times New Roman"/>
                      <w:color w:val="000000" w:themeColor="text1"/>
                      <w:sz w:val="21"/>
                      <w:szCs w:val="22"/>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布袋除尘+RCO</w:t>
                  </w:r>
                </w:p>
              </w:tc>
              <w:tc>
                <w:tcPr>
                  <w:tcW w:w="587" w:type="pct"/>
                  <w:noWrap w:val="0"/>
                  <w:vAlign w:val="center"/>
                </w:tcPr>
                <w:p w14:paraId="68721B39">
                  <w:pPr>
                    <w:pStyle w:val="26"/>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0.27</w:t>
                  </w:r>
                </w:p>
              </w:tc>
              <w:tc>
                <w:tcPr>
                  <w:tcW w:w="514" w:type="pct"/>
                  <w:noWrap w:val="0"/>
                  <w:vAlign w:val="center"/>
                </w:tcPr>
                <w:p w14:paraId="1249B154">
                  <w:pPr>
                    <w:pStyle w:val="26"/>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0.0048</w:t>
                  </w:r>
                </w:p>
              </w:tc>
              <w:tc>
                <w:tcPr>
                  <w:tcW w:w="493" w:type="pct"/>
                  <w:noWrap w:val="0"/>
                  <w:vAlign w:val="center"/>
                </w:tcPr>
                <w:p w14:paraId="6900FBE3">
                  <w:pPr>
                    <w:pStyle w:val="26"/>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0.0145</w:t>
                  </w:r>
                </w:p>
              </w:tc>
            </w:tr>
            <w:tr w14:paraId="1AB262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 w:type="pct"/>
                  <w:vMerge w:val="continue"/>
                  <w:noWrap w:val="0"/>
                  <w:vAlign w:val="center"/>
                </w:tcPr>
                <w:p w14:paraId="04C4BEAE">
                  <w:pPr>
                    <w:pStyle w:val="26"/>
                    <w:rPr>
                      <w:rFonts w:hint="eastAsia"/>
                      <w:b/>
                      <w:bCs/>
                      <w:color w:val="000000" w:themeColor="text1"/>
                      <w:highlight w:val="none"/>
                      <w:lang w:val="en-US" w:eastAsia="zh-CN"/>
                      <w14:textFill>
                        <w14:solidFill>
                          <w14:schemeClr w14:val="tx1"/>
                        </w14:solidFill>
                      </w14:textFill>
                    </w:rPr>
                  </w:pPr>
                </w:p>
              </w:tc>
              <w:tc>
                <w:tcPr>
                  <w:tcW w:w="442" w:type="pct"/>
                  <w:shd w:val="clear" w:color="auto" w:fill="auto"/>
                  <w:noWrap w:val="0"/>
                  <w:vAlign w:val="center"/>
                </w:tcPr>
                <w:p w14:paraId="74814529">
                  <w:pPr>
                    <w:pStyle w:val="26"/>
                    <w:bidi w:val="0"/>
                    <w:ind w:firstLine="0" w:firstLineChars="0"/>
                    <w:jc w:val="center"/>
                    <w:rPr>
                      <w:rFonts w:hint="eastAsia" w:ascii="Times New Roman" w:hAnsi="Times New Roman" w:eastAsia="宋体" w:cs="Times New Roman"/>
                      <w:color w:val="000000" w:themeColor="text1"/>
                      <w:sz w:val="21"/>
                      <w:szCs w:val="22"/>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苯并[a]芘</w:t>
                  </w:r>
                </w:p>
              </w:tc>
              <w:tc>
                <w:tcPr>
                  <w:tcW w:w="569" w:type="pct"/>
                  <w:noWrap w:val="0"/>
                  <w:vAlign w:val="center"/>
                </w:tcPr>
                <w:p w14:paraId="5ADD485D">
                  <w:pPr>
                    <w:pStyle w:val="26"/>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1.43E-03</w:t>
                  </w:r>
                </w:p>
              </w:tc>
              <w:tc>
                <w:tcPr>
                  <w:tcW w:w="563" w:type="pct"/>
                  <w:noWrap w:val="0"/>
                  <w:vAlign w:val="center"/>
                </w:tcPr>
                <w:p w14:paraId="72E1B86C">
                  <w:pPr>
                    <w:pStyle w:val="26"/>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2.57E-05</w:t>
                  </w:r>
                </w:p>
              </w:tc>
              <w:tc>
                <w:tcPr>
                  <w:tcW w:w="505" w:type="pct"/>
                  <w:noWrap w:val="0"/>
                  <w:vAlign w:val="center"/>
                </w:tcPr>
                <w:p w14:paraId="6C9D1F3A">
                  <w:pPr>
                    <w:pStyle w:val="26"/>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7.72E-05</w:t>
                  </w:r>
                </w:p>
              </w:tc>
              <w:tc>
                <w:tcPr>
                  <w:tcW w:w="406" w:type="pct"/>
                  <w:vMerge w:val="continue"/>
                  <w:noWrap w:val="0"/>
                  <w:vAlign w:val="center"/>
                </w:tcPr>
                <w:p w14:paraId="1F038FAE">
                  <w:pPr>
                    <w:pStyle w:val="26"/>
                    <w:bidi w:val="0"/>
                    <w:jc w:val="center"/>
                    <w:rPr>
                      <w:rFonts w:hint="eastAsia"/>
                      <w:color w:val="000000" w:themeColor="text1"/>
                      <w:highlight w:val="none"/>
                      <w:lang w:val="en-US" w:eastAsia="zh-CN"/>
                      <w14:textFill>
                        <w14:solidFill>
                          <w14:schemeClr w14:val="tx1"/>
                        </w14:solidFill>
                      </w14:textFill>
                    </w:rPr>
                  </w:pPr>
                </w:p>
              </w:tc>
              <w:tc>
                <w:tcPr>
                  <w:tcW w:w="493" w:type="pct"/>
                  <w:vMerge w:val="continue"/>
                  <w:noWrap w:val="0"/>
                  <w:vAlign w:val="center"/>
                </w:tcPr>
                <w:p w14:paraId="574AB61F">
                  <w:pPr>
                    <w:pStyle w:val="26"/>
                    <w:bidi w:val="0"/>
                    <w:jc w:val="center"/>
                    <w:rPr>
                      <w:rFonts w:hint="eastAsia"/>
                      <w:color w:val="000000" w:themeColor="text1"/>
                      <w:highlight w:val="none"/>
                      <w:lang w:val="en-US" w:eastAsia="zh-CN"/>
                      <w14:textFill>
                        <w14:solidFill>
                          <w14:schemeClr w14:val="tx1"/>
                        </w14:solidFill>
                      </w14:textFill>
                    </w:rPr>
                  </w:pPr>
                </w:p>
              </w:tc>
              <w:tc>
                <w:tcPr>
                  <w:tcW w:w="587" w:type="pct"/>
                  <w:noWrap w:val="0"/>
                  <w:vAlign w:val="center"/>
                </w:tcPr>
                <w:p w14:paraId="379ED65A">
                  <w:pPr>
                    <w:pStyle w:val="26"/>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7.15E-05</w:t>
                  </w:r>
                </w:p>
              </w:tc>
              <w:tc>
                <w:tcPr>
                  <w:tcW w:w="514" w:type="pct"/>
                  <w:noWrap w:val="0"/>
                  <w:vAlign w:val="center"/>
                </w:tcPr>
                <w:p w14:paraId="340A1285">
                  <w:pPr>
                    <w:pStyle w:val="26"/>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1.29E-06</w:t>
                  </w:r>
                </w:p>
              </w:tc>
              <w:tc>
                <w:tcPr>
                  <w:tcW w:w="493" w:type="pct"/>
                  <w:noWrap w:val="0"/>
                  <w:vAlign w:val="center"/>
                </w:tcPr>
                <w:p w14:paraId="560309A7">
                  <w:pPr>
                    <w:pStyle w:val="26"/>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3.86E-06</w:t>
                  </w:r>
                </w:p>
              </w:tc>
            </w:tr>
            <w:tr w14:paraId="6B1D9F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 w:type="pct"/>
                  <w:vMerge w:val="continue"/>
                  <w:noWrap w:val="0"/>
                  <w:vAlign w:val="center"/>
                </w:tcPr>
                <w:p w14:paraId="4DE76067">
                  <w:pPr>
                    <w:pStyle w:val="26"/>
                    <w:rPr>
                      <w:rFonts w:hint="eastAsia"/>
                      <w:b/>
                      <w:bCs/>
                      <w:color w:val="000000" w:themeColor="text1"/>
                      <w:highlight w:val="none"/>
                      <w:lang w:val="en-US" w:eastAsia="zh-CN"/>
                      <w14:textFill>
                        <w14:solidFill>
                          <w14:schemeClr w14:val="tx1"/>
                        </w14:solidFill>
                      </w14:textFill>
                    </w:rPr>
                  </w:pPr>
                </w:p>
              </w:tc>
              <w:tc>
                <w:tcPr>
                  <w:tcW w:w="442" w:type="pct"/>
                  <w:shd w:val="clear" w:color="auto" w:fill="auto"/>
                  <w:noWrap w:val="0"/>
                  <w:vAlign w:val="center"/>
                </w:tcPr>
                <w:p w14:paraId="4A22C589">
                  <w:pPr>
                    <w:pStyle w:val="26"/>
                    <w:bidi w:val="0"/>
                    <w:ind w:firstLine="0" w:firstLineChars="0"/>
                    <w:jc w:val="center"/>
                    <w:rPr>
                      <w:rFonts w:hint="eastAsia" w:ascii="Times New Roman" w:hAnsi="Times New Roman" w:eastAsia="宋体" w:cs="Times New Roman"/>
                      <w:color w:val="000000" w:themeColor="text1"/>
                      <w:sz w:val="21"/>
                      <w:szCs w:val="22"/>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颗粒物</w:t>
                  </w:r>
                </w:p>
              </w:tc>
              <w:tc>
                <w:tcPr>
                  <w:tcW w:w="569" w:type="pct"/>
                  <w:noWrap w:val="0"/>
                  <w:vAlign w:val="center"/>
                </w:tcPr>
                <w:p w14:paraId="42CDDA97">
                  <w:pPr>
                    <w:pStyle w:val="26"/>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80.67</w:t>
                  </w:r>
                </w:p>
              </w:tc>
              <w:tc>
                <w:tcPr>
                  <w:tcW w:w="563" w:type="pct"/>
                  <w:noWrap w:val="0"/>
                  <w:vAlign w:val="center"/>
                </w:tcPr>
                <w:p w14:paraId="6450BD36">
                  <w:pPr>
                    <w:pStyle w:val="26"/>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1.4520</w:t>
                  </w:r>
                </w:p>
              </w:tc>
              <w:tc>
                <w:tcPr>
                  <w:tcW w:w="505" w:type="pct"/>
                  <w:noWrap w:val="0"/>
                  <w:vAlign w:val="center"/>
                </w:tcPr>
                <w:p w14:paraId="2856E9F1">
                  <w:pPr>
                    <w:pStyle w:val="26"/>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4.3561</w:t>
                  </w:r>
                </w:p>
              </w:tc>
              <w:tc>
                <w:tcPr>
                  <w:tcW w:w="406" w:type="pct"/>
                  <w:vMerge w:val="continue"/>
                  <w:noWrap w:val="0"/>
                  <w:vAlign w:val="center"/>
                </w:tcPr>
                <w:p w14:paraId="7DC344BC">
                  <w:pPr>
                    <w:pStyle w:val="26"/>
                    <w:bidi w:val="0"/>
                    <w:jc w:val="center"/>
                    <w:rPr>
                      <w:rFonts w:hint="eastAsia"/>
                      <w:color w:val="000000" w:themeColor="text1"/>
                      <w:highlight w:val="none"/>
                      <w:lang w:val="en-US" w:eastAsia="zh-CN"/>
                      <w14:textFill>
                        <w14:solidFill>
                          <w14:schemeClr w14:val="tx1"/>
                        </w14:solidFill>
                      </w14:textFill>
                    </w:rPr>
                  </w:pPr>
                </w:p>
              </w:tc>
              <w:tc>
                <w:tcPr>
                  <w:tcW w:w="493" w:type="pct"/>
                  <w:vMerge w:val="continue"/>
                  <w:noWrap w:val="0"/>
                  <w:vAlign w:val="center"/>
                </w:tcPr>
                <w:p w14:paraId="45893BAA">
                  <w:pPr>
                    <w:pStyle w:val="26"/>
                    <w:bidi w:val="0"/>
                    <w:jc w:val="center"/>
                    <w:rPr>
                      <w:rFonts w:hint="eastAsia"/>
                      <w:color w:val="000000" w:themeColor="text1"/>
                      <w:highlight w:val="none"/>
                      <w:lang w:val="en-US" w:eastAsia="zh-CN"/>
                      <w14:textFill>
                        <w14:solidFill>
                          <w14:schemeClr w14:val="tx1"/>
                        </w14:solidFill>
                      </w14:textFill>
                    </w:rPr>
                  </w:pPr>
                </w:p>
              </w:tc>
              <w:tc>
                <w:tcPr>
                  <w:tcW w:w="587" w:type="pct"/>
                  <w:noWrap w:val="0"/>
                  <w:vAlign w:val="center"/>
                </w:tcPr>
                <w:p w14:paraId="5CA966C4">
                  <w:pPr>
                    <w:pStyle w:val="26"/>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0.81</w:t>
                  </w:r>
                </w:p>
              </w:tc>
              <w:tc>
                <w:tcPr>
                  <w:tcW w:w="514" w:type="pct"/>
                  <w:noWrap w:val="0"/>
                  <w:vAlign w:val="center"/>
                </w:tcPr>
                <w:p w14:paraId="076EA548">
                  <w:pPr>
                    <w:pStyle w:val="26"/>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0.0145</w:t>
                  </w:r>
                </w:p>
              </w:tc>
              <w:tc>
                <w:tcPr>
                  <w:tcW w:w="493" w:type="pct"/>
                  <w:noWrap w:val="0"/>
                  <w:vAlign w:val="center"/>
                </w:tcPr>
                <w:p w14:paraId="21C7083E">
                  <w:pPr>
                    <w:pStyle w:val="26"/>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0.0436</w:t>
                  </w:r>
                </w:p>
              </w:tc>
            </w:tr>
            <w:tr w14:paraId="50252F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 w:type="pct"/>
                  <w:vMerge w:val="continue"/>
                  <w:noWrap w:val="0"/>
                  <w:vAlign w:val="center"/>
                </w:tcPr>
                <w:p w14:paraId="6407AAD4">
                  <w:pPr>
                    <w:pStyle w:val="26"/>
                    <w:rPr>
                      <w:rFonts w:hint="eastAsia"/>
                      <w:b/>
                      <w:bCs/>
                      <w:color w:val="000000" w:themeColor="text1"/>
                      <w:highlight w:val="none"/>
                      <w:lang w:val="en-US" w:eastAsia="zh-CN"/>
                      <w14:textFill>
                        <w14:solidFill>
                          <w14:schemeClr w14:val="tx1"/>
                        </w14:solidFill>
                      </w14:textFill>
                    </w:rPr>
                  </w:pPr>
                </w:p>
              </w:tc>
              <w:tc>
                <w:tcPr>
                  <w:tcW w:w="442" w:type="pct"/>
                  <w:shd w:val="clear" w:color="auto" w:fill="auto"/>
                  <w:noWrap w:val="0"/>
                  <w:vAlign w:val="center"/>
                </w:tcPr>
                <w:p w14:paraId="2B535295">
                  <w:pPr>
                    <w:pStyle w:val="26"/>
                    <w:bidi w:val="0"/>
                    <w:ind w:firstLine="0" w:firstLineChars="0"/>
                    <w:jc w:val="center"/>
                    <w:rPr>
                      <w:rFonts w:hint="eastAsia" w:ascii="Times New Roman" w:hAnsi="Times New Roman" w:eastAsia="宋体" w:cs="Times New Roman"/>
                      <w:color w:val="000000" w:themeColor="text1"/>
                      <w:sz w:val="21"/>
                      <w:szCs w:val="22"/>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非甲烷总烃</w:t>
                  </w:r>
                </w:p>
              </w:tc>
              <w:tc>
                <w:tcPr>
                  <w:tcW w:w="569" w:type="pct"/>
                  <w:noWrap w:val="0"/>
                  <w:vAlign w:val="center"/>
                </w:tcPr>
                <w:p w14:paraId="0CE9C750">
                  <w:pPr>
                    <w:pStyle w:val="26"/>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490.05</w:t>
                  </w:r>
                </w:p>
              </w:tc>
              <w:tc>
                <w:tcPr>
                  <w:tcW w:w="563" w:type="pct"/>
                  <w:noWrap w:val="0"/>
                  <w:vAlign w:val="center"/>
                </w:tcPr>
                <w:p w14:paraId="7494E154">
                  <w:pPr>
                    <w:pStyle w:val="26"/>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8.8209</w:t>
                  </w:r>
                </w:p>
              </w:tc>
              <w:tc>
                <w:tcPr>
                  <w:tcW w:w="505" w:type="pct"/>
                  <w:noWrap w:val="0"/>
                  <w:vAlign w:val="center"/>
                </w:tcPr>
                <w:p w14:paraId="3CA314BA">
                  <w:pPr>
                    <w:pStyle w:val="26"/>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27.8278</w:t>
                  </w:r>
                </w:p>
              </w:tc>
              <w:tc>
                <w:tcPr>
                  <w:tcW w:w="406" w:type="pct"/>
                  <w:vMerge w:val="continue"/>
                  <w:noWrap w:val="0"/>
                  <w:vAlign w:val="center"/>
                </w:tcPr>
                <w:p w14:paraId="095F7965">
                  <w:pPr>
                    <w:pStyle w:val="26"/>
                    <w:bidi w:val="0"/>
                    <w:jc w:val="center"/>
                    <w:rPr>
                      <w:rFonts w:hint="eastAsia"/>
                      <w:color w:val="000000" w:themeColor="text1"/>
                      <w:highlight w:val="none"/>
                      <w:lang w:val="en-US" w:eastAsia="zh-CN"/>
                      <w14:textFill>
                        <w14:solidFill>
                          <w14:schemeClr w14:val="tx1"/>
                        </w14:solidFill>
                      </w14:textFill>
                    </w:rPr>
                  </w:pPr>
                </w:p>
              </w:tc>
              <w:tc>
                <w:tcPr>
                  <w:tcW w:w="493" w:type="pct"/>
                  <w:vMerge w:val="continue"/>
                  <w:noWrap w:val="0"/>
                  <w:vAlign w:val="center"/>
                </w:tcPr>
                <w:p w14:paraId="54901513">
                  <w:pPr>
                    <w:pStyle w:val="26"/>
                    <w:bidi w:val="0"/>
                    <w:jc w:val="center"/>
                    <w:rPr>
                      <w:rFonts w:hint="eastAsia"/>
                      <w:color w:val="000000" w:themeColor="text1"/>
                      <w:highlight w:val="none"/>
                      <w:lang w:val="en-US" w:eastAsia="zh-CN"/>
                      <w14:textFill>
                        <w14:solidFill>
                          <w14:schemeClr w14:val="tx1"/>
                        </w14:solidFill>
                      </w14:textFill>
                    </w:rPr>
                  </w:pPr>
                </w:p>
              </w:tc>
              <w:tc>
                <w:tcPr>
                  <w:tcW w:w="587" w:type="pct"/>
                  <w:noWrap w:val="0"/>
                  <w:vAlign w:val="center"/>
                </w:tcPr>
                <w:p w14:paraId="02AF3B95">
                  <w:pPr>
                    <w:pStyle w:val="26"/>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24.50</w:t>
                  </w:r>
                </w:p>
              </w:tc>
              <w:tc>
                <w:tcPr>
                  <w:tcW w:w="514" w:type="pct"/>
                  <w:noWrap w:val="0"/>
                  <w:vAlign w:val="center"/>
                </w:tcPr>
                <w:p w14:paraId="5E4EA9D9">
                  <w:pPr>
                    <w:pStyle w:val="26"/>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0.4410</w:t>
                  </w:r>
                </w:p>
              </w:tc>
              <w:tc>
                <w:tcPr>
                  <w:tcW w:w="493" w:type="pct"/>
                  <w:noWrap w:val="0"/>
                  <w:vAlign w:val="center"/>
                </w:tcPr>
                <w:p w14:paraId="35654A56">
                  <w:pPr>
                    <w:pStyle w:val="26"/>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1.3914</w:t>
                  </w:r>
                </w:p>
              </w:tc>
            </w:tr>
            <w:tr w14:paraId="25C5F1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 w:type="pct"/>
                  <w:vMerge w:val="continue"/>
                  <w:noWrap w:val="0"/>
                  <w:vAlign w:val="center"/>
                </w:tcPr>
                <w:p w14:paraId="33EE5223">
                  <w:pPr>
                    <w:pStyle w:val="26"/>
                    <w:rPr>
                      <w:rFonts w:hint="eastAsia"/>
                      <w:b/>
                      <w:bCs/>
                      <w:color w:val="000000" w:themeColor="text1"/>
                      <w:highlight w:val="none"/>
                      <w:lang w:val="en-US" w:eastAsia="zh-CN"/>
                      <w14:textFill>
                        <w14:solidFill>
                          <w14:schemeClr w14:val="tx1"/>
                        </w14:solidFill>
                      </w14:textFill>
                    </w:rPr>
                  </w:pPr>
                </w:p>
              </w:tc>
              <w:tc>
                <w:tcPr>
                  <w:tcW w:w="442" w:type="pct"/>
                  <w:shd w:val="clear" w:color="auto" w:fill="auto"/>
                  <w:noWrap w:val="0"/>
                  <w:vAlign w:val="center"/>
                </w:tcPr>
                <w:p w14:paraId="70BC82DF">
                  <w:pPr>
                    <w:pStyle w:val="26"/>
                    <w:bidi w:val="0"/>
                    <w:ind w:firstLine="0" w:firstLineChars="0"/>
                    <w:jc w:val="center"/>
                    <w:rPr>
                      <w:rFonts w:hint="eastAsia" w:ascii="Times New Roman" w:hAnsi="Times New Roman" w:eastAsia="宋体" w:cs="Times New Roman"/>
                      <w:color w:val="000000" w:themeColor="text1"/>
                      <w:sz w:val="21"/>
                      <w:szCs w:val="22"/>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沥青烟</w:t>
                  </w:r>
                </w:p>
              </w:tc>
              <w:tc>
                <w:tcPr>
                  <w:tcW w:w="569" w:type="pct"/>
                  <w:noWrap w:val="0"/>
                  <w:vAlign w:val="center"/>
                </w:tcPr>
                <w:p w14:paraId="4587AE22">
                  <w:pPr>
                    <w:pStyle w:val="26"/>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563" w:type="pct"/>
                  <w:noWrap w:val="0"/>
                  <w:vAlign w:val="center"/>
                </w:tcPr>
                <w:p w14:paraId="418F5119">
                  <w:pPr>
                    <w:pStyle w:val="26"/>
                    <w:bidi w:val="0"/>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0.0020</w:t>
                  </w:r>
                </w:p>
              </w:tc>
              <w:tc>
                <w:tcPr>
                  <w:tcW w:w="505" w:type="pct"/>
                  <w:noWrap w:val="0"/>
                  <w:vAlign w:val="center"/>
                </w:tcPr>
                <w:p w14:paraId="5C66B3A4">
                  <w:pPr>
                    <w:pStyle w:val="26"/>
                    <w:bidi w:val="0"/>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0.0059</w:t>
                  </w:r>
                </w:p>
              </w:tc>
              <w:tc>
                <w:tcPr>
                  <w:tcW w:w="406" w:type="pct"/>
                  <w:vMerge w:val="restart"/>
                  <w:shd w:val="clear" w:color="auto" w:fill="auto"/>
                  <w:noWrap w:val="0"/>
                  <w:vAlign w:val="center"/>
                </w:tcPr>
                <w:p w14:paraId="7FA180E3">
                  <w:pPr>
                    <w:pStyle w:val="26"/>
                    <w:bidi w:val="0"/>
                    <w:ind w:firstLine="0" w:firstLineChars="0"/>
                    <w:jc w:val="center"/>
                    <w:rPr>
                      <w:rFonts w:hint="eastAsia" w:ascii="Times New Roman" w:hAnsi="Times New Roman" w:eastAsia="宋体" w:cs="Times New Roman"/>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无组织</w:t>
                  </w:r>
                </w:p>
              </w:tc>
              <w:tc>
                <w:tcPr>
                  <w:tcW w:w="493" w:type="pct"/>
                  <w:vMerge w:val="restart"/>
                  <w:shd w:val="clear" w:color="auto" w:fill="auto"/>
                  <w:noWrap w:val="0"/>
                  <w:vAlign w:val="center"/>
                </w:tcPr>
                <w:p w14:paraId="3B30104F">
                  <w:pPr>
                    <w:pStyle w:val="26"/>
                    <w:bidi w:val="0"/>
                    <w:ind w:firstLine="0" w:firstLineChars="0"/>
                    <w:jc w:val="center"/>
                    <w:rPr>
                      <w:rFonts w:hint="eastAsia" w:ascii="Times New Roman" w:hAnsi="Times New Roman" w:eastAsia="宋体" w:cs="Times New Roman"/>
                      <w:color w:val="000000" w:themeColor="text1"/>
                      <w:sz w:val="21"/>
                      <w:szCs w:val="22"/>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设备排气管道收集</w:t>
                  </w:r>
                </w:p>
              </w:tc>
              <w:tc>
                <w:tcPr>
                  <w:tcW w:w="587" w:type="pct"/>
                  <w:noWrap w:val="0"/>
                  <w:vAlign w:val="center"/>
                </w:tcPr>
                <w:p w14:paraId="4846B5CD">
                  <w:pPr>
                    <w:pStyle w:val="26"/>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514" w:type="pct"/>
                  <w:noWrap w:val="0"/>
                  <w:vAlign w:val="center"/>
                </w:tcPr>
                <w:p w14:paraId="3BBF814C">
                  <w:pPr>
                    <w:pStyle w:val="26"/>
                    <w:bidi w:val="0"/>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0.0020</w:t>
                  </w:r>
                </w:p>
              </w:tc>
              <w:tc>
                <w:tcPr>
                  <w:tcW w:w="493" w:type="pct"/>
                  <w:noWrap w:val="0"/>
                  <w:vAlign w:val="center"/>
                </w:tcPr>
                <w:p w14:paraId="6B5BB79D">
                  <w:pPr>
                    <w:pStyle w:val="26"/>
                    <w:bidi w:val="0"/>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0.0059</w:t>
                  </w:r>
                </w:p>
              </w:tc>
            </w:tr>
            <w:tr w14:paraId="04E2A5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 w:type="pct"/>
                  <w:vMerge w:val="continue"/>
                  <w:noWrap w:val="0"/>
                  <w:vAlign w:val="center"/>
                </w:tcPr>
                <w:p w14:paraId="6774370D">
                  <w:pPr>
                    <w:pStyle w:val="26"/>
                    <w:rPr>
                      <w:rFonts w:hint="eastAsia"/>
                      <w:b/>
                      <w:bCs/>
                      <w:color w:val="000000" w:themeColor="text1"/>
                      <w:highlight w:val="none"/>
                      <w:lang w:val="en-US" w:eastAsia="zh-CN"/>
                      <w14:textFill>
                        <w14:solidFill>
                          <w14:schemeClr w14:val="tx1"/>
                        </w14:solidFill>
                      </w14:textFill>
                    </w:rPr>
                  </w:pPr>
                </w:p>
              </w:tc>
              <w:tc>
                <w:tcPr>
                  <w:tcW w:w="442" w:type="pct"/>
                  <w:shd w:val="clear" w:color="auto" w:fill="auto"/>
                  <w:noWrap w:val="0"/>
                  <w:vAlign w:val="center"/>
                </w:tcPr>
                <w:p w14:paraId="5EF83AF5">
                  <w:pPr>
                    <w:pStyle w:val="26"/>
                    <w:bidi w:val="0"/>
                    <w:ind w:firstLine="0" w:firstLineChars="0"/>
                    <w:jc w:val="center"/>
                    <w:rPr>
                      <w:rFonts w:hint="eastAsia" w:ascii="Times New Roman" w:hAnsi="Times New Roman" w:eastAsia="宋体" w:cs="Times New Roman"/>
                      <w:color w:val="000000" w:themeColor="text1"/>
                      <w:sz w:val="21"/>
                      <w:szCs w:val="22"/>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苯并[a]芘</w:t>
                  </w:r>
                </w:p>
              </w:tc>
              <w:tc>
                <w:tcPr>
                  <w:tcW w:w="569" w:type="pct"/>
                  <w:noWrap w:val="0"/>
                  <w:vAlign w:val="center"/>
                </w:tcPr>
                <w:p w14:paraId="370A0CB0">
                  <w:pPr>
                    <w:pStyle w:val="26"/>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563" w:type="pct"/>
                  <w:noWrap w:val="0"/>
                  <w:vAlign w:val="center"/>
                </w:tcPr>
                <w:p w14:paraId="0E5AC804">
                  <w:pPr>
                    <w:pStyle w:val="26"/>
                    <w:bidi w:val="0"/>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5.25E-07</w:t>
                  </w:r>
                </w:p>
              </w:tc>
              <w:tc>
                <w:tcPr>
                  <w:tcW w:w="505" w:type="pct"/>
                  <w:noWrap w:val="0"/>
                  <w:vAlign w:val="center"/>
                </w:tcPr>
                <w:p w14:paraId="2F9103F5">
                  <w:pPr>
                    <w:pStyle w:val="26"/>
                    <w:bidi w:val="0"/>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1.58E-06</w:t>
                  </w:r>
                </w:p>
              </w:tc>
              <w:tc>
                <w:tcPr>
                  <w:tcW w:w="406" w:type="pct"/>
                  <w:vMerge w:val="continue"/>
                  <w:noWrap w:val="0"/>
                  <w:vAlign w:val="center"/>
                </w:tcPr>
                <w:p w14:paraId="328DE166">
                  <w:pPr>
                    <w:pStyle w:val="26"/>
                    <w:bidi w:val="0"/>
                    <w:jc w:val="center"/>
                    <w:rPr>
                      <w:rFonts w:hint="eastAsia"/>
                      <w:color w:val="000000" w:themeColor="text1"/>
                      <w:highlight w:val="none"/>
                      <w:lang w:val="en-US" w:eastAsia="zh-CN"/>
                      <w14:textFill>
                        <w14:solidFill>
                          <w14:schemeClr w14:val="tx1"/>
                        </w14:solidFill>
                      </w14:textFill>
                    </w:rPr>
                  </w:pPr>
                </w:p>
              </w:tc>
              <w:tc>
                <w:tcPr>
                  <w:tcW w:w="493" w:type="pct"/>
                  <w:vMerge w:val="continue"/>
                  <w:noWrap w:val="0"/>
                  <w:vAlign w:val="center"/>
                </w:tcPr>
                <w:p w14:paraId="1BED2EB3">
                  <w:pPr>
                    <w:pStyle w:val="26"/>
                    <w:bidi w:val="0"/>
                    <w:jc w:val="center"/>
                    <w:rPr>
                      <w:rFonts w:hint="eastAsia"/>
                      <w:color w:val="000000" w:themeColor="text1"/>
                      <w:highlight w:val="none"/>
                      <w:lang w:val="en-US" w:eastAsia="zh-CN"/>
                      <w14:textFill>
                        <w14:solidFill>
                          <w14:schemeClr w14:val="tx1"/>
                        </w14:solidFill>
                      </w14:textFill>
                    </w:rPr>
                  </w:pPr>
                </w:p>
              </w:tc>
              <w:tc>
                <w:tcPr>
                  <w:tcW w:w="587" w:type="pct"/>
                  <w:noWrap w:val="0"/>
                  <w:vAlign w:val="center"/>
                </w:tcPr>
                <w:p w14:paraId="190EC248">
                  <w:pPr>
                    <w:pStyle w:val="26"/>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514" w:type="pct"/>
                  <w:noWrap w:val="0"/>
                  <w:vAlign w:val="center"/>
                </w:tcPr>
                <w:p w14:paraId="7435A845">
                  <w:pPr>
                    <w:pStyle w:val="26"/>
                    <w:bidi w:val="0"/>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5.25E-07</w:t>
                  </w:r>
                </w:p>
              </w:tc>
              <w:tc>
                <w:tcPr>
                  <w:tcW w:w="493" w:type="pct"/>
                  <w:noWrap w:val="0"/>
                  <w:vAlign w:val="center"/>
                </w:tcPr>
                <w:p w14:paraId="0C062BC3">
                  <w:pPr>
                    <w:pStyle w:val="26"/>
                    <w:bidi w:val="0"/>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1.58E-06</w:t>
                  </w:r>
                </w:p>
              </w:tc>
            </w:tr>
            <w:tr w14:paraId="695C00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 w:type="pct"/>
                  <w:vMerge w:val="continue"/>
                  <w:noWrap w:val="0"/>
                  <w:vAlign w:val="center"/>
                </w:tcPr>
                <w:p w14:paraId="2E46A30E">
                  <w:pPr>
                    <w:pStyle w:val="26"/>
                    <w:rPr>
                      <w:rFonts w:hint="eastAsia"/>
                      <w:b/>
                      <w:bCs/>
                      <w:color w:val="000000" w:themeColor="text1"/>
                      <w:highlight w:val="none"/>
                      <w:lang w:val="en-US" w:eastAsia="zh-CN"/>
                      <w14:textFill>
                        <w14:solidFill>
                          <w14:schemeClr w14:val="tx1"/>
                        </w14:solidFill>
                      </w14:textFill>
                    </w:rPr>
                  </w:pPr>
                </w:p>
              </w:tc>
              <w:tc>
                <w:tcPr>
                  <w:tcW w:w="442" w:type="pct"/>
                  <w:shd w:val="clear" w:color="auto" w:fill="auto"/>
                  <w:noWrap w:val="0"/>
                  <w:vAlign w:val="center"/>
                </w:tcPr>
                <w:p w14:paraId="4DF7475B">
                  <w:pPr>
                    <w:pStyle w:val="26"/>
                    <w:bidi w:val="0"/>
                    <w:ind w:firstLine="0" w:firstLineChars="0"/>
                    <w:jc w:val="center"/>
                    <w:rPr>
                      <w:rFonts w:hint="eastAsia" w:ascii="Times New Roman" w:hAnsi="Times New Roman" w:eastAsia="宋体" w:cs="Times New Roman"/>
                      <w:color w:val="000000" w:themeColor="text1"/>
                      <w:sz w:val="21"/>
                      <w:szCs w:val="22"/>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颗粒物</w:t>
                  </w:r>
                </w:p>
              </w:tc>
              <w:tc>
                <w:tcPr>
                  <w:tcW w:w="569" w:type="pct"/>
                  <w:noWrap w:val="0"/>
                  <w:vAlign w:val="center"/>
                </w:tcPr>
                <w:p w14:paraId="4D2564B2">
                  <w:pPr>
                    <w:pStyle w:val="26"/>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563" w:type="pct"/>
                  <w:noWrap w:val="0"/>
                  <w:vAlign w:val="center"/>
                </w:tcPr>
                <w:p w14:paraId="66171C50">
                  <w:pPr>
                    <w:pStyle w:val="26"/>
                    <w:bidi w:val="0"/>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0.0296</w:t>
                  </w:r>
                </w:p>
              </w:tc>
              <w:tc>
                <w:tcPr>
                  <w:tcW w:w="505" w:type="pct"/>
                  <w:noWrap w:val="0"/>
                  <w:vAlign w:val="center"/>
                </w:tcPr>
                <w:p w14:paraId="5CE357CC">
                  <w:pPr>
                    <w:pStyle w:val="26"/>
                    <w:bidi w:val="0"/>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0.0889</w:t>
                  </w:r>
                </w:p>
              </w:tc>
              <w:tc>
                <w:tcPr>
                  <w:tcW w:w="406" w:type="pct"/>
                  <w:vMerge w:val="continue"/>
                  <w:noWrap w:val="0"/>
                  <w:vAlign w:val="center"/>
                </w:tcPr>
                <w:p w14:paraId="3534564F">
                  <w:pPr>
                    <w:pStyle w:val="26"/>
                    <w:bidi w:val="0"/>
                    <w:jc w:val="center"/>
                    <w:rPr>
                      <w:rFonts w:hint="eastAsia"/>
                      <w:color w:val="000000" w:themeColor="text1"/>
                      <w:highlight w:val="none"/>
                      <w:lang w:val="en-US" w:eastAsia="zh-CN"/>
                      <w14:textFill>
                        <w14:solidFill>
                          <w14:schemeClr w14:val="tx1"/>
                        </w14:solidFill>
                      </w14:textFill>
                    </w:rPr>
                  </w:pPr>
                </w:p>
              </w:tc>
              <w:tc>
                <w:tcPr>
                  <w:tcW w:w="493" w:type="pct"/>
                  <w:vMerge w:val="continue"/>
                  <w:noWrap w:val="0"/>
                  <w:vAlign w:val="center"/>
                </w:tcPr>
                <w:p w14:paraId="42EADE8A">
                  <w:pPr>
                    <w:pStyle w:val="26"/>
                    <w:bidi w:val="0"/>
                    <w:jc w:val="center"/>
                    <w:rPr>
                      <w:rFonts w:hint="eastAsia"/>
                      <w:color w:val="000000" w:themeColor="text1"/>
                      <w:highlight w:val="none"/>
                      <w:lang w:val="en-US" w:eastAsia="zh-CN"/>
                      <w14:textFill>
                        <w14:solidFill>
                          <w14:schemeClr w14:val="tx1"/>
                        </w14:solidFill>
                      </w14:textFill>
                    </w:rPr>
                  </w:pPr>
                </w:p>
              </w:tc>
              <w:tc>
                <w:tcPr>
                  <w:tcW w:w="587" w:type="pct"/>
                  <w:noWrap w:val="0"/>
                  <w:vAlign w:val="center"/>
                </w:tcPr>
                <w:p w14:paraId="7F0CDDE8">
                  <w:pPr>
                    <w:pStyle w:val="26"/>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514" w:type="pct"/>
                  <w:noWrap w:val="0"/>
                  <w:vAlign w:val="center"/>
                </w:tcPr>
                <w:p w14:paraId="04F23E28">
                  <w:pPr>
                    <w:pStyle w:val="26"/>
                    <w:bidi w:val="0"/>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0.0296</w:t>
                  </w:r>
                </w:p>
              </w:tc>
              <w:tc>
                <w:tcPr>
                  <w:tcW w:w="493" w:type="pct"/>
                  <w:noWrap w:val="0"/>
                  <w:vAlign w:val="center"/>
                </w:tcPr>
                <w:p w14:paraId="20B62346">
                  <w:pPr>
                    <w:pStyle w:val="26"/>
                    <w:bidi w:val="0"/>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0.0889</w:t>
                  </w:r>
                </w:p>
              </w:tc>
            </w:tr>
            <w:tr w14:paraId="32B8A0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 w:type="pct"/>
                  <w:vMerge w:val="continue"/>
                  <w:noWrap w:val="0"/>
                  <w:vAlign w:val="center"/>
                </w:tcPr>
                <w:p w14:paraId="4CEAD046">
                  <w:pPr>
                    <w:pStyle w:val="26"/>
                    <w:rPr>
                      <w:rFonts w:hint="eastAsia"/>
                      <w:b/>
                      <w:bCs/>
                      <w:color w:val="000000" w:themeColor="text1"/>
                      <w:highlight w:val="none"/>
                      <w:lang w:val="en-US" w:eastAsia="zh-CN"/>
                      <w14:textFill>
                        <w14:solidFill>
                          <w14:schemeClr w14:val="tx1"/>
                        </w14:solidFill>
                      </w14:textFill>
                    </w:rPr>
                  </w:pPr>
                </w:p>
              </w:tc>
              <w:tc>
                <w:tcPr>
                  <w:tcW w:w="442" w:type="pct"/>
                  <w:shd w:val="clear" w:color="auto" w:fill="auto"/>
                  <w:noWrap w:val="0"/>
                  <w:vAlign w:val="center"/>
                </w:tcPr>
                <w:p w14:paraId="4E4EDD78">
                  <w:pPr>
                    <w:pStyle w:val="26"/>
                    <w:bidi w:val="0"/>
                    <w:ind w:firstLine="0" w:firstLineChars="0"/>
                    <w:jc w:val="center"/>
                    <w:rPr>
                      <w:rFonts w:hint="eastAsia" w:ascii="Times New Roman" w:hAnsi="Times New Roman" w:eastAsia="宋体" w:cs="Times New Roman"/>
                      <w:color w:val="000000" w:themeColor="text1"/>
                      <w:sz w:val="21"/>
                      <w:szCs w:val="22"/>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非甲烷总烃</w:t>
                  </w:r>
                </w:p>
              </w:tc>
              <w:tc>
                <w:tcPr>
                  <w:tcW w:w="569" w:type="pct"/>
                  <w:noWrap w:val="0"/>
                  <w:vAlign w:val="center"/>
                </w:tcPr>
                <w:p w14:paraId="08B4C33A">
                  <w:pPr>
                    <w:pStyle w:val="26"/>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563" w:type="pct"/>
                  <w:noWrap w:val="0"/>
                  <w:vAlign w:val="center"/>
                </w:tcPr>
                <w:p w14:paraId="70FC3BB5">
                  <w:pPr>
                    <w:pStyle w:val="26"/>
                    <w:bidi w:val="0"/>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0.2693</w:t>
                  </w:r>
                </w:p>
              </w:tc>
              <w:tc>
                <w:tcPr>
                  <w:tcW w:w="505" w:type="pct"/>
                  <w:noWrap w:val="0"/>
                  <w:vAlign w:val="center"/>
                </w:tcPr>
                <w:p w14:paraId="469EF14E">
                  <w:pPr>
                    <w:pStyle w:val="26"/>
                    <w:bidi w:val="0"/>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0.8893</w:t>
                  </w:r>
                </w:p>
              </w:tc>
              <w:tc>
                <w:tcPr>
                  <w:tcW w:w="406" w:type="pct"/>
                  <w:vMerge w:val="continue"/>
                  <w:noWrap w:val="0"/>
                  <w:vAlign w:val="center"/>
                </w:tcPr>
                <w:p w14:paraId="14AD629A">
                  <w:pPr>
                    <w:pStyle w:val="26"/>
                    <w:bidi w:val="0"/>
                    <w:jc w:val="center"/>
                    <w:rPr>
                      <w:rFonts w:hint="eastAsia"/>
                      <w:color w:val="000000" w:themeColor="text1"/>
                      <w:highlight w:val="none"/>
                      <w:lang w:val="en-US" w:eastAsia="zh-CN"/>
                      <w14:textFill>
                        <w14:solidFill>
                          <w14:schemeClr w14:val="tx1"/>
                        </w14:solidFill>
                      </w14:textFill>
                    </w:rPr>
                  </w:pPr>
                </w:p>
              </w:tc>
              <w:tc>
                <w:tcPr>
                  <w:tcW w:w="493" w:type="pct"/>
                  <w:vMerge w:val="continue"/>
                  <w:noWrap w:val="0"/>
                  <w:vAlign w:val="center"/>
                </w:tcPr>
                <w:p w14:paraId="4599ADB8">
                  <w:pPr>
                    <w:pStyle w:val="26"/>
                    <w:bidi w:val="0"/>
                    <w:jc w:val="center"/>
                    <w:rPr>
                      <w:rFonts w:hint="eastAsia"/>
                      <w:color w:val="000000" w:themeColor="text1"/>
                      <w:highlight w:val="none"/>
                      <w:lang w:val="en-US" w:eastAsia="zh-CN"/>
                      <w14:textFill>
                        <w14:solidFill>
                          <w14:schemeClr w14:val="tx1"/>
                        </w14:solidFill>
                      </w14:textFill>
                    </w:rPr>
                  </w:pPr>
                </w:p>
              </w:tc>
              <w:tc>
                <w:tcPr>
                  <w:tcW w:w="587" w:type="pct"/>
                  <w:noWrap w:val="0"/>
                  <w:vAlign w:val="center"/>
                </w:tcPr>
                <w:p w14:paraId="3F64EDC7">
                  <w:pPr>
                    <w:pStyle w:val="26"/>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514" w:type="pct"/>
                  <w:noWrap w:val="0"/>
                  <w:vAlign w:val="center"/>
                </w:tcPr>
                <w:p w14:paraId="4F126C6D">
                  <w:pPr>
                    <w:pStyle w:val="26"/>
                    <w:bidi w:val="0"/>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0.2693</w:t>
                  </w:r>
                </w:p>
              </w:tc>
              <w:tc>
                <w:tcPr>
                  <w:tcW w:w="493" w:type="pct"/>
                  <w:noWrap w:val="0"/>
                  <w:vAlign w:val="center"/>
                </w:tcPr>
                <w:p w14:paraId="2812260E">
                  <w:pPr>
                    <w:pStyle w:val="26"/>
                    <w:bidi w:val="0"/>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0.8893</w:t>
                  </w:r>
                </w:p>
              </w:tc>
            </w:tr>
            <w:tr w14:paraId="2473DF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 w:type="pct"/>
                  <w:noWrap w:val="0"/>
                  <w:vAlign w:val="center"/>
                </w:tcPr>
                <w:p w14:paraId="4EA79F94">
                  <w:pPr>
                    <w:pStyle w:val="26"/>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二期工程</w:t>
                  </w:r>
                  <w:r>
                    <w:rPr>
                      <w:rFonts w:hint="eastAsia"/>
                      <w:color w:val="000000" w:themeColor="text1"/>
                      <w:highlight w:val="none"/>
                      <w:lang w:val="en-US" w:eastAsia="zh-CN"/>
                      <w14:textFill>
                        <w14:solidFill>
                          <w14:schemeClr w14:val="tx1"/>
                        </w14:solidFill>
                      </w14:textFill>
                    </w:rPr>
                    <w:t>乙醇储罐呼吸废气</w:t>
                  </w:r>
                </w:p>
              </w:tc>
              <w:tc>
                <w:tcPr>
                  <w:tcW w:w="442" w:type="pct"/>
                  <w:shd w:val="clear" w:color="auto" w:fill="auto"/>
                  <w:noWrap w:val="0"/>
                  <w:vAlign w:val="center"/>
                </w:tcPr>
                <w:p w14:paraId="18E7BCA0">
                  <w:pPr>
                    <w:pStyle w:val="26"/>
                    <w:bidi w:val="0"/>
                    <w:ind w:firstLine="0" w:firstLineChars="0"/>
                    <w:jc w:val="center"/>
                    <w:rPr>
                      <w:rFonts w:hint="eastAsia" w:ascii="Times New Roman" w:hAnsi="Times New Roman" w:eastAsia="宋体" w:cs="Times New Roman"/>
                      <w:color w:val="000000" w:themeColor="text1"/>
                      <w:sz w:val="21"/>
                      <w:szCs w:val="22"/>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非甲烷总烃</w:t>
                  </w:r>
                </w:p>
              </w:tc>
              <w:tc>
                <w:tcPr>
                  <w:tcW w:w="569" w:type="pct"/>
                  <w:noWrap w:val="0"/>
                  <w:vAlign w:val="center"/>
                </w:tcPr>
                <w:p w14:paraId="450D0A40">
                  <w:pPr>
                    <w:pStyle w:val="26"/>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563" w:type="pct"/>
                  <w:noWrap w:val="0"/>
                  <w:vAlign w:val="center"/>
                </w:tcPr>
                <w:p w14:paraId="050C8F71">
                  <w:pPr>
                    <w:pStyle w:val="26"/>
                    <w:bidi w:val="0"/>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0.0002</w:t>
                  </w:r>
                </w:p>
              </w:tc>
              <w:tc>
                <w:tcPr>
                  <w:tcW w:w="505" w:type="pct"/>
                  <w:noWrap w:val="0"/>
                  <w:vAlign w:val="center"/>
                </w:tcPr>
                <w:p w14:paraId="35254149">
                  <w:pPr>
                    <w:pStyle w:val="26"/>
                    <w:bidi w:val="0"/>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0.0012</w:t>
                  </w:r>
                </w:p>
              </w:tc>
              <w:tc>
                <w:tcPr>
                  <w:tcW w:w="406" w:type="pct"/>
                  <w:noWrap w:val="0"/>
                  <w:vAlign w:val="center"/>
                </w:tcPr>
                <w:p w14:paraId="4A27FCEE">
                  <w:pPr>
                    <w:pStyle w:val="26"/>
                    <w:bidi w:val="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无组织</w:t>
                  </w:r>
                </w:p>
              </w:tc>
              <w:tc>
                <w:tcPr>
                  <w:tcW w:w="493" w:type="pct"/>
                  <w:noWrap w:val="0"/>
                  <w:vAlign w:val="center"/>
                </w:tcPr>
                <w:p w14:paraId="653B4173">
                  <w:pPr>
                    <w:pStyle w:val="26"/>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587" w:type="pct"/>
                  <w:noWrap w:val="0"/>
                  <w:vAlign w:val="center"/>
                </w:tcPr>
                <w:p w14:paraId="41163379">
                  <w:pPr>
                    <w:pStyle w:val="26"/>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514" w:type="pct"/>
                  <w:noWrap w:val="0"/>
                  <w:vAlign w:val="center"/>
                </w:tcPr>
                <w:p w14:paraId="2CACE6D4">
                  <w:pPr>
                    <w:pStyle w:val="26"/>
                    <w:bidi w:val="0"/>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0.0002</w:t>
                  </w:r>
                </w:p>
              </w:tc>
              <w:tc>
                <w:tcPr>
                  <w:tcW w:w="493" w:type="pct"/>
                  <w:noWrap w:val="0"/>
                  <w:vAlign w:val="center"/>
                </w:tcPr>
                <w:p w14:paraId="555F1EAA">
                  <w:pPr>
                    <w:pStyle w:val="26"/>
                    <w:bidi w:val="0"/>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0.0012</w:t>
                  </w:r>
                </w:p>
              </w:tc>
            </w:tr>
            <w:tr w14:paraId="7F81E6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 w:type="pct"/>
                  <w:vMerge w:val="restart"/>
                  <w:noWrap w:val="0"/>
                  <w:vAlign w:val="center"/>
                </w:tcPr>
                <w:p w14:paraId="520DF639">
                  <w:pPr>
                    <w:pStyle w:val="26"/>
                    <w:rPr>
                      <w:rFonts w:hint="default"/>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全厂</w:t>
                  </w:r>
                  <w:r>
                    <w:rPr>
                      <w:rFonts w:hint="eastAsia" w:eastAsia="宋体"/>
                      <w:color w:val="000000" w:themeColor="text1"/>
                      <w:highlight w:val="none"/>
                      <w:lang w:val="en-US" w:eastAsia="zh-CN"/>
                      <w14:textFill>
                        <w14:solidFill>
                          <w14:schemeClr w14:val="tx1"/>
                        </w14:solidFill>
                      </w14:textFill>
                    </w:rPr>
                    <w:t>（烘干、引弧放电、</w:t>
                  </w:r>
                  <w:r>
                    <w:rPr>
                      <w:rFonts w:hint="eastAsia"/>
                      <w:color w:val="000000" w:themeColor="text1"/>
                      <w:highlight w:val="none"/>
                      <w:lang w:val="en-US" w:eastAsia="zh-CN"/>
                      <w14:textFill>
                        <w14:solidFill>
                          <w14:schemeClr w14:val="tx1"/>
                        </w14:solidFill>
                      </w14:textFill>
                    </w:rPr>
                    <w:t>砂磨、烘干、</w:t>
                  </w:r>
                  <w:r>
                    <w:rPr>
                      <w:rFonts w:hint="eastAsia" w:eastAsia="宋体"/>
                      <w:color w:val="000000" w:themeColor="text1"/>
                      <w:highlight w:val="none"/>
                      <w:lang w:val="en-US" w:eastAsia="zh-CN"/>
                      <w14:textFill>
                        <w14:solidFill>
                          <w14:schemeClr w14:val="tx1"/>
                        </w14:solidFill>
                      </w14:textFill>
                    </w:rPr>
                    <w:t>包覆</w:t>
                  </w:r>
                  <w:r>
                    <w:rPr>
                      <w:rFonts w:hint="eastAsia"/>
                      <w:color w:val="000000" w:themeColor="text1"/>
                      <w:highlight w:val="none"/>
                      <w:lang w:val="en-US" w:eastAsia="zh-CN"/>
                      <w14:textFill>
                        <w14:solidFill>
                          <w14:schemeClr w14:val="tx1"/>
                        </w14:solidFill>
                      </w14:textFill>
                    </w:rPr>
                    <w:t>、二次包覆</w:t>
                  </w:r>
                  <w:r>
                    <w:rPr>
                      <w:rFonts w:hint="eastAsia" w:eastAsia="宋体"/>
                      <w:color w:val="000000" w:themeColor="text1"/>
                      <w:highlight w:val="none"/>
                      <w:lang w:val="en-US" w:eastAsia="zh-CN"/>
                      <w14:textFill>
                        <w14:solidFill>
                          <w14:schemeClr w14:val="tx1"/>
                        </w14:solidFill>
                      </w14:textFill>
                    </w:rPr>
                    <w:t>、碳化）</w:t>
                  </w:r>
                </w:p>
              </w:tc>
              <w:tc>
                <w:tcPr>
                  <w:tcW w:w="442" w:type="pct"/>
                  <w:noWrap w:val="0"/>
                  <w:vAlign w:val="center"/>
                </w:tcPr>
                <w:p w14:paraId="0B7D9ECF">
                  <w:pPr>
                    <w:pStyle w:val="26"/>
                    <w:bidi w:val="0"/>
                    <w:ind w:firstLine="0" w:firstLineChars="0"/>
                    <w:jc w:val="center"/>
                    <w:rPr>
                      <w:rFonts w:hint="eastAsia" w:ascii="Times New Roman" w:hAnsi="Times New Roman" w:cs="Times New Roman"/>
                      <w:color w:val="000000" w:themeColor="text1"/>
                      <w:sz w:val="21"/>
                      <w:szCs w:val="22"/>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沥青烟</w:t>
                  </w:r>
                </w:p>
              </w:tc>
              <w:tc>
                <w:tcPr>
                  <w:tcW w:w="569" w:type="pct"/>
                  <w:noWrap w:val="0"/>
                  <w:vAlign w:val="center"/>
                </w:tcPr>
                <w:p w14:paraId="3C7DC418">
                  <w:pPr>
                    <w:pStyle w:val="26"/>
                    <w:bidi w:val="0"/>
                    <w:ind w:firstLine="0" w:firstLineChars="0"/>
                    <w:jc w:val="center"/>
                    <w:rPr>
                      <w:rFonts w:hint="eastAsia"/>
                      <w:color w:val="000000" w:themeColor="text1"/>
                      <w:highlight w:val="none"/>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7.66</w:t>
                  </w:r>
                </w:p>
              </w:tc>
              <w:tc>
                <w:tcPr>
                  <w:tcW w:w="563" w:type="pct"/>
                  <w:noWrap w:val="0"/>
                  <w:vAlign w:val="center"/>
                </w:tcPr>
                <w:p w14:paraId="1A981406">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0.1378</w:t>
                  </w:r>
                </w:p>
              </w:tc>
              <w:tc>
                <w:tcPr>
                  <w:tcW w:w="505" w:type="pct"/>
                  <w:noWrap w:val="0"/>
                  <w:vAlign w:val="center"/>
                </w:tcPr>
                <w:p w14:paraId="54383D86">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0.4134</w:t>
                  </w:r>
                </w:p>
              </w:tc>
              <w:tc>
                <w:tcPr>
                  <w:tcW w:w="406" w:type="pct"/>
                  <w:vMerge w:val="restart"/>
                  <w:noWrap w:val="0"/>
                  <w:vAlign w:val="center"/>
                </w:tcPr>
                <w:p w14:paraId="59B4A229">
                  <w:pPr>
                    <w:pStyle w:val="26"/>
                    <w:bidi w:val="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有组织</w:t>
                  </w:r>
                </w:p>
              </w:tc>
              <w:tc>
                <w:tcPr>
                  <w:tcW w:w="493" w:type="pct"/>
                  <w:vMerge w:val="restart"/>
                  <w:noWrap w:val="0"/>
                  <w:vAlign w:val="center"/>
                </w:tcPr>
                <w:p w14:paraId="1C3DDB48">
                  <w:pPr>
                    <w:pStyle w:val="26"/>
                    <w:bidi w:val="0"/>
                    <w:jc w:val="center"/>
                    <w:rPr>
                      <w:rFonts w:hint="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布袋除尘+RCO</w:t>
                  </w:r>
                </w:p>
              </w:tc>
              <w:tc>
                <w:tcPr>
                  <w:tcW w:w="587" w:type="pct"/>
                  <w:noWrap w:val="0"/>
                  <w:vAlign w:val="center"/>
                </w:tcPr>
                <w:p w14:paraId="19AAC098">
                  <w:pPr>
                    <w:pStyle w:val="26"/>
                    <w:bidi w:val="0"/>
                    <w:ind w:firstLine="0" w:firstLineChars="0"/>
                    <w:jc w:val="center"/>
                    <w:rPr>
                      <w:rFonts w:hint="eastAsia"/>
                      <w:color w:val="000000" w:themeColor="text1"/>
                      <w:highlight w:val="none"/>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0.38</w:t>
                  </w:r>
                </w:p>
              </w:tc>
              <w:tc>
                <w:tcPr>
                  <w:tcW w:w="514" w:type="pct"/>
                  <w:noWrap w:val="0"/>
                  <w:vAlign w:val="center"/>
                </w:tcPr>
                <w:p w14:paraId="4A3AABC4">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0.0069</w:t>
                  </w:r>
                </w:p>
              </w:tc>
              <w:tc>
                <w:tcPr>
                  <w:tcW w:w="493" w:type="pct"/>
                  <w:noWrap w:val="0"/>
                  <w:vAlign w:val="center"/>
                </w:tcPr>
                <w:p w14:paraId="0F03B7EA">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0.0207</w:t>
                  </w:r>
                </w:p>
              </w:tc>
            </w:tr>
            <w:tr w14:paraId="737106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 w:type="pct"/>
                  <w:vMerge w:val="continue"/>
                  <w:noWrap w:val="0"/>
                  <w:vAlign w:val="center"/>
                </w:tcPr>
                <w:p w14:paraId="51335CA7">
                  <w:pPr>
                    <w:pStyle w:val="26"/>
                    <w:rPr>
                      <w:rFonts w:hint="eastAsia"/>
                      <w:color w:val="000000" w:themeColor="text1"/>
                      <w:highlight w:val="none"/>
                      <w:lang w:val="en-US" w:eastAsia="zh-CN"/>
                      <w14:textFill>
                        <w14:solidFill>
                          <w14:schemeClr w14:val="tx1"/>
                        </w14:solidFill>
                      </w14:textFill>
                    </w:rPr>
                  </w:pPr>
                </w:p>
              </w:tc>
              <w:tc>
                <w:tcPr>
                  <w:tcW w:w="442" w:type="pct"/>
                  <w:noWrap w:val="0"/>
                  <w:vAlign w:val="center"/>
                </w:tcPr>
                <w:p w14:paraId="30683583">
                  <w:pPr>
                    <w:pStyle w:val="26"/>
                    <w:bidi w:val="0"/>
                    <w:ind w:firstLine="0" w:firstLineChars="0"/>
                    <w:jc w:val="center"/>
                    <w:rPr>
                      <w:rFonts w:hint="eastAsia" w:ascii="Times New Roman" w:hAnsi="Times New Roman" w:cs="Times New Roman"/>
                      <w:color w:val="000000" w:themeColor="text1"/>
                      <w:sz w:val="21"/>
                      <w:szCs w:val="22"/>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苯并[a]芘</w:t>
                  </w:r>
                </w:p>
              </w:tc>
              <w:tc>
                <w:tcPr>
                  <w:tcW w:w="569" w:type="pct"/>
                  <w:noWrap w:val="0"/>
                  <w:vAlign w:val="center"/>
                </w:tcPr>
                <w:p w14:paraId="33D24FB3">
                  <w:pPr>
                    <w:pStyle w:val="26"/>
                    <w:bidi w:val="0"/>
                    <w:ind w:firstLine="0" w:firstLineChars="0"/>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2.04</w:t>
                  </w:r>
                </w:p>
                <w:p w14:paraId="6C89E177">
                  <w:pPr>
                    <w:pStyle w:val="26"/>
                    <w:bidi w:val="0"/>
                    <w:ind w:firstLine="0" w:firstLineChars="0"/>
                    <w:jc w:val="center"/>
                    <w:rPr>
                      <w:rFonts w:hint="eastAsia"/>
                      <w:color w:val="000000" w:themeColor="text1"/>
                      <w:highlight w:val="none"/>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E-03</w:t>
                  </w:r>
                </w:p>
              </w:tc>
              <w:tc>
                <w:tcPr>
                  <w:tcW w:w="563" w:type="pct"/>
                  <w:noWrap w:val="0"/>
                  <w:vAlign w:val="center"/>
                </w:tcPr>
                <w:p w14:paraId="1D1E0D55">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3.68</w:t>
                  </w:r>
                </w:p>
                <w:p w14:paraId="3B620ECF">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E-05</w:t>
                  </w:r>
                </w:p>
              </w:tc>
              <w:tc>
                <w:tcPr>
                  <w:tcW w:w="505" w:type="pct"/>
                  <w:noWrap w:val="0"/>
                  <w:vAlign w:val="center"/>
                </w:tcPr>
                <w:p w14:paraId="6721B9D4">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1.10</w:t>
                  </w:r>
                </w:p>
                <w:p w14:paraId="1B337C87">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E-04</w:t>
                  </w:r>
                </w:p>
              </w:tc>
              <w:tc>
                <w:tcPr>
                  <w:tcW w:w="406" w:type="pct"/>
                  <w:vMerge w:val="continue"/>
                  <w:noWrap w:val="0"/>
                  <w:vAlign w:val="center"/>
                </w:tcPr>
                <w:p w14:paraId="6C2C83AC">
                  <w:pPr>
                    <w:pStyle w:val="26"/>
                    <w:bidi w:val="0"/>
                    <w:jc w:val="center"/>
                    <w:rPr>
                      <w:rFonts w:hint="eastAsia"/>
                      <w:color w:val="000000" w:themeColor="text1"/>
                      <w:highlight w:val="none"/>
                      <w:lang w:val="en-US" w:eastAsia="zh-CN"/>
                      <w14:textFill>
                        <w14:solidFill>
                          <w14:schemeClr w14:val="tx1"/>
                        </w14:solidFill>
                      </w14:textFill>
                    </w:rPr>
                  </w:pPr>
                </w:p>
              </w:tc>
              <w:tc>
                <w:tcPr>
                  <w:tcW w:w="493" w:type="pct"/>
                  <w:vMerge w:val="continue"/>
                  <w:noWrap w:val="0"/>
                  <w:vAlign w:val="center"/>
                </w:tcPr>
                <w:p w14:paraId="0279F8A4">
                  <w:pPr>
                    <w:pStyle w:val="26"/>
                    <w:bidi w:val="0"/>
                    <w:jc w:val="center"/>
                    <w:rPr>
                      <w:rFonts w:hint="eastAsia"/>
                      <w:color w:val="000000" w:themeColor="text1"/>
                      <w:highlight w:val="none"/>
                      <w:lang w:val="en-US" w:eastAsia="zh-CN"/>
                      <w14:textFill>
                        <w14:solidFill>
                          <w14:schemeClr w14:val="tx1"/>
                        </w14:solidFill>
                      </w14:textFill>
                    </w:rPr>
                  </w:pPr>
                </w:p>
              </w:tc>
              <w:tc>
                <w:tcPr>
                  <w:tcW w:w="587" w:type="pct"/>
                  <w:noWrap w:val="0"/>
                  <w:vAlign w:val="center"/>
                </w:tcPr>
                <w:p w14:paraId="7D43BBF1">
                  <w:pPr>
                    <w:pStyle w:val="26"/>
                    <w:bidi w:val="0"/>
                    <w:ind w:firstLine="0" w:firstLineChars="0"/>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1.02</w:t>
                  </w:r>
                </w:p>
                <w:p w14:paraId="78310326">
                  <w:pPr>
                    <w:pStyle w:val="26"/>
                    <w:bidi w:val="0"/>
                    <w:ind w:firstLine="0" w:firstLineChars="0"/>
                    <w:jc w:val="center"/>
                    <w:rPr>
                      <w:rFonts w:hint="eastAsia"/>
                      <w:color w:val="000000" w:themeColor="text1"/>
                      <w:highlight w:val="none"/>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E-04</w:t>
                  </w:r>
                </w:p>
              </w:tc>
              <w:tc>
                <w:tcPr>
                  <w:tcW w:w="514" w:type="pct"/>
                  <w:noWrap w:val="0"/>
                  <w:vAlign w:val="center"/>
                </w:tcPr>
                <w:p w14:paraId="47778A04">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1.84</w:t>
                  </w:r>
                </w:p>
                <w:p w14:paraId="49B04F3C">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E-06</w:t>
                  </w:r>
                </w:p>
              </w:tc>
              <w:tc>
                <w:tcPr>
                  <w:tcW w:w="493" w:type="pct"/>
                  <w:noWrap w:val="0"/>
                  <w:vAlign w:val="center"/>
                </w:tcPr>
                <w:p w14:paraId="73C55FD8">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5.51</w:t>
                  </w:r>
                </w:p>
                <w:p w14:paraId="27B038F6">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E-06</w:t>
                  </w:r>
                </w:p>
              </w:tc>
            </w:tr>
            <w:tr w14:paraId="7FDC89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 w:type="pct"/>
                  <w:vMerge w:val="continue"/>
                  <w:noWrap w:val="0"/>
                  <w:vAlign w:val="center"/>
                </w:tcPr>
                <w:p w14:paraId="291CD45F">
                  <w:pPr>
                    <w:pStyle w:val="26"/>
                    <w:rPr>
                      <w:rFonts w:hint="eastAsia"/>
                      <w:color w:val="000000" w:themeColor="text1"/>
                      <w:highlight w:val="none"/>
                      <w:lang w:val="en-US" w:eastAsia="zh-CN"/>
                      <w14:textFill>
                        <w14:solidFill>
                          <w14:schemeClr w14:val="tx1"/>
                        </w14:solidFill>
                      </w14:textFill>
                    </w:rPr>
                  </w:pPr>
                </w:p>
              </w:tc>
              <w:tc>
                <w:tcPr>
                  <w:tcW w:w="442" w:type="pct"/>
                  <w:noWrap w:val="0"/>
                  <w:vAlign w:val="center"/>
                </w:tcPr>
                <w:p w14:paraId="31321BD5">
                  <w:pPr>
                    <w:pStyle w:val="26"/>
                    <w:bidi w:val="0"/>
                    <w:ind w:firstLine="0" w:firstLineChars="0"/>
                    <w:jc w:val="center"/>
                    <w:rPr>
                      <w:rFonts w:hint="eastAsia" w:ascii="Times New Roman" w:hAnsi="Times New Roman" w:cs="Times New Roman"/>
                      <w:color w:val="000000" w:themeColor="text1"/>
                      <w:sz w:val="21"/>
                      <w:szCs w:val="22"/>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颗粒物</w:t>
                  </w:r>
                </w:p>
              </w:tc>
              <w:tc>
                <w:tcPr>
                  <w:tcW w:w="569" w:type="pct"/>
                  <w:noWrap w:val="0"/>
                  <w:vAlign w:val="center"/>
                </w:tcPr>
                <w:p w14:paraId="19DCE4F3">
                  <w:pPr>
                    <w:pStyle w:val="26"/>
                    <w:bidi w:val="0"/>
                    <w:ind w:firstLine="0" w:firstLineChars="0"/>
                    <w:jc w:val="center"/>
                    <w:rPr>
                      <w:rFonts w:hint="eastAsia"/>
                      <w:color w:val="000000" w:themeColor="text1"/>
                      <w:highlight w:val="none"/>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115.24</w:t>
                  </w:r>
                </w:p>
              </w:tc>
              <w:tc>
                <w:tcPr>
                  <w:tcW w:w="563" w:type="pct"/>
                  <w:noWrap w:val="0"/>
                  <w:vAlign w:val="center"/>
                </w:tcPr>
                <w:p w14:paraId="21427FB3">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2.0743</w:t>
                  </w:r>
                </w:p>
              </w:tc>
              <w:tc>
                <w:tcPr>
                  <w:tcW w:w="505" w:type="pct"/>
                  <w:noWrap w:val="0"/>
                  <w:vAlign w:val="center"/>
                </w:tcPr>
                <w:p w14:paraId="17A047E2">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6.2230</w:t>
                  </w:r>
                </w:p>
              </w:tc>
              <w:tc>
                <w:tcPr>
                  <w:tcW w:w="406" w:type="pct"/>
                  <w:vMerge w:val="continue"/>
                  <w:noWrap w:val="0"/>
                  <w:vAlign w:val="center"/>
                </w:tcPr>
                <w:p w14:paraId="41A91A97">
                  <w:pPr>
                    <w:pStyle w:val="26"/>
                    <w:bidi w:val="0"/>
                    <w:jc w:val="center"/>
                    <w:rPr>
                      <w:rFonts w:hint="eastAsia"/>
                      <w:color w:val="000000" w:themeColor="text1"/>
                      <w:highlight w:val="none"/>
                      <w:lang w:val="en-US" w:eastAsia="zh-CN"/>
                      <w14:textFill>
                        <w14:solidFill>
                          <w14:schemeClr w14:val="tx1"/>
                        </w14:solidFill>
                      </w14:textFill>
                    </w:rPr>
                  </w:pPr>
                </w:p>
              </w:tc>
              <w:tc>
                <w:tcPr>
                  <w:tcW w:w="493" w:type="pct"/>
                  <w:vMerge w:val="continue"/>
                  <w:noWrap w:val="0"/>
                  <w:vAlign w:val="center"/>
                </w:tcPr>
                <w:p w14:paraId="7F5C1CF0">
                  <w:pPr>
                    <w:pStyle w:val="26"/>
                    <w:bidi w:val="0"/>
                    <w:jc w:val="center"/>
                    <w:rPr>
                      <w:rFonts w:hint="eastAsia"/>
                      <w:color w:val="000000" w:themeColor="text1"/>
                      <w:highlight w:val="none"/>
                      <w:lang w:val="en-US" w:eastAsia="zh-CN"/>
                      <w14:textFill>
                        <w14:solidFill>
                          <w14:schemeClr w14:val="tx1"/>
                        </w14:solidFill>
                      </w14:textFill>
                    </w:rPr>
                  </w:pPr>
                </w:p>
              </w:tc>
              <w:tc>
                <w:tcPr>
                  <w:tcW w:w="587" w:type="pct"/>
                  <w:noWrap w:val="0"/>
                  <w:vAlign w:val="center"/>
                </w:tcPr>
                <w:p w14:paraId="15B5EDCD">
                  <w:pPr>
                    <w:pStyle w:val="26"/>
                    <w:bidi w:val="0"/>
                    <w:ind w:firstLine="0" w:firstLineChars="0"/>
                    <w:jc w:val="center"/>
                    <w:rPr>
                      <w:rFonts w:hint="eastAsia"/>
                      <w:color w:val="000000" w:themeColor="text1"/>
                      <w:highlight w:val="none"/>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1.15</w:t>
                  </w:r>
                </w:p>
              </w:tc>
              <w:tc>
                <w:tcPr>
                  <w:tcW w:w="514" w:type="pct"/>
                  <w:noWrap w:val="0"/>
                  <w:vAlign w:val="center"/>
                </w:tcPr>
                <w:p w14:paraId="49F06943">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0.0207</w:t>
                  </w:r>
                </w:p>
              </w:tc>
              <w:tc>
                <w:tcPr>
                  <w:tcW w:w="493" w:type="pct"/>
                  <w:noWrap w:val="0"/>
                  <w:vAlign w:val="center"/>
                </w:tcPr>
                <w:p w14:paraId="76ECEE45">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0.0622</w:t>
                  </w:r>
                </w:p>
              </w:tc>
            </w:tr>
            <w:tr w14:paraId="7E9B38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 w:type="pct"/>
                  <w:vMerge w:val="continue"/>
                  <w:noWrap w:val="0"/>
                  <w:vAlign w:val="center"/>
                </w:tcPr>
                <w:p w14:paraId="18BF161A">
                  <w:pPr>
                    <w:pStyle w:val="26"/>
                    <w:rPr>
                      <w:rFonts w:hint="eastAsia"/>
                      <w:color w:val="000000" w:themeColor="text1"/>
                      <w:highlight w:val="none"/>
                      <w:lang w:val="en-US" w:eastAsia="zh-CN"/>
                      <w14:textFill>
                        <w14:solidFill>
                          <w14:schemeClr w14:val="tx1"/>
                        </w14:solidFill>
                      </w14:textFill>
                    </w:rPr>
                  </w:pPr>
                </w:p>
              </w:tc>
              <w:tc>
                <w:tcPr>
                  <w:tcW w:w="442" w:type="pct"/>
                  <w:noWrap w:val="0"/>
                  <w:vAlign w:val="center"/>
                </w:tcPr>
                <w:p w14:paraId="6082D563">
                  <w:pPr>
                    <w:pStyle w:val="26"/>
                    <w:bidi w:val="0"/>
                    <w:ind w:firstLine="0" w:firstLineChars="0"/>
                    <w:jc w:val="center"/>
                    <w:rPr>
                      <w:rFonts w:hint="eastAsia" w:ascii="Times New Roman" w:hAnsi="Times New Roman" w:cs="Times New Roman"/>
                      <w:color w:val="000000" w:themeColor="text1"/>
                      <w:sz w:val="21"/>
                      <w:szCs w:val="22"/>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非甲烷总烃</w:t>
                  </w:r>
                </w:p>
              </w:tc>
              <w:tc>
                <w:tcPr>
                  <w:tcW w:w="569" w:type="pct"/>
                  <w:noWrap w:val="0"/>
                  <w:vAlign w:val="center"/>
                </w:tcPr>
                <w:p w14:paraId="58AB8131">
                  <w:pPr>
                    <w:pStyle w:val="26"/>
                    <w:bidi w:val="0"/>
                    <w:ind w:firstLine="0" w:firstLineChars="0"/>
                    <w:jc w:val="center"/>
                    <w:rPr>
                      <w:rFonts w:hint="eastAsia"/>
                      <w:color w:val="000000" w:themeColor="text1"/>
                      <w:highlight w:val="none"/>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700.07</w:t>
                  </w:r>
                </w:p>
              </w:tc>
              <w:tc>
                <w:tcPr>
                  <w:tcW w:w="563" w:type="pct"/>
                  <w:noWrap w:val="0"/>
                  <w:vAlign w:val="center"/>
                </w:tcPr>
                <w:p w14:paraId="7CB5153C">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12.6013</w:t>
                  </w:r>
                </w:p>
              </w:tc>
              <w:tc>
                <w:tcPr>
                  <w:tcW w:w="505" w:type="pct"/>
                  <w:noWrap w:val="0"/>
                  <w:vAlign w:val="center"/>
                </w:tcPr>
                <w:p w14:paraId="3BABF35F">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39.754</w:t>
                  </w:r>
                </w:p>
              </w:tc>
              <w:tc>
                <w:tcPr>
                  <w:tcW w:w="406" w:type="pct"/>
                  <w:vMerge w:val="continue"/>
                  <w:noWrap w:val="0"/>
                  <w:vAlign w:val="center"/>
                </w:tcPr>
                <w:p w14:paraId="655FD4E7">
                  <w:pPr>
                    <w:pStyle w:val="26"/>
                    <w:bidi w:val="0"/>
                    <w:jc w:val="center"/>
                    <w:rPr>
                      <w:rFonts w:hint="eastAsia"/>
                      <w:color w:val="000000" w:themeColor="text1"/>
                      <w:highlight w:val="none"/>
                      <w:lang w:val="en-US" w:eastAsia="zh-CN"/>
                      <w14:textFill>
                        <w14:solidFill>
                          <w14:schemeClr w14:val="tx1"/>
                        </w14:solidFill>
                      </w14:textFill>
                    </w:rPr>
                  </w:pPr>
                </w:p>
              </w:tc>
              <w:tc>
                <w:tcPr>
                  <w:tcW w:w="493" w:type="pct"/>
                  <w:vMerge w:val="continue"/>
                  <w:noWrap w:val="0"/>
                  <w:vAlign w:val="center"/>
                </w:tcPr>
                <w:p w14:paraId="477CAC7B">
                  <w:pPr>
                    <w:pStyle w:val="26"/>
                    <w:bidi w:val="0"/>
                    <w:jc w:val="center"/>
                    <w:rPr>
                      <w:rFonts w:hint="eastAsia"/>
                      <w:color w:val="000000" w:themeColor="text1"/>
                      <w:highlight w:val="none"/>
                      <w:lang w:val="en-US" w:eastAsia="zh-CN"/>
                      <w14:textFill>
                        <w14:solidFill>
                          <w14:schemeClr w14:val="tx1"/>
                        </w14:solidFill>
                      </w14:textFill>
                    </w:rPr>
                  </w:pPr>
                </w:p>
              </w:tc>
              <w:tc>
                <w:tcPr>
                  <w:tcW w:w="587" w:type="pct"/>
                  <w:noWrap w:val="0"/>
                  <w:vAlign w:val="center"/>
                </w:tcPr>
                <w:p w14:paraId="3142A7EB">
                  <w:pPr>
                    <w:pStyle w:val="26"/>
                    <w:bidi w:val="0"/>
                    <w:ind w:firstLine="0" w:firstLineChars="0"/>
                    <w:jc w:val="center"/>
                    <w:rPr>
                      <w:rFonts w:hint="eastAsia"/>
                      <w:color w:val="000000" w:themeColor="text1"/>
                      <w:highlight w:val="none"/>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35.00</w:t>
                  </w:r>
                </w:p>
              </w:tc>
              <w:tc>
                <w:tcPr>
                  <w:tcW w:w="514" w:type="pct"/>
                  <w:noWrap w:val="0"/>
                  <w:vAlign w:val="center"/>
                </w:tcPr>
                <w:p w14:paraId="6B6ED64A">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0.6301</w:t>
                  </w:r>
                </w:p>
              </w:tc>
              <w:tc>
                <w:tcPr>
                  <w:tcW w:w="493" w:type="pct"/>
                  <w:noWrap w:val="0"/>
                  <w:vAlign w:val="center"/>
                </w:tcPr>
                <w:p w14:paraId="6B2BF65A">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1.9877</w:t>
                  </w:r>
                </w:p>
              </w:tc>
            </w:tr>
            <w:tr w14:paraId="546576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 w:type="pct"/>
                  <w:vMerge w:val="continue"/>
                  <w:noWrap w:val="0"/>
                  <w:vAlign w:val="center"/>
                </w:tcPr>
                <w:p w14:paraId="57A95C21">
                  <w:pPr>
                    <w:pStyle w:val="26"/>
                    <w:rPr>
                      <w:rFonts w:hint="eastAsia"/>
                      <w:color w:val="000000" w:themeColor="text1"/>
                      <w:highlight w:val="none"/>
                      <w:lang w:val="en-US" w:eastAsia="zh-CN"/>
                      <w14:textFill>
                        <w14:solidFill>
                          <w14:schemeClr w14:val="tx1"/>
                        </w14:solidFill>
                      </w14:textFill>
                    </w:rPr>
                  </w:pPr>
                </w:p>
              </w:tc>
              <w:tc>
                <w:tcPr>
                  <w:tcW w:w="442" w:type="pct"/>
                  <w:noWrap w:val="0"/>
                  <w:vAlign w:val="center"/>
                </w:tcPr>
                <w:p w14:paraId="54407E6F">
                  <w:pPr>
                    <w:pStyle w:val="26"/>
                    <w:bidi w:val="0"/>
                    <w:ind w:firstLine="0" w:firstLineChars="0"/>
                    <w:jc w:val="center"/>
                    <w:rPr>
                      <w:rFonts w:hint="eastAsia" w:ascii="Times New Roman" w:hAnsi="Times New Roman" w:cs="Times New Roman"/>
                      <w:color w:val="000000" w:themeColor="text1"/>
                      <w:sz w:val="21"/>
                      <w:szCs w:val="22"/>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沥青烟</w:t>
                  </w:r>
                </w:p>
              </w:tc>
              <w:tc>
                <w:tcPr>
                  <w:tcW w:w="569" w:type="pct"/>
                  <w:noWrap w:val="0"/>
                  <w:vAlign w:val="center"/>
                </w:tcPr>
                <w:p w14:paraId="674D1754">
                  <w:pPr>
                    <w:pStyle w:val="26"/>
                    <w:bidi w:val="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563" w:type="pct"/>
                  <w:noWrap w:val="0"/>
                  <w:vAlign w:val="center"/>
                </w:tcPr>
                <w:p w14:paraId="6D5CA190">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0.0028</w:t>
                  </w:r>
                </w:p>
              </w:tc>
              <w:tc>
                <w:tcPr>
                  <w:tcW w:w="505" w:type="pct"/>
                  <w:noWrap w:val="0"/>
                  <w:vAlign w:val="center"/>
                </w:tcPr>
                <w:p w14:paraId="35FD4418">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0.0084</w:t>
                  </w:r>
                </w:p>
              </w:tc>
              <w:tc>
                <w:tcPr>
                  <w:tcW w:w="406" w:type="pct"/>
                  <w:vMerge w:val="restart"/>
                  <w:noWrap w:val="0"/>
                  <w:vAlign w:val="center"/>
                </w:tcPr>
                <w:p w14:paraId="67030073">
                  <w:pPr>
                    <w:pStyle w:val="26"/>
                    <w:bidi w:val="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无组织</w:t>
                  </w:r>
                </w:p>
              </w:tc>
              <w:tc>
                <w:tcPr>
                  <w:tcW w:w="493" w:type="pct"/>
                  <w:vMerge w:val="restart"/>
                  <w:noWrap w:val="0"/>
                  <w:vAlign w:val="center"/>
                </w:tcPr>
                <w:p w14:paraId="23AE790C">
                  <w:pPr>
                    <w:pStyle w:val="26"/>
                    <w:bidi w:val="0"/>
                    <w:jc w:val="center"/>
                    <w:rPr>
                      <w:rFonts w:hint="eastAsia"/>
                      <w:color w:val="000000" w:themeColor="text1"/>
                      <w:highlight w:val="none"/>
                      <w:lang w:val="en-US" w:eastAsia="zh-CN"/>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设备排气管道收集</w:t>
                  </w:r>
                </w:p>
              </w:tc>
              <w:tc>
                <w:tcPr>
                  <w:tcW w:w="587" w:type="pct"/>
                  <w:noWrap w:val="0"/>
                  <w:vAlign w:val="center"/>
                </w:tcPr>
                <w:p w14:paraId="0F9452D8">
                  <w:pPr>
                    <w:pStyle w:val="26"/>
                    <w:bidi w:val="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514" w:type="pct"/>
                  <w:noWrap w:val="0"/>
                  <w:vAlign w:val="center"/>
                </w:tcPr>
                <w:p w14:paraId="7098B6D9">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0.0028</w:t>
                  </w:r>
                </w:p>
              </w:tc>
              <w:tc>
                <w:tcPr>
                  <w:tcW w:w="493" w:type="pct"/>
                  <w:noWrap w:val="0"/>
                  <w:vAlign w:val="center"/>
                </w:tcPr>
                <w:p w14:paraId="52CDB64E">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0.0084</w:t>
                  </w:r>
                </w:p>
              </w:tc>
            </w:tr>
            <w:tr w14:paraId="110775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 w:type="pct"/>
                  <w:vMerge w:val="continue"/>
                  <w:noWrap w:val="0"/>
                  <w:vAlign w:val="center"/>
                </w:tcPr>
                <w:p w14:paraId="21A53DFA">
                  <w:pPr>
                    <w:pStyle w:val="26"/>
                    <w:rPr>
                      <w:rFonts w:hint="eastAsia"/>
                      <w:color w:val="000000" w:themeColor="text1"/>
                      <w:highlight w:val="none"/>
                      <w:lang w:val="en-US" w:eastAsia="zh-CN"/>
                      <w14:textFill>
                        <w14:solidFill>
                          <w14:schemeClr w14:val="tx1"/>
                        </w14:solidFill>
                      </w14:textFill>
                    </w:rPr>
                  </w:pPr>
                </w:p>
              </w:tc>
              <w:tc>
                <w:tcPr>
                  <w:tcW w:w="442" w:type="pct"/>
                  <w:noWrap w:val="0"/>
                  <w:vAlign w:val="center"/>
                </w:tcPr>
                <w:p w14:paraId="30EC4D07">
                  <w:pPr>
                    <w:pStyle w:val="26"/>
                    <w:bidi w:val="0"/>
                    <w:ind w:firstLine="0" w:firstLineChars="0"/>
                    <w:jc w:val="center"/>
                    <w:rPr>
                      <w:rFonts w:hint="eastAsia" w:ascii="Times New Roman" w:hAnsi="Times New Roman" w:cs="Times New Roman"/>
                      <w:color w:val="000000" w:themeColor="text1"/>
                      <w:sz w:val="21"/>
                      <w:szCs w:val="22"/>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苯并[a]芘</w:t>
                  </w:r>
                </w:p>
              </w:tc>
              <w:tc>
                <w:tcPr>
                  <w:tcW w:w="569" w:type="pct"/>
                  <w:noWrap w:val="0"/>
                  <w:vAlign w:val="center"/>
                </w:tcPr>
                <w:p w14:paraId="76BA93BB">
                  <w:pPr>
                    <w:pStyle w:val="26"/>
                    <w:bidi w:val="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563" w:type="pct"/>
                  <w:noWrap w:val="0"/>
                  <w:vAlign w:val="center"/>
                </w:tcPr>
                <w:p w14:paraId="407BB7F0">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7.50</w:t>
                  </w:r>
                </w:p>
                <w:p w14:paraId="5C694939">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E-07</w:t>
                  </w:r>
                </w:p>
              </w:tc>
              <w:tc>
                <w:tcPr>
                  <w:tcW w:w="505" w:type="pct"/>
                  <w:noWrap w:val="0"/>
                  <w:vAlign w:val="center"/>
                </w:tcPr>
                <w:p w14:paraId="37C62922">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2.25</w:t>
                  </w:r>
                </w:p>
                <w:p w14:paraId="4FD4EC4C">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E-06</w:t>
                  </w:r>
                </w:p>
              </w:tc>
              <w:tc>
                <w:tcPr>
                  <w:tcW w:w="406" w:type="pct"/>
                  <w:vMerge w:val="continue"/>
                  <w:noWrap w:val="0"/>
                  <w:vAlign w:val="center"/>
                </w:tcPr>
                <w:p w14:paraId="1FAB2057">
                  <w:pPr>
                    <w:pStyle w:val="26"/>
                    <w:bidi w:val="0"/>
                    <w:jc w:val="center"/>
                    <w:rPr>
                      <w:rFonts w:hint="eastAsia"/>
                      <w:color w:val="000000" w:themeColor="text1"/>
                      <w:highlight w:val="none"/>
                      <w:lang w:val="en-US" w:eastAsia="zh-CN"/>
                      <w14:textFill>
                        <w14:solidFill>
                          <w14:schemeClr w14:val="tx1"/>
                        </w14:solidFill>
                      </w14:textFill>
                    </w:rPr>
                  </w:pPr>
                </w:p>
              </w:tc>
              <w:tc>
                <w:tcPr>
                  <w:tcW w:w="493" w:type="pct"/>
                  <w:vMerge w:val="continue"/>
                  <w:noWrap w:val="0"/>
                  <w:vAlign w:val="center"/>
                </w:tcPr>
                <w:p w14:paraId="01466680">
                  <w:pPr>
                    <w:pStyle w:val="26"/>
                    <w:bidi w:val="0"/>
                    <w:jc w:val="center"/>
                    <w:rPr>
                      <w:rFonts w:hint="eastAsia"/>
                      <w:color w:val="000000" w:themeColor="text1"/>
                      <w:highlight w:val="none"/>
                      <w:lang w:val="en-US" w:eastAsia="zh-CN"/>
                      <w14:textFill>
                        <w14:solidFill>
                          <w14:schemeClr w14:val="tx1"/>
                        </w14:solidFill>
                      </w14:textFill>
                    </w:rPr>
                  </w:pPr>
                </w:p>
              </w:tc>
              <w:tc>
                <w:tcPr>
                  <w:tcW w:w="587" w:type="pct"/>
                  <w:noWrap w:val="0"/>
                  <w:vAlign w:val="center"/>
                </w:tcPr>
                <w:p w14:paraId="184E6F6E">
                  <w:pPr>
                    <w:pStyle w:val="26"/>
                    <w:bidi w:val="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514" w:type="pct"/>
                  <w:noWrap w:val="0"/>
                  <w:vAlign w:val="center"/>
                </w:tcPr>
                <w:p w14:paraId="00D0884A">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7.50</w:t>
                  </w:r>
                </w:p>
                <w:p w14:paraId="438066AC">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E-07</w:t>
                  </w:r>
                </w:p>
              </w:tc>
              <w:tc>
                <w:tcPr>
                  <w:tcW w:w="493" w:type="pct"/>
                  <w:noWrap w:val="0"/>
                  <w:vAlign w:val="center"/>
                </w:tcPr>
                <w:p w14:paraId="6B545A12">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2.25</w:t>
                  </w:r>
                </w:p>
                <w:p w14:paraId="77A5FD85">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E-06</w:t>
                  </w:r>
                </w:p>
              </w:tc>
            </w:tr>
            <w:tr w14:paraId="61BB47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 w:type="pct"/>
                  <w:vMerge w:val="continue"/>
                  <w:noWrap w:val="0"/>
                  <w:vAlign w:val="center"/>
                </w:tcPr>
                <w:p w14:paraId="6620C772">
                  <w:pPr>
                    <w:pStyle w:val="26"/>
                    <w:rPr>
                      <w:rFonts w:hint="eastAsia"/>
                      <w:color w:val="000000" w:themeColor="text1"/>
                      <w:highlight w:val="none"/>
                      <w:lang w:val="en-US" w:eastAsia="zh-CN"/>
                      <w14:textFill>
                        <w14:solidFill>
                          <w14:schemeClr w14:val="tx1"/>
                        </w14:solidFill>
                      </w14:textFill>
                    </w:rPr>
                  </w:pPr>
                </w:p>
              </w:tc>
              <w:tc>
                <w:tcPr>
                  <w:tcW w:w="442" w:type="pct"/>
                  <w:noWrap w:val="0"/>
                  <w:vAlign w:val="center"/>
                </w:tcPr>
                <w:p w14:paraId="63D32F9C">
                  <w:pPr>
                    <w:pStyle w:val="26"/>
                    <w:bidi w:val="0"/>
                    <w:ind w:firstLine="0" w:firstLineChars="0"/>
                    <w:jc w:val="center"/>
                    <w:rPr>
                      <w:rFonts w:hint="eastAsia" w:ascii="Times New Roman" w:hAnsi="Times New Roman" w:cs="Times New Roman"/>
                      <w:color w:val="000000" w:themeColor="text1"/>
                      <w:sz w:val="21"/>
                      <w:szCs w:val="22"/>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颗粒物</w:t>
                  </w:r>
                </w:p>
              </w:tc>
              <w:tc>
                <w:tcPr>
                  <w:tcW w:w="569" w:type="pct"/>
                  <w:noWrap w:val="0"/>
                  <w:vAlign w:val="center"/>
                </w:tcPr>
                <w:p w14:paraId="7195CD22">
                  <w:pPr>
                    <w:pStyle w:val="26"/>
                    <w:bidi w:val="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563" w:type="pct"/>
                  <w:noWrap w:val="0"/>
                  <w:vAlign w:val="center"/>
                </w:tcPr>
                <w:p w14:paraId="5E6289D4">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0.0423</w:t>
                  </w:r>
                </w:p>
              </w:tc>
              <w:tc>
                <w:tcPr>
                  <w:tcW w:w="505" w:type="pct"/>
                  <w:noWrap w:val="0"/>
                  <w:vAlign w:val="center"/>
                </w:tcPr>
                <w:p w14:paraId="31F64737">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0.1270</w:t>
                  </w:r>
                </w:p>
              </w:tc>
              <w:tc>
                <w:tcPr>
                  <w:tcW w:w="406" w:type="pct"/>
                  <w:vMerge w:val="continue"/>
                  <w:noWrap w:val="0"/>
                  <w:vAlign w:val="center"/>
                </w:tcPr>
                <w:p w14:paraId="5CEA9ECA">
                  <w:pPr>
                    <w:pStyle w:val="26"/>
                    <w:bidi w:val="0"/>
                    <w:jc w:val="center"/>
                    <w:rPr>
                      <w:rFonts w:hint="eastAsia"/>
                      <w:color w:val="000000" w:themeColor="text1"/>
                      <w:highlight w:val="none"/>
                      <w:lang w:val="en-US" w:eastAsia="zh-CN"/>
                      <w14:textFill>
                        <w14:solidFill>
                          <w14:schemeClr w14:val="tx1"/>
                        </w14:solidFill>
                      </w14:textFill>
                    </w:rPr>
                  </w:pPr>
                </w:p>
              </w:tc>
              <w:tc>
                <w:tcPr>
                  <w:tcW w:w="493" w:type="pct"/>
                  <w:vMerge w:val="continue"/>
                  <w:noWrap w:val="0"/>
                  <w:vAlign w:val="center"/>
                </w:tcPr>
                <w:p w14:paraId="4D8D4CE6">
                  <w:pPr>
                    <w:pStyle w:val="26"/>
                    <w:bidi w:val="0"/>
                    <w:jc w:val="center"/>
                    <w:rPr>
                      <w:rFonts w:hint="eastAsia"/>
                      <w:color w:val="000000" w:themeColor="text1"/>
                      <w:highlight w:val="none"/>
                      <w:lang w:val="en-US" w:eastAsia="zh-CN"/>
                      <w14:textFill>
                        <w14:solidFill>
                          <w14:schemeClr w14:val="tx1"/>
                        </w14:solidFill>
                      </w14:textFill>
                    </w:rPr>
                  </w:pPr>
                </w:p>
              </w:tc>
              <w:tc>
                <w:tcPr>
                  <w:tcW w:w="587" w:type="pct"/>
                  <w:noWrap w:val="0"/>
                  <w:vAlign w:val="center"/>
                </w:tcPr>
                <w:p w14:paraId="2FAD5C7C">
                  <w:pPr>
                    <w:pStyle w:val="26"/>
                    <w:bidi w:val="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514" w:type="pct"/>
                  <w:noWrap w:val="0"/>
                  <w:vAlign w:val="center"/>
                </w:tcPr>
                <w:p w14:paraId="592E990B">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0.0423</w:t>
                  </w:r>
                </w:p>
              </w:tc>
              <w:tc>
                <w:tcPr>
                  <w:tcW w:w="493" w:type="pct"/>
                  <w:noWrap w:val="0"/>
                  <w:vAlign w:val="center"/>
                </w:tcPr>
                <w:p w14:paraId="011C6147">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0.1270</w:t>
                  </w:r>
                </w:p>
              </w:tc>
            </w:tr>
            <w:tr w14:paraId="6804C2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 w:type="pct"/>
                  <w:vMerge w:val="continue"/>
                  <w:noWrap w:val="0"/>
                  <w:vAlign w:val="center"/>
                </w:tcPr>
                <w:p w14:paraId="30E217F2">
                  <w:pPr>
                    <w:pStyle w:val="26"/>
                    <w:rPr>
                      <w:rFonts w:hint="eastAsia"/>
                      <w:color w:val="000000" w:themeColor="text1"/>
                      <w:highlight w:val="none"/>
                      <w:lang w:val="en-US" w:eastAsia="zh-CN"/>
                      <w14:textFill>
                        <w14:solidFill>
                          <w14:schemeClr w14:val="tx1"/>
                        </w14:solidFill>
                      </w14:textFill>
                    </w:rPr>
                  </w:pPr>
                </w:p>
              </w:tc>
              <w:tc>
                <w:tcPr>
                  <w:tcW w:w="442" w:type="pct"/>
                  <w:noWrap w:val="0"/>
                  <w:vAlign w:val="center"/>
                </w:tcPr>
                <w:p w14:paraId="6409AC08">
                  <w:pPr>
                    <w:pStyle w:val="26"/>
                    <w:bidi w:val="0"/>
                    <w:ind w:firstLine="0" w:firstLineChars="0"/>
                    <w:jc w:val="center"/>
                    <w:rPr>
                      <w:rFonts w:hint="eastAsia" w:ascii="Times New Roman" w:hAnsi="Times New Roman" w:cs="Times New Roman"/>
                      <w:color w:val="000000" w:themeColor="text1"/>
                      <w:sz w:val="21"/>
                      <w:szCs w:val="22"/>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非甲烷总烃</w:t>
                  </w:r>
                </w:p>
              </w:tc>
              <w:tc>
                <w:tcPr>
                  <w:tcW w:w="569" w:type="pct"/>
                  <w:noWrap w:val="0"/>
                  <w:vAlign w:val="center"/>
                </w:tcPr>
                <w:p w14:paraId="2A8433DD">
                  <w:pPr>
                    <w:pStyle w:val="26"/>
                    <w:bidi w:val="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563" w:type="pct"/>
                  <w:noWrap w:val="0"/>
                  <w:vAlign w:val="center"/>
                </w:tcPr>
                <w:p w14:paraId="398866B6">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0.3847</w:t>
                  </w:r>
                </w:p>
              </w:tc>
              <w:tc>
                <w:tcPr>
                  <w:tcW w:w="505" w:type="pct"/>
                  <w:noWrap w:val="0"/>
                  <w:vAlign w:val="center"/>
                </w:tcPr>
                <w:p w14:paraId="1395AE20">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1.2704</w:t>
                  </w:r>
                </w:p>
              </w:tc>
              <w:tc>
                <w:tcPr>
                  <w:tcW w:w="406" w:type="pct"/>
                  <w:vMerge w:val="continue"/>
                  <w:noWrap w:val="0"/>
                  <w:vAlign w:val="center"/>
                </w:tcPr>
                <w:p w14:paraId="1EB6C300">
                  <w:pPr>
                    <w:pStyle w:val="26"/>
                    <w:bidi w:val="0"/>
                    <w:jc w:val="center"/>
                    <w:rPr>
                      <w:rFonts w:hint="eastAsia"/>
                      <w:color w:val="000000" w:themeColor="text1"/>
                      <w:highlight w:val="none"/>
                      <w:lang w:val="en-US" w:eastAsia="zh-CN"/>
                      <w14:textFill>
                        <w14:solidFill>
                          <w14:schemeClr w14:val="tx1"/>
                        </w14:solidFill>
                      </w14:textFill>
                    </w:rPr>
                  </w:pPr>
                </w:p>
              </w:tc>
              <w:tc>
                <w:tcPr>
                  <w:tcW w:w="493" w:type="pct"/>
                  <w:vMerge w:val="continue"/>
                  <w:noWrap w:val="0"/>
                  <w:vAlign w:val="center"/>
                </w:tcPr>
                <w:p w14:paraId="218AE7F5">
                  <w:pPr>
                    <w:pStyle w:val="26"/>
                    <w:bidi w:val="0"/>
                    <w:jc w:val="center"/>
                    <w:rPr>
                      <w:rFonts w:hint="eastAsia"/>
                      <w:color w:val="000000" w:themeColor="text1"/>
                      <w:highlight w:val="none"/>
                      <w:lang w:val="en-US" w:eastAsia="zh-CN"/>
                      <w14:textFill>
                        <w14:solidFill>
                          <w14:schemeClr w14:val="tx1"/>
                        </w14:solidFill>
                      </w14:textFill>
                    </w:rPr>
                  </w:pPr>
                </w:p>
              </w:tc>
              <w:tc>
                <w:tcPr>
                  <w:tcW w:w="587" w:type="pct"/>
                  <w:noWrap w:val="0"/>
                  <w:vAlign w:val="center"/>
                </w:tcPr>
                <w:p w14:paraId="622D44A7">
                  <w:pPr>
                    <w:pStyle w:val="26"/>
                    <w:bidi w:val="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514" w:type="pct"/>
                  <w:noWrap w:val="0"/>
                  <w:vAlign w:val="center"/>
                </w:tcPr>
                <w:p w14:paraId="0151F701">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0.3847</w:t>
                  </w:r>
                </w:p>
              </w:tc>
              <w:tc>
                <w:tcPr>
                  <w:tcW w:w="493" w:type="pct"/>
                  <w:noWrap w:val="0"/>
                  <w:vAlign w:val="center"/>
                </w:tcPr>
                <w:p w14:paraId="3F133232">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1.2704</w:t>
                  </w:r>
                </w:p>
              </w:tc>
            </w:tr>
            <w:tr w14:paraId="353A59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 w:type="pct"/>
                  <w:noWrap w:val="0"/>
                  <w:vAlign w:val="center"/>
                </w:tcPr>
                <w:p w14:paraId="662B2ED9">
                  <w:pPr>
                    <w:pStyle w:val="26"/>
                    <w:rPr>
                      <w:rFonts w:hint="eastAsia"/>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全厂</w:t>
                  </w:r>
                  <w:r>
                    <w:rPr>
                      <w:rFonts w:hint="eastAsia"/>
                      <w:color w:val="000000" w:themeColor="text1"/>
                      <w:highlight w:val="none"/>
                      <w:lang w:val="en-US" w:eastAsia="zh-CN"/>
                      <w14:textFill>
                        <w14:solidFill>
                          <w14:schemeClr w14:val="tx1"/>
                        </w14:solidFill>
                      </w14:textFill>
                    </w:rPr>
                    <w:t>乙醇储罐呼吸废气</w:t>
                  </w:r>
                </w:p>
              </w:tc>
              <w:tc>
                <w:tcPr>
                  <w:tcW w:w="442" w:type="pct"/>
                  <w:noWrap w:val="0"/>
                  <w:vAlign w:val="center"/>
                </w:tcPr>
                <w:p w14:paraId="0B5DBDDC">
                  <w:pPr>
                    <w:pStyle w:val="26"/>
                    <w:bidi w:val="0"/>
                    <w:ind w:firstLine="0" w:firstLineChars="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非甲烷总烃</w:t>
                  </w:r>
                </w:p>
              </w:tc>
              <w:tc>
                <w:tcPr>
                  <w:tcW w:w="569" w:type="pct"/>
                  <w:noWrap w:val="0"/>
                  <w:vAlign w:val="center"/>
                </w:tcPr>
                <w:p w14:paraId="441FC3D3">
                  <w:pPr>
                    <w:pStyle w:val="26"/>
                    <w:bidi w:val="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563" w:type="pct"/>
                  <w:noWrap w:val="0"/>
                  <w:vAlign w:val="center"/>
                </w:tcPr>
                <w:p w14:paraId="4485B601">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0.0002</w:t>
                  </w:r>
                </w:p>
              </w:tc>
              <w:tc>
                <w:tcPr>
                  <w:tcW w:w="505" w:type="pct"/>
                  <w:noWrap w:val="0"/>
                  <w:vAlign w:val="center"/>
                </w:tcPr>
                <w:p w14:paraId="23FA008E">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0.0018</w:t>
                  </w:r>
                </w:p>
              </w:tc>
              <w:tc>
                <w:tcPr>
                  <w:tcW w:w="406" w:type="pct"/>
                  <w:noWrap w:val="0"/>
                  <w:vAlign w:val="center"/>
                </w:tcPr>
                <w:p w14:paraId="26F29FBE">
                  <w:pPr>
                    <w:pStyle w:val="26"/>
                    <w:bidi w:val="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无组织</w:t>
                  </w:r>
                </w:p>
              </w:tc>
              <w:tc>
                <w:tcPr>
                  <w:tcW w:w="493" w:type="pct"/>
                  <w:noWrap w:val="0"/>
                  <w:vAlign w:val="center"/>
                </w:tcPr>
                <w:p w14:paraId="3C6133BB">
                  <w:pPr>
                    <w:pStyle w:val="26"/>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587" w:type="pct"/>
                  <w:noWrap w:val="0"/>
                  <w:vAlign w:val="center"/>
                </w:tcPr>
                <w:p w14:paraId="6966C1DF">
                  <w:pPr>
                    <w:pStyle w:val="26"/>
                    <w:bidi w:val="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514" w:type="pct"/>
                  <w:noWrap w:val="0"/>
                  <w:vAlign w:val="center"/>
                </w:tcPr>
                <w:p w14:paraId="2C877821">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0.0002</w:t>
                  </w:r>
                </w:p>
              </w:tc>
              <w:tc>
                <w:tcPr>
                  <w:tcW w:w="493" w:type="pct"/>
                  <w:noWrap w:val="0"/>
                  <w:vAlign w:val="center"/>
                </w:tcPr>
                <w:p w14:paraId="67A14487">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0.0018</w:t>
                  </w:r>
                </w:p>
              </w:tc>
            </w:tr>
          </w:tbl>
          <w:p w14:paraId="12400B8B">
            <w:pPr>
              <w:pStyle w:val="30"/>
              <w:bidi w:val="0"/>
              <w:rPr>
                <w:rFonts w:hint="eastAsia"/>
                <w:color w:val="000000" w:themeColor="text1"/>
                <w:highlight w:val="none"/>
                <w14:textFill>
                  <w14:solidFill>
                    <w14:schemeClr w14:val="tx1"/>
                  </w14:solidFill>
                </w14:textFill>
              </w:rPr>
            </w:pPr>
            <w:bookmarkStart w:id="170" w:name="_Ref24194"/>
            <w:r>
              <w:rPr>
                <w:rFonts w:hint="eastAsia"/>
                <w:color w:val="000000" w:themeColor="text1"/>
                <w:highlight w:val="none"/>
                <w14:textFill>
                  <w14:solidFill>
                    <w14:schemeClr w14:val="tx1"/>
                  </w14:solidFill>
                </w14:textFill>
              </w:rPr>
              <w:t>治理设施一览表</w:t>
            </w:r>
            <w:bookmarkEnd w:id="169"/>
            <w:bookmarkEnd w:id="170"/>
          </w:p>
          <w:tbl>
            <w:tblPr>
              <w:tblStyle w:val="1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4"/>
              <w:gridCol w:w="1294"/>
              <w:gridCol w:w="1008"/>
              <w:gridCol w:w="967"/>
              <w:gridCol w:w="898"/>
              <w:gridCol w:w="887"/>
              <w:gridCol w:w="995"/>
              <w:gridCol w:w="1011"/>
            </w:tblGrid>
            <w:tr w14:paraId="12A87F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9" w:type="pct"/>
                  <w:vMerge w:val="restart"/>
                  <w:noWrap w:val="0"/>
                  <w:vAlign w:val="center"/>
                </w:tcPr>
                <w:p w14:paraId="7B862956">
                  <w:pPr>
                    <w:pStyle w:val="2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产污环节</w:t>
                  </w:r>
                </w:p>
              </w:tc>
              <w:tc>
                <w:tcPr>
                  <w:tcW w:w="779" w:type="pct"/>
                  <w:vMerge w:val="restart"/>
                  <w:noWrap w:val="0"/>
                  <w:vAlign w:val="center"/>
                </w:tcPr>
                <w:p w14:paraId="0CBED91C">
                  <w:pPr>
                    <w:pStyle w:val="26"/>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污染物</w:t>
                  </w:r>
                </w:p>
              </w:tc>
              <w:tc>
                <w:tcPr>
                  <w:tcW w:w="3471" w:type="pct"/>
                  <w:gridSpan w:val="6"/>
                  <w:noWrap w:val="0"/>
                  <w:vAlign w:val="center"/>
                </w:tcPr>
                <w:p w14:paraId="51A292FC">
                  <w:pPr>
                    <w:pStyle w:val="2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治理设施</w:t>
                  </w:r>
                </w:p>
              </w:tc>
            </w:tr>
            <w:tr w14:paraId="2C12CC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9" w:type="pct"/>
                  <w:vMerge w:val="continue"/>
                  <w:noWrap w:val="0"/>
                  <w:vAlign w:val="center"/>
                </w:tcPr>
                <w:p w14:paraId="33E70352">
                  <w:pPr>
                    <w:pStyle w:val="26"/>
                    <w:rPr>
                      <w:rFonts w:hint="eastAsia"/>
                      <w:color w:val="000000" w:themeColor="text1"/>
                      <w:highlight w:val="none"/>
                      <w14:textFill>
                        <w14:solidFill>
                          <w14:schemeClr w14:val="tx1"/>
                        </w14:solidFill>
                      </w14:textFill>
                    </w:rPr>
                  </w:pPr>
                </w:p>
              </w:tc>
              <w:tc>
                <w:tcPr>
                  <w:tcW w:w="779" w:type="pct"/>
                  <w:vMerge w:val="continue"/>
                  <w:noWrap w:val="0"/>
                  <w:vAlign w:val="center"/>
                </w:tcPr>
                <w:p w14:paraId="7A301E81">
                  <w:pPr>
                    <w:pStyle w:val="26"/>
                    <w:rPr>
                      <w:rFonts w:hint="eastAsia"/>
                      <w:color w:val="000000" w:themeColor="text1"/>
                      <w:highlight w:val="none"/>
                      <w14:textFill>
                        <w14:solidFill>
                          <w14:schemeClr w14:val="tx1"/>
                        </w14:solidFill>
                      </w14:textFill>
                    </w:rPr>
                  </w:pPr>
                </w:p>
              </w:tc>
              <w:tc>
                <w:tcPr>
                  <w:tcW w:w="607" w:type="pct"/>
                  <w:noWrap w:val="0"/>
                  <w:vAlign w:val="center"/>
                </w:tcPr>
                <w:p w14:paraId="3C1C4FB5">
                  <w:pPr>
                    <w:pStyle w:val="2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设施名称/处理工艺</w:t>
                  </w:r>
                </w:p>
              </w:tc>
              <w:tc>
                <w:tcPr>
                  <w:tcW w:w="582" w:type="pct"/>
                  <w:noWrap w:val="0"/>
                  <w:vAlign w:val="center"/>
                </w:tcPr>
                <w:p w14:paraId="6E905C19">
                  <w:pPr>
                    <w:pStyle w:val="2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处理能力(m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/h)</w:t>
                  </w:r>
                </w:p>
              </w:tc>
              <w:tc>
                <w:tcPr>
                  <w:tcW w:w="541" w:type="pct"/>
                  <w:noWrap w:val="0"/>
                  <w:vAlign w:val="center"/>
                </w:tcPr>
                <w:p w14:paraId="6739D5EA">
                  <w:pPr>
                    <w:pStyle w:val="2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收集效率(%)</w:t>
                  </w:r>
                </w:p>
              </w:tc>
              <w:tc>
                <w:tcPr>
                  <w:tcW w:w="534" w:type="pct"/>
                  <w:noWrap w:val="0"/>
                  <w:vAlign w:val="center"/>
                </w:tcPr>
                <w:p w14:paraId="694C8246">
                  <w:pPr>
                    <w:pStyle w:val="2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去除效率(%)</w:t>
                  </w:r>
                </w:p>
              </w:tc>
              <w:tc>
                <w:tcPr>
                  <w:tcW w:w="599" w:type="pct"/>
                  <w:noWrap w:val="0"/>
                  <w:vAlign w:val="center"/>
                </w:tcPr>
                <w:p w14:paraId="571CAA4A">
                  <w:pPr>
                    <w:pStyle w:val="2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排气筒编号</w:t>
                  </w:r>
                </w:p>
              </w:tc>
              <w:tc>
                <w:tcPr>
                  <w:tcW w:w="605" w:type="pct"/>
                  <w:noWrap w:val="0"/>
                  <w:vAlign w:val="center"/>
                </w:tcPr>
                <w:p w14:paraId="02878545">
                  <w:pPr>
                    <w:pStyle w:val="26"/>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是否为可行性技术</w:t>
                  </w:r>
                </w:p>
              </w:tc>
            </w:tr>
            <w:tr w14:paraId="75591E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9" w:type="pct"/>
                  <w:vMerge w:val="restart"/>
                  <w:noWrap w:val="0"/>
                  <w:vAlign w:val="center"/>
                </w:tcPr>
                <w:p w14:paraId="29D995BD">
                  <w:pPr>
                    <w:pStyle w:val="26"/>
                    <w:ind w:firstLine="0" w:firstLineChars="0"/>
                    <w:rPr>
                      <w:rFonts w:hint="default" w:ascii="Times New Roman" w:hAnsi="Times New Roman" w:eastAsia="宋体"/>
                      <w:color w:val="000000" w:themeColor="text1"/>
                      <w:kern w:val="2"/>
                      <w:sz w:val="21"/>
                      <w:szCs w:val="22"/>
                      <w:highlight w:val="none"/>
                      <w:lang w:val="en-US" w:eastAsia="zh-CN" w:bidi="ar-SA"/>
                      <w14:textFill>
                        <w14:solidFill>
                          <w14:schemeClr w14:val="tx1"/>
                        </w14:solidFill>
                      </w14:textFill>
                    </w:rPr>
                  </w:pPr>
                  <w:r>
                    <w:rPr>
                      <w:rFonts w:hint="eastAsia" w:eastAsia="宋体"/>
                      <w:b/>
                      <w:bCs/>
                      <w:color w:val="000000" w:themeColor="text1"/>
                      <w:highlight w:val="none"/>
                      <w:lang w:val="en-US" w:eastAsia="zh-CN"/>
                      <w14:textFill>
                        <w14:solidFill>
                          <w14:schemeClr w14:val="tx1"/>
                        </w14:solidFill>
                      </w14:textFill>
                    </w:rPr>
                    <w:t>一期工程</w:t>
                  </w:r>
                  <w:r>
                    <w:rPr>
                      <w:rFonts w:hint="eastAsia" w:eastAsia="宋体"/>
                      <w:color w:val="000000" w:themeColor="text1"/>
                      <w:highlight w:val="none"/>
                      <w:lang w:val="en-US" w:eastAsia="zh-CN"/>
                      <w14:textFill>
                        <w14:solidFill>
                          <w14:schemeClr w14:val="tx1"/>
                        </w14:solidFill>
                      </w14:textFill>
                    </w:rPr>
                    <w:t>（烘干、引弧放电、包覆、碳化）</w:t>
                  </w:r>
                </w:p>
              </w:tc>
              <w:tc>
                <w:tcPr>
                  <w:tcW w:w="779" w:type="pct"/>
                  <w:noWrap w:val="0"/>
                  <w:vAlign w:val="center"/>
                </w:tcPr>
                <w:p w14:paraId="4FFAC8FF">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沥青烟</w:t>
                  </w:r>
                </w:p>
              </w:tc>
              <w:tc>
                <w:tcPr>
                  <w:tcW w:w="607" w:type="pct"/>
                  <w:vMerge w:val="restart"/>
                  <w:noWrap w:val="0"/>
                  <w:vAlign w:val="center"/>
                </w:tcPr>
                <w:p w14:paraId="6ABBB05A">
                  <w:pPr>
                    <w:pStyle w:val="26"/>
                    <w:jc w:val="center"/>
                    <w:rPr>
                      <w:rFonts w:hint="default" w:eastAsia="宋体"/>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布袋除尘+两级活性炭吸附装置</w:t>
                  </w:r>
                </w:p>
              </w:tc>
              <w:tc>
                <w:tcPr>
                  <w:tcW w:w="582" w:type="pct"/>
                  <w:vMerge w:val="restart"/>
                  <w:noWrap w:val="0"/>
                  <w:vAlign w:val="center"/>
                </w:tcPr>
                <w:p w14:paraId="35675717">
                  <w:pPr>
                    <w:pStyle w:val="26"/>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10000</w:t>
                  </w:r>
                </w:p>
              </w:tc>
              <w:tc>
                <w:tcPr>
                  <w:tcW w:w="541" w:type="pct"/>
                  <w:vMerge w:val="restart"/>
                  <w:noWrap w:val="0"/>
                  <w:vAlign w:val="center"/>
                </w:tcPr>
                <w:p w14:paraId="0F058C25">
                  <w:pPr>
                    <w:pStyle w:val="26"/>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98</w:t>
                  </w:r>
                </w:p>
              </w:tc>
              <w:tc>
                <w:tcPr>
                  <w:tcW w:w="534" w:type="pct"/>
                  <w:noWrap w:val="0"/>
                  <w:vAlign w:val="center"/>
                </w:tcPr>
                <w:p w14:paraId="70FEA43C">
                  <w:pPr>
                    <w:pStyle w:val="26"/>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85</w:t>
                  </w:r>
                </w:p>
              </w:tc>
              <w:tc>
                <w:tcPr>
                  <w:tcW w:w="599" w:type="pct"/>
                  <w:vMerge w:val="restart"/>
                  <w:noWrap w:val="0"/>
                  <w:vAlign w:val="center"/>
                </w:tcPr>
                <w:p w14:paraId="7CF01A9D">
                  <w:pPr>
                    <w:pStyle w:val="26"/>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DA001</w:t>
                  </w:r>
                </w:p>
              </w:tc>
              <w:tc>
                <w:tcPr>
                  <w:tcW w:w="605" w:type="pct"/>
                  <w:vMerge w:val="restart"/>
                  <w:noWrap w:val="0"/>
                  <w:vAlign w:val="center"/>
                </w:tcPr>
                <w:p w14:paraId="187A6979">
                  <w:pPr>
                    <w:pStyle w:val="26"/>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是</w:t>
                  </w:r>
                </w:p>
              </w:tc>
            </w:tr>
            <w:tr w14:paraId="618FE2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9" w:type="pct"/>
                  <w:vMerge w:val="continue"/>
                  <w:noWrap w:val="0"/>
                  <w:vAlign w:val="center"/>
                </w:tcPr>
                <w:p w14:paraId="44EC94CD">
                  <w:pPr>
                    <w:pStyle w:val="26"/>
                    <w:ind w:firstLine="0" w:firstLineChars="0"/>
                    <w:rPr>
                      <w:rFonts w:hint="eastAsia" w:eastAsia="宋体"/>
                      <w:b/>
                      <w:bCs/>
                      <w:color w:val="000000" w:themeColor="text1"/>
                      <w:highlight w:val="none"/>
                      <w:lang w:val="en-US" w:eastAsia="zh-CN"/>
                      <w14:textFill>
                        <w14:solidFill>
                          <w14:schemeClr w14:val="tx1"/>
                        </w14:solidFill>
                      </w14:textFill>
                    </w:rPr>
                  </w:pPr>
                </w:p>
              </w:tc>
              <w:tc>
                <w:tcPr>
                  <w:tcW w:w="779" w:type="pct"/>
                  <w:noWrap w:val="0"/>
                  <w:vAlign w:val="center"/>
                </w:tcPr>
                <w:p w14:paraId="6F9295BE">
                  <w:pPr>
                    <w:pStyle w:val="26"/>
                    <w:bidi w:val="0"/>
                    <w:ind w:firstLine="0" w:firstLineChars="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苯并[a]芘</w:t>
                  </w:r>
                </w:p>
              </w:tc>
              <w:tc>
                <w:tcPr>
                  <w:tcW w:w="607" w:type="pct"/>
                  <w:vMerge w:val="continue"/>
                  <w:noWrap w:val="0"/>
                  <w:vAlign w:val="center"/>
                </w:tcPr>
                <w:p w14:paraId="5D255CDF">
                  <w:pPr>
                    <w:pStyle w:val="26"/>
                    <w:jc w:val="center"/>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582" w:type="pct"/>
                  <w:vMerge w:val="continue"/>
                  <w:noWrap w:val="0"/>
                  <w:vAlign w:val="center"/>
                </w:tcPr>
                <w:p w14:paraId="3E386877">
                  <w:pPr>
                    <w:pStyle w:val="26"/>
                    <w:rPr>
                      <w:rFonts w:hint="eastAsia" w:eastAsia="宋体"/>
                      <w:color w:val="000000" w:themeColor="text1"/>
                      <w:highlight w:val="none"/>
                      <w:lang w:val="en-US" w:eastAsia="zh-CN"/>
                      <w14:textFill>
                        <w14:solidFill>
                          <w14:schemeClr w14:val="tx1"/>
                        </w14:solidFill>
                      </w14:textFill>
                    </w:rPr>
                  </w:pPr>
                </w:p>
              </w:tc>
              <w:tc>
                <w:tcPr>
                  <w:tcW w:w="541" w:type="pct"/>
                  <w:vMerge w:val="continue"/>
                  <w:noWrap w:val="0"/>
                  <w:vAlign w:val="center"/>
                </w:tcPr>
                <w:p w14:paraId="32568538">
                  <w:pPr>
                    <w:pStyle w:val="26"/>
                    <w:rPr>
                      <w:rFonts w:hint="default" w:eastAsia="宋体"/>
                      <w:color w:val="000000" w:themeColor="text1"/>
                      <w:highlight w:val="none"/>
                      <w:lang w:val="en-US" w:eastAsia="zh-CN"/>
                      <w14:textFill>
                        <w14:solidFill>
                          <w14:schemeClr w14:val="tx1"/>
                        </w14:solidFill>
                      </w14:textFill>
                    </w:rPr>
                  </w:pPr>
                </w:p>
              </w:tc>
              <w:tc>
                <w:tcPr>
                  <w:tcW w:w="534" w:type="pct"/>
                  <w:noWrap w:val="0"/>
                  <w:vAlign w:val="center"/>
                </w:tcPr>
                <w:p w14:paraId="7ABF261A">
                  <w:pPr>
                    <w:pStyle w:val="26"/>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85</w:t>
                  </w:r>
                </w:p>
              </w:tc>
              <w:tc>
                <w:tcPr>
                  <w:tcW w:w="599" w:type="pct"/>
                  <w:vMerge w:val="continue"/>
                  <w:noWrap w:val="0"/>
                  <w:vAlign w:val="center"/>
                </w:tcPr>
                <w:p w14:paraId="3036955E">
                  <w:pPr>
                    <w:pStyle w:val="26"/>
                    <w:rPr>
                      <w:rFonts w:hint="eastAsia" w:eastAsia="宋体"/>
                      <w:color w:val="000000" w:themeColor="text1"/>
                      <w:highlight w:val="none"/>
                      <w:lang w:val="en-US" w:eastAsia="zh-CN"/>
                      <w14:textFill>
                        <w14:solidFill>
                          <w14:schemeClr w14:val="tx1"/>
                        </w14:solidFill>
                      </w14:textFill>
                    </w:rPr>
                  </w:pPr>
                </w:p>
              </w:tc>
              <w:tc>
                <w:tcPr>
                  <w:tcW w:w="605" w:type="pct"/>
                  <w:vMerge w:val="continue"/>
                  <w:noWrap w:val="0"/>
                  <w:vAlign w:val="center"/>
                </w:tcPr>
                <w:p w14:paraId="42A67645">
                  <w:pPr>
                    <w:pStyle w:val="26"/>
                    <w:rPr>
                      <w:rFonts w:hint="eastAsia"/>
                      <w:color w:val="000000" w:themeColor="text1"/>
                      <w:highlight w:val="none"/>
                      <w14:textFill>
                        <w14:solidFill>
                          <w14:schemeClr w14:val="tx1"/>
                        </w14:solidFill>
                      </w14:textFill>
                    </w:rPr>
                  </w:pPr>
                </w:p>
              </w:tc>
            </w:tr>
            <w:tr w14:paraId="7982AC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9" w:type="pct"/>
                  <w:vMerge w:val="continue"/>
                  <w:noWrap w:val="0"/>
                  <w:vAlign w:val="center"/>
                </w:tcPr>
                <w:p w14:paraId="1497C7EB">
                  <w:pPr>
                    <w:pStyle w:val="26"/>
                    <w:ind w:firstLine="0" w:firstLineChars="0"/>
                    <w:rPr>
                      <w:rFonts w:hint="eastAsia" w:eastAsia="宋体"/>
                      <w:b/>
                      <w:bCs/>
                      <w:color w:val="000000" w:themeColor="text1"/>
                      <w:highlight w:val="none"/>
                      <w:lang w:val="en-US" w:eastAsia="zh-CN"/>
                      <w14:textFill>
                        <w14:solidFill>
                          <w14:schemeClr w14:val="tx1"/>
                        </w14:solidFill>
                      </w14:textFill>
                    </w:rPr>
                  </w:pPr>
                </w:p>
              </w:tc>
              <w:tc>
                <w:tcPr>
                  <w:tcW w:w="779" w:type="pct"/>
                  <w:noWrap w:val="0"/>
                  <w:vAlign w:val="center"/>
                </w:tcPr>
                <w:p w14:paraId="2D95CA81">
                  <w:pPr>
                    <w:pStyle w:val="26"/>
                    <w:bidi w:val="0"/>
                    <w:ind w:firstLine="0" w:firstLineChars="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颗粒物</w:t>
                  </w:r>
                </w:p>
              </w:tc>
              <w:tc>
                <w:tcPr>
                  <w:tcW w:w="607" w:type="pct"/>
                  <w:vMerge w:val="continue"/>
                  <w:noWrap w:val="0"/>
                  <w:vAlign w:val="center"/>
                </w:tcPr>
                <w:p w14:paraId="27B8828B">
                  <w:pPr>
                    <w:pStyle w:val="26"/>
                    <w:jc w:val="center"/>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582" w:type="pct"/>
                  <w:vMerge w:val="continue"/>
                  <w:noWrap w:val="0"/>
                  <w:vAlign w:val="center"/>
                </w:tcPr>
                <w:p w14:paraId="3472BFA0">
                  <w:pPr>
                    <w:pStyle w:val="26"/>
                    <w:rPr>
                      <w:rFonts w:hint="eastAsia" w:eastAsia="宋体"/>
                      <w:color w:val="000000" w:themeColor="text1"/>
                      <w:highlight w:val="none"/>
                      <w:lang w:val="en-US" w:eastAsia="zh-CN"/>
                      <w14:textFill>
                        <w14:solidFill>
                          <w14:schemeClr w14:val="tx1"/>
                        </w14:solidFill>
                      </w14:textFill>
                    </w:rPr>
                  </w:pPr>
                </w:p>
              </w:tc>
              <w:tc>
                <w:tcPr>
                  <w:tcW w:w="541" w:type="pct"/>
                  <w:vMerge w:val="continue"/>
                  <w:noWrap w:val="0"/>
                  <w:vAlign w:val="center"/>
                </w:tcPr>
                <w:p w14:paraId="58E09ABC">
                  <w:pPr>
                    <w:pStyle w:val="26"/>
                    <w:rPr>
                      <w:rFonts w:hint="default" w:eastAsia="宋体"/>
                      <w:color w:val="000000" w:themeColor="text1"/>
                      <w:highlight w:val="none"/>
                      <w:lang w:val="en-US" w:eastAsia="zh-CN"/>
                      <w14:textFill>
                        <w14:solidFill>
                          <w14:schemeClr w14:val="tx1"/>
                        </w14:solidFill>
                      </w14:textFill>
                    </w:rPr>
                  </w:pPr>
                </w:p>
              </w:tc>
              <w:tc>
                <w:tcPr>
                  <w:tcW w:w="534" w:type="pct"/>
                  <w:noWrap w:val="0"/>
                  <w:vAlign w:val="center"/>
                </w:tcPr>
                <w:p w14:paraId="6B91BE42">
                  <w:pPr>
                    <w:pStyle w:val="26"/>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99</w:t>
                  </w:r>
                </w:p>
              </w:tc>
              <w:tc>
                <w:tcPr>
                  <w:tcW w:w="599" w:type="pct"/>
                  <w:vMerge w:val="continue"/>
                  <w:noWrap w:val="0"/>
                  <w:vAlign w:val="center"/>
                </w:tcPr>
                <w:p w14:paraId="498FA92A">
                  <w:pPr>
                    <w:pStyle w:val="26"/>
                    <w:rPr>
                      <w:rFonts w:hint="eastAsia" w:eastAsia="宋体"/>
                      <w:color w:val="000000" w:themeColor="text1"/>
                      <w:highlight w:val="none"/>
                      <w:lang w:val="en-US" w:eastAsia="zh-CN"/>
                      <w14:textFill>
                        <w14:solidFill>
                          <w14:schemeClr w14:val="tx1"/>
                        </w14:solidFill>
                      </w14:textFill>
                    </w:rPr>
                  </w:pPr>
                </w:p>
              </w:tc>
              <w:tc>
                <w:tcPr>
                  <w:tcW w:w="605" w:type="pct"/>
                  <w:vMerge w:val="continue"/>
                  <w:noWrap w:val="0"/>
                  <w:vAlign w:val="center"/>
                </w:tcPr>
                <w:p w14:paraId="7A0C31C3">
                  <w:pPr>
                    <w:pStyle w:val="26"/>
                    <w:rPr>
                      <w:rFonts w:hint="eastAsia"/>
                      <w:color w:val="000000" w:themeColor="text1"/>
                      <w:highlight w:val="none"/>
                      <w14:textFill>
                        <w14:solidFill>
                          <w14:schemeClr w14:val="tx1"/>
                        </w14:solidFill>
                      </w14:textFill>
                    </w:rPr>
                  </w:pPr>
                </w:p>
              </w:tc>
            </w:tr>
            <w:tr w14:paraId="5991C5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9" w:type="pct"/>
                  <w:vMerge w:val="continue"/>
                  <w:noWrap w:val="0"/>
                  <w:vAlign w:val="center"/>
                </w:tcPr>
                <w:p w14:paraId="7DE6B4B1">
                  <w:pPr>
                    <w:pStyle w:val="26"/>
                    <w:ind w:firstLine="0" w:firstLineChars="0"/>
                    <w:rPr>
                      <w:rFonts w:hint="eastAsia" w:eastAsia="宋体"/>
                      <w:b/>
                      <w:bCs/>
                      <w:color w:val="000000" w:themeColor="text1"/>
                      <w:highlight w:val="none"/>
                      <w:lang w:val="en-US" w:eastAsia="zh-CN"/>
                      <w14:textFill>
                        <w14:solidFill>
                          <w14:schemeClr w14:val="tx1"/>
                        </w14:solidFill>
                      </w14:textFill>
                    </w:rPr>
                  </w:pPr>
                </w:p>
              </w:tc>
              <w:tc>
                <w:tcPr>
                  <w:tcW w:w="779" w:type="pct"/>
                  <w:noWrap w:val="0"/>
                  <w:vAlign w:val="center"/>
                </w:tcPr>
                <w:p w14:paraId="65991A73">
                  <w:pPr>
                    <w:pStyle w:val="26"/>
                    <w:bidi w:val="0"/>
                    <w:ind w:firstLine="0" w:firstLineChars="0"/>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非甲烷总烃</w:t>
                  </w:r>
                </w:p>
              </w:tc>
              <w:tc>
                <w:tcPr>
                  <w:tcW w:w="607" w:type="pct"/>
                  <w:vMerge w:val="continue"/>
                  <w:noWrap w:val="0"/>
                  <w:vAlign w:val="center"/>
                </w:tcPr>
                <w:p w14:paraId="463FE12E">
                  <w:pPr>
                    <w:pStyle w:val="26"/>
                    <w:jc w:val="center"/>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582" w:type="pct"/>
                  <w:vMerge w:val="continue"/>
                  <w:noWrap w:val="0"/>
                  <w:vAlign w:val="center"/>
                </w:tcPr>
                <w:p w14:paraId="00736866">
                  <w:pPr>
                    <w:pStyle w:val="26"/>
                    <w:rPr>
                      <w:rFonts w:hint="eastAsia" w:eastAsia="宋体"/>
                      <w:color w:val="000000" w:themeColor="text1"/>
                      <w:highlight w:val="none"/>
                      <w:lang w:val="en-US" w:eastAsia="zh-CN"/>
                      <w14:textFill>
                        <w14:solidFill>
                          <w14:schemeClr w14:val="tx1"/>
                        </w14:solidFill>
                      </w14:textFill>
                    </w:rPr>
                  </w:pPr>
                </w:p>
              </w:tc>
              <w:tc>
                <w:tcPr>
                  <w:tcW w:w="541" w:type="pct"/>
                  <w:vMerge w:val="continue"/>
                  <w:noWrap w:val="0"/>
                  <w:vAlign w:val="center"/>
                </w:tcPr>
                <w:p w14:paraId="238FD4C0">
                  <w:pPr>
                    <w:pStyle w:val="26"/>
                    <w:rPr>
                      <w:rFonts w:hint="default" w:eastAsia="宋体"/>
                      <w:color w:val="000000" w:themeColor="text1"/>
                      <w:highlight w:val="none"/>
                      <w:lang w:val="en-US" w:eastAsia="zh-CN"/>
                      <w14:textFill>
                        <w14:solidFill>
                          <w14:schemeClr w14:val="tx1"/>
                        </w14:solidFill>
                      </w14:textFill>
                    </w:rPr>
                  </w:pPr>
                </w:p>
              </w:tc>
              <w:tc>
                <w:tcPr>
                  <w:tcW w:w="534" w:type="pct"/>
                  <w:noWrap w:val="0"/>
                  <w:vAlign w:val="center"/>
                </w:tcPr>
                <w:p w14:paraId="3BC5FC72">
                  <w:pPr>
                    <w:pStyle w:val="26"/>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80</w:t>
                  </w:r>
                </w:p>
              </w:tc>
              <w:tc>
                <w:tcPr>
                  <w:tcW w:w="599" w:type="pct"/>
                  <w:vMerge w:val="continue"/>
                  <w:noWrap w:val="0"/>
                  <w:vAlign w:val="center"/>
                </w:tcPr>
                <w:p w14:paraId="242B3DAA">
                  <w:pPr>
                    <w:pStyle w:val="26"/>
                    <w:rPr>
                      <w:rFonts w:hint="eastAsia" w:eastAsia="宋体"/>
                      <w:color w:val="000000" w:themeColor="text1"/>
                      <w:highlight w:val="none"/>
                      <w:lang w:val="en-US" w:eastAsia="zh-CN"/>
                      <w14:textFill>
                        <w14:solidFill>
                          <w14:schemeClr w14:val="tx1"/>
                        </w14:solidFill>
                      </w14:textFill>
                    </w:rPr>
                  </w:pPr>
                </w:p>
              </w:tc>
              <w:tc>
                <w:tcPr>
                  <w:tcW w:w="605" w:type="pct"/>
                  <w:vMerge w:val="continue"/>
                  <w:noWrap w:val="0"/>
                  <w:vAlign w:val="center"/>
                </w:tcPr>
                <w:p w14:paraId="3955212C">
                  <w:pPr>
                    <w:pStyle w:val="26"/>
                    <w:rPr>
                      <w:rFonts w:hint="eastAsia"/>
                      <w:color w:val="000000" w:themeColor="text1"/>
                      <w:highlight w:val="none"/>
                      <w14:textFill>
                        <w14:solidFill>
                          <w14:schemeClr w14:val="tx1"/>
                        </w14:solidFill>
                      </w14:textFill>
                    </w:rPr>
                  </w:pPr>
                </w:p>
              </w:tc>
            </w:tr>
            <w:tr w14:paraId="3B4623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9" w:type="pct"/>
                  <w:vMerge w:val="restart"/>
                  <w:noWrap w:val="0"/>
                  <w:vAlign w:val="center"/>
                </w:tcPr>
                <w:p w14:paraId="1DAF3D3A">
                  <w:pPr>
                    <w:pStyle w:val="26"/>
                    <w:ind w:firstLine="0" w:firstLineChars="0"/>
                    <w:rPr>
                      <w:rFonts w:hint="default" w:ascii="Times New Roman" w:hAnsi="Times New Roman" w:eastAsia="宋体"/>
                      <w:color w:val="000000" w:themeColor="text1"/>
                      <w:kern w:val="2"/>
                      <w:sz w:val="21"/>
                      <w:szCs w:val="22"/>
                      <w:highlight w:val="none"/>
                      <w:lang w:val="en-US" w:eastAsia="zh-CN" w:bidi="ar-SA"/>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二期建成后全厂</w:t>
                  </w:r>
                  <w:r>
                    <w:rPr>
                      <w:rFonts w:hint="eastAsia" w:eastAsia="宋体"/>
                      <w:color w:val="000000" w:themeColor="text1"/>
                      <w:highlight w:val="none"/>
                      <w:lang w:val="en-US" w:eastAsia="zh-CN"/>
                      <w14:textFill>
                        <w14:solidFill>
                          <w14:schemeClr w14:val="tx1"/>
                        </w14:solidFill>
                      </w14:textFill>
                    </w:rPr>
                    <w:t>（烘干、引弧放电、包覆、碳化）</w:t>
                  </w:r>
                </w:p>
              </w:tc>
              <w:tc>
                <w:tcPr>
                  <w:tcW w:w="779" w:type="pct"/>
                  <w:noWrap w:val="0"/>
                  <w:vAlign w:val="center"/>
                </w:tcPr>
                <w:p w14:paraId="755135B2">
                  <w:pPr>
                    <w:pStyle w:val="26"/>
                    <w:bidi w:val="0"/>
                    <w:ind w:firstLine="0" w:firstLineChars="0"/>
                    <w:jc w:val="center"/>
                    <w:rPr>
                      <w:rFonts w:hint="default" w:ascii="Times New Roman" w:hAnsi="Times New Roman" w:cs="Times New Roman"/>
                      <w:color w:val="000000" w:themeColor="text1"/>
                      <w:sz w:val="21"/>
                      <w:szCs w:val="22"/>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沥青烟</w:t>
                  </w:r>
                </w:p>
              </w:tc>
              <w:tc>
                <w:tcPr>
                  <w:tcW w:w="607" w:type="pct"/>
                  <w:vMerge w:val="restart"/>
                  <w:noWrap w:val="0"/>
                  <w:vAlign w:val="center"/>
                </w:tcPr>
                <w:p w14:paraId="1BC856E3">
                  <w:pPr>
                    <w:pStyle w:val="26"/>
                    <w:rPr>
                      <w:rFonts w:hint="default" w:eastAsia="宋体"/>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布袋除尘+RCO</w:t>
                  </w:r>
                </w:p>
              </w:tc>
              <w:tc>
                <w:tcPr>
                  <w:tcW w:w="582" w:type="pct"/>
                  <w:vMerge w:val="restart"/>
                  <w:noWrap w:val="0"/>
                  <w:vAlign w:val="center"/>
                </w:tcPr>
                <w:p w14:paraId="0D555F81">
                  <w:pPr>
                    <w:pStyle w:val="26"/>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8</w:t>
                  </w:r>
                  <w:r>
                    <w:rPr>
                      <w:rFonts w:hint="eastAsia" w:eastAsia="宋体"/>
                      <w:color w:val="000000" w:themeColor="text1"/>
                      <w:highlight w:val="none"/>
                      <w:lang w:val="en-US" w:eastAsia="zh-CN"/>
                      <w14:textFill>
                        <w14:solidFill>
                          <w14:schemeClr w14:val="tx1"/>
                        </w14:solidFill>
                      </w14:textFill>
                    </w:rPr>
                    <w:t>000</w:t>
                  </w:r>
                </w:p>
              </w:tc>
              <w:tc>
                <w:tcPr>
                  <w:tcW w:w="541" w:type="pct"/>
                  <w:vMerge w:val="restart"/>
                  <w:noWrap w:val="0"/>
                  <w:vAlign w:val="center"/>
                </w:tcPr>
                <w:p w14:paraId="7830DEE3">
                  <w:pPr>
                    <w:pStyle w:val="26"/>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98</w:t>
                  </w:r>
                </w:p>
              </w:tc>
              <w:tc>
                <w:tcPr>
                  <w:tcW w:w="534" w:type="pct"/>
                  <w:noWrap w:val="0"/>
                  <w:vAlign w:val="center"/>
                </w:tcPr>
                <w:p w14:paraId="14457AB6">
                  <w:pPr>
                    <w:pStyle w:val="26"/>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95</w:t>
                  </w:r>
                </w:p>
              </w:tc>
              <w:tc>
                <w:tcPr>
                  <w:tcW w:w="599" w:type="pct"/>
                  <w:vMerge w:val="restart"/>
                  <w:noWrap w:val="0"/>
                  <w:vAlign w:val="center"/>
                </w:tcPr>
                <w:p w14:paraId="0E05CA1B">
                  <w:pPr>
                    <w:pStyle w:val="26"/>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*DA001</w:t>
                  </w:r>
                </w:p>
              </w:tc>
              <w:tc>
                <w:tcPr>
                  <w:tcW w:w="605" w:type="pct"/>
                  <w:vMerge w:val="restart"/>
                  <w:noWrap w:val="0"/>
                  <w:vAlign w:val="center"/>
                </w:tcPr>
                <w:p w14:paraId="1FF72D43">
                  <w:pPr>
                    <w:pStyle w:val="26"/>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是</w:t>
                  </w:r>
                </w:p>
              </w:tc>
            </w:tr>
            <w:tr w14:paraId="3E17A1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9" w:type="pct"/>
                  <w:vMerge w:val="continue"/>
                  <w:noWrap w:val="0"/>
                  <w:vAlign w:val="center"/>
                </w:tcPr>
                <w:p w14:paraId="1C98F06D">
                  <w:pPr>
                    <w:pStyle w:val="26"/>
                    <w:ind w:firstLine="0" w:firstLineChars="0"/>
                    <w:rPr>
                      <w:rFonts w:hint="default" w:ascii="Times New Roman" w:hAnsi="Times New Roman" w:eastAsia="宋体"/>
                      <w:color w:val="000000" w:themeColor="text1"/>
                      <w:kern w:val="2"/>
                      <w:sz w:val="21"/>
                      <w:szCs w:val="22"/>
                      <w:highlight w:val="none"/>
                      <w:lang w:val="en-US" w:eastAsia="zh-CN" w:bidi="ar-SA"/>
                      <w14:textFill>
                        <w14:solidFill>
                          <w14:schemeClr w14:val="tx1"/>
                        </w14:solidFill>
                      </w14:textFill>
                    </w:rPr>
                  </w:pPr>
                </w:p>
              </w:tc>
              <w:tc>
                <w:tcPr>
                  <w:tcW w:w="779" w:type="pct"/>
                  <w:noWrap w:val="0"/>
                  <w:vAlign w:val="center"/>
                </w:tcPr>
                <w:p w14:paraId="211346E3">
                  <w:pPr>
                    <w:pStyle w:val="26"/>
                    <w:bidi w:val="0"/>
                    <w:ind w:firstLine="0" w:firstLineChars="0"/>
                    <w:jc w:val="center"/>
                    <w:rPr>
                      <w:rFonts w:hint="default" w:ascii="Times New Roman" w:hAnsi="Times New Roman" w:cs="Times New Roman"/>
                      <w:color w:val="000000" w:themeColor="text1"/>
                      <w:sz w:val="21"/>
                      <w:szCs w:val="22"/>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苯并[a]芘</w:t>
                  </w:r>
                </w:p>
              </w:tc>
              <w:tc>
                <w:tcPr>
                  <w:tcW w:w="607" w:type="pct"/>
                  <w:vMerge w:val="continue"/>
                  <w:noWrap w:val="0"/>
                  <w:vAlign w:val="center"/>
                </w:tcPr>
                <w:p w14:paraId="3716E4B2">
                  <w:pPr>
                    <w:pStyle w:val="26"/>
                    <w:rPr>
                      <w:rFonts w:hint="default" w:eastAsia="宋体"/>
                      <w:color w:val="000000" w:themeColor="text1"/>
                      <w:highlight w:val="none"/>
                      <w:lang w:val="en-US" w:eastAsia="zh-CN"/>
                      <w14:textFill>
                        <w14:solidFill>
                          <w14:schemeClr w14:val="tx1"/>
                        </w14:solidFill>
                      </w14:textFill>
                    </w:rPr>
                  </w:pPr>
                </w:p>
              </w:tc>
              <w:tc>
                <w:tcPr>
                  <w:tcW w:w="582" w:type="pct"/>
                  <w:vMerge w:val="continue"/>
                  <w:noWrap w:val="0"/>
                  <w:vAlign w:val="center"/>
                </w:tcPr>
                <w:p w14:paraId="678F9C2D">
                  <w:pPr>
                    <w:pStyle w:val="26"/>
                    <w:rPr>
                      <w:rFonts w:hint="default" w:eastAsia="宋体"/>
                      <w:color w:val="000000" w:themeColor="text1"/>
                      <w:highlight w:val="none"/>
                      <w:lang w:val="en-US" w:eastAsia="zh-CN"/>
                      <w14:textFill>
                        <w14:solidFill>
                          <w14:schemeClr w14:val="tx1"/>
                        </w14:solidFill>
                      </w14:textFill>
                    </w:rPr>
                  </w:pPr>
                </w:p>
              </w:tc>
              <w:tc>
                <w:tcPr>
                  <w:tcW w:w="541" w:type="pct"/>
                  <w:vMerge w:val="continue"/>
                  <w:noWrap w:val="0"/>
                  <w:vAlign w:val="center"/>
                </w:tcPr>
                <w:p w14:paraId="1E6A95AB">
                  <w:pPr>
                    <w:pStyle w:val="26"/>
                    <w:rPr>
                      <w:rFonts w:hint="default" w:eastAsia="宋体"/>
                      <w:color w:val="000000" w:themeColor="text1"/>
                      <w:highlight w:val="none"/>
                      <w:lang w:val="en-US" w:eastAsia="zh-CN"/>
                      <w14:textFill>
                        <w14:solidFill>
                          <w14:schemeClr w14:val="tx1"/>
                        </w14:solidFill>
                      </w14:textFill>
                    </w:rPr>
                  </w:pPr>
                </w:p>
              </w:tc>
              <w:tc>
                <w:tcPr>
                  <w:tcW w:w="534" w:type="pct"/>
                  <w:noWrap w:val="0"/>
                  <w:vAlign w:val="center"/>
                </w:tcPr>
                <w:p w14:paraId="139A6A75">
                  <w:pPr>
                    <w:pStyle w:val="26"/>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95</w:t>
                  </w:r>
                </w:p>
              </w:tc>
              <w:tc>
                <w:tcPr>
                  <w:tcW w:w="599" w:type="pct"/>
                  <w:vMerge w:val="continue"/>
                  <w:noWrap w:val="0"/>
                  <w:vAlign w:val="center"/>
                </w:tcPr>
                <w:p w14:paraId="411E7E79">
                  <w:pPr>
                    <w:pStyle w:val="26"/>
                    <w:rPr>
                      <w:rFonts w:hint="eastAsia" w:eastAsia="宋体"/>
                      <w:color w:val="000000" w:themeColor="text1"/>
                      <w:highlight w:val="none"/>
                      <w:lang w:val="en-US" w:eastAsia="zh-CN"/>
                      <w14:textFill>
                        <w14:solidFill>
                          <w14:schemeClr w14:val="tx1"/>
                        </w14:solidFill>
                      </w14:textFill>
                    </w:rPr>
                  </w:pPr>
                </w:p>
              </w:tc>
              <w:tc>
                <w:tcPr>
                  <w:tcW w:w="605" w:type="pct"/>
                  <w:vMerge w:val="continue"/>
                  <w:noWrap w:val="0"/>
                  <w:vAlign w:val="center"/>
                </w:tcPr>
                <w:p w14:paraId="6C866EFD">
                  <w:pPr>
                    <w:pStyle w:val="26"/>
                    <w:rPr>
                      <w:rFonts w:hint="eastAsia"/>
                      <w:color w:val="000000" w:themeColor="text1"/>
                      <w:highlight w:val="none"/>
                      <w14:textFill>
                        <w14:solidFill>
                          <w14:schemeClr w14:val="tx1"/>
                        </w14:solidFill>
                      </w14:textFill>
                    </w:rPr>
                  </w:pPr>
                </w:p>
              </w:tc>
            </w:tr>
            <w:tr w14:paraId="1DBC08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9" w:type="pct"/>
                  <w:vMerge w:val="continue"/>
                  <w:noWrap w:val="0"/>
                  <w:vAlign w:val="center"/>
                </w:tcPr>
                <w:p w14:paraId="7F2C3EC7">
                  <w:pPr>
                    <w:pStyle w:val="26"/>
                    <w:ind w:firstLine="0" w:firstLineChars="0"/>
                    <w:rPr>
                      <w:rFonts w:hint="default" w:ascii="Times New Roman" w:hAnsi="Times New Roman" w:eastAsia="宋体"/>
                      <w:color w:val="000000" w:themeColor="text1"/>
                      <w:kern w:val="2"/>
                      <w:sz w:val="21"/>
                      <w:szCs w:val="22"/>
                      <w:highlight w:val="none"/>
                      <w:lang w:val="en-US" w:eastAsia="zh-CN" w:bidi="ar-SA"/>
                      <w14:textFill>
                        <w14:solidFill>
                          <w14:schemeClr w14:val="tx1"/>
                        </w14:solidFill>
                      </w14:textFill>
                    </w:rPr>
                  </w:pPr>
                </w:p>
              </w:tc>
              <w:tc>
                <w:tcPr>
                  <w:tcW w:w="779" w:type="pct"/>
                  <w:noWrap w:val="0"/>
                  <w:vAlign w:val="center"/>
                </w:tcPr>
                <w:p w14:paraId="42970944">
                  <w:pPr>
                    <w:pStyle w:val="26"/>
                    <w:bidi w:val="0"/>
                    <w:ind w:firstLine="0" w:firstLineChars="0"/>
                    <w:jc w:val="center"/>
                    <w:rPr>
                      <w:rFonts w:hint="default" w:ascii="Times New Roman" w:hAnsi="Times New Roman" w:cs="Times New Roman"/>
                      <w:color w:val="000000" w:themeColor="text1"/>
                      <w:sz w:val="21"/>
                      <w:szCs w:val="22"/>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颗粒物</w:t>
                  </w:r>
                </w:p>
              </w:tc>
              <w:tc>
                <w:tcPr>
                  <w:tcW w:w="607" w:type="pct"/>
                  <w:vMerge w:val="continue"/>
                  <w:noWrap w:val="0"/>
                  <w:vAlign w:val="center"/>
                </w:tcPr>
                <w:p w14:paraId="0A180EC9">
                  <w:pPr>
                    <w:pStyle w:val="26"/>
                    <w:rPr>
                      <w:rFonts w:hint="default" w:eastAsia="宋体"/>
                      <w:color w:val="000000" w:themeColor="text1"/>
                      <w:highlight w:val="none"/>
                      <w:lang w:val="en-US" w:eastAsia="zh-CN"/>
                      <w14:textFill>
                        <w14:solidFill>
                          <w14:schemeClr w14:val="tx1"/>
                        </w14:solidFill>
                      </w14:textFill>
                    </w:rPr>
                  </w:pPr>
                </w:p>
              </w:tc>
              <w:tc>
                <w:tcPr>
                  <w:tcW w:w="582" w:type="pct"/>
                  <w:vMerge w:val="continue"/>
                  <w:noWrap w:val="0"/>
                  <w:vAlign w:val="center"/>
                </w:tcPr>
                <w:p w14:paraId="1252D72C">
                  <w:pPr>
                    <w:pStyle w:val="26"/>
                    <w:rPr>
                      <w:rFonts w:hint="default" w:eastAsia="宋体"/>
                      <w:color w:val="000000" w:themeColor="text1"/>
                      <w:highlight w:val="none"/>
                      <w:lang w:val="en-US" w:eastAsia="zh-CN"/>
                      <w14:textFill>
                        <w14:solidFill>
                          <w14:schemeClr w14:val="tx1"/>
                        </w14:solidFill>
                      </w14:textFill>
                    </w:rPr>
                  </w:pPr>
                </w:p>
              </w:tc>
              <w:tc>
                <w:tcPr>
                  <w:tcW w:w="541" w:type="pct"/>
                  <w:vMerge w:val="continue"/>
                  <w:noWrap w:val="0"/>
                  <w:vAlign w:val="center"/>
                </w:tcPr>
                <w:p w14:paraId="6DF1A3D2">
                  <w:pPr>
                    <w:pStyle w:val="26"/>
                    <w:rPr>
                      <w:rFonts w:hint="default" w:eastAsia="宋体"/>
                      <w:color w:val="000000" w:themeColor="text1"/>
                      <w:highlight w:val="none"/>
                      <w:lang w:val="en-US" w:eastAsia="zh-CN"/>
                      <w14:textFill>
                        <w14:solidFill>
                          <w14:schemeClr w14:val="tx1"/>
                        </w14:solidFill>
                      </w14:textFill>
                    </w:rPr>
                  </w:pPr>
                </w:p>
              </w:tc>
              <w:tc>
                <w:tcPr>
                  <w:tcW w:w="534" w:type="pct"/>
                  <w:noWrap w:val="0"/>
                  <w:vAlign w:val="center"/>
                </w:tcPr>
                <w:p w14:paraId="0B093F1B">
                  <w:pPr>
                    <w:pStyle w:val="26"/>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99</w:t>
                  </w:r>
                </w:p>
              </w:tc>
              <w:tc>
                <w:tcPr>
                  <w:tcW w:w="599" w:type="pct"/>
                  <w:vMerge w:val="continue"/>
                  <w:noWrap w:val="0"/>
                  <w:vAlign w:val="center"/>
                </w:tcPr>
                <w:p w14:paraId="50FD6722">
                  <w:pPr>
                    <w:pStyle w:val="26"/>
                    <w:rPr>
                      <w:rFonts w:hint="eastAsia" w:eastAsia="宋体"/>
                      <w:color w:val="000000" w:themeColor="text1"/>
                      <w:highlight w:val="none"/>
                      <w:lang w:val="en-US" w:eastAsia="zh-CN"/>
                      <w14:textFill>
                        <w14:solidFill>
                          <w14:schemeClr w14:val="tx1"/>
                        </w14:solidFill>
                      </w14:textFill>
                    </w:rPr>
                  </w:pPr>
                </w:p>
              </w:tc>
              <w:tc>
                <w:tcPr>
                  <w:tcW w:w="605" w:type="pct"/>
                  <w:vMerge w:val="continue"/>
                  <w:noWrap w:val="0"/>
                  <w:vAlign w:val="center"/>
                </w:tcPr>
                <w:p w14:paraId="6B0CC52E">
                  <w:pPr>
                    <w:pStyle w:val="26"/>
                    <w:rPr>
                      <w:rFonts w:hint="eastAsia"/>
                      <w:color w:val="000000" w:themeColor="text1"/>
                      <w:highlight w:val="none"/>
                      <w14:textFill>
                        <w14:solidFill>
                          <w14:schemeClr w14:val="tx1"/>
                        </w14:solidFill>
                      </w14:textFill>
                    </w:rPr>
                  </w:pPr>
                </w:p>
              </w:tc>
            </w:tr>
            <w:tr w14:paraId="007692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9" w:type="pct"/>
                  <w:vMerge w:val="continue"/>
                  <w:noWrap w:val="0"/>
                  <w:vAlign w:val="center"/>
                </w:tcPr>
                <w:p w14:paraId="3F43545D">
                  <w:pPr>
                    <w:pStyle w:val="26"/>
                    <w:ind w:firstLine="0" w:firstLineChars="0"/>
                    <w:rPr>
                      <w:rFonts w:hint="default" w:ascii="Times New Roman" w:hAnsi="Times New Roman" w:eastAsia="宋体"/>
                      <w:color w:val="000000" w:themeColor="text1"/>
                      <w:kern w:val="2"/>
                      <w:sz w:val="21"/>
                      <w:szCs w:val="22"/>
                      <w:highlight w:val="none"/>
                      <w:lang w:val="en-US" w:eastAsia="zh-CN" w:bidi="ar-SA"/>
                      <w14:textFill>
                        <w14:solidFill>
                          <w14:schemeClr w14:val="tx1"/>
                        </w14:solidFill>
                      </w14:textFill>
                    </w:rPr>
                  </w:pPr>
                </w:p>
              </w:tc>
              <w:tc>
                <w:tcPr>
                  <w:tcW w:w="779" w:type="pct"/>
                  <w:noWrap w:val="0"/>
                  <w:vAlign w:val="center"/>
                </w:tcPr>
                <w:p w14:paraId="1BAB40F9">
                  <w:pPr>
                    <w:pStyle w:val="26"/>
                    <w:bidi w:val="0"/>
                    <w:ind w:firstLine="0" w:firstLineChars="0"/>
                    <w:jc w:val="center"/>
                    <w:rPr>
                      <w:rFonts w:hint="default" w:ascii="Times New Roman" w:hAnsi="Times New Roman" w:cs="Times New Roman"/>
                      <w:color w:val="000000" w:themeColor="text1"/>
                      <w:sz w:val="21"/>
                      <w:szCs w:val="22"/>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非甲烷总烃</w:t>
                  </w:r>
                </w:p>
              </w:tc>
              <w:tc>
                <w:tcPr>
                  <w:tcW w:w="607" w:type="pct"/>
                  <w:vMerge w:val="continue"/>
                  <w:noWrap w:val="0"/>
                  <w:vAlign w:val="center"/>
                </w:tcPr>
                <w:p w14:paraId="081060D5">
                  <w:pPr>
                    <w:pStyle w:val="26"/>
                    <w:rPr>
                      <w:rFonts w:hint="default" w:eastAsia="宋体"/>
                      <w:color w:val="000000" w:themeColor="text1"/>
                      <w:highlight w:val="none"/>
                      <w:lang w:val="en-US" w:eastAsia="zh-CN"/>
                      <w14:textFill>
                        <w14:solidFill>
                          <w14:schemeClr w14:val="tx1"/>
                        </w14:solidFill>
                      </w14:textFill>
                    </w:rPr>
                  </w:pPr>
                </w:p>
              </w:tc>
              <w:tc>
                <w:tcPr>
                  <w:tcW w:w="582" w:type="pct"/>
                  <w:vMerge w:val="continue"/>
                  <w:noWrap w:val="0"/>
                  <w:vAlign w:val="center"/>
                </w:tcPr>
                <w:p w14:paraId="7B420D82">
                  <w:pPr>
                    <w:pStyle w:val="26"/>
                    <w:rPr>
                      <w:rFonts w:hint="default" w:eastAsia="宋体"/>
                      <w:color w:val="000000" w:themeColor="text1"/>
                      <w:highlight w:val="none"/>
                      <w:lang w:val="en-US" w:eastAsia="zh-CN"/>
                      <w14:textFill>
                        <w14:solidFill>
                          <w14:schemeClr w14:val="tx1"/>
                        </w14:solidFill>
                      </w14:textFill>
                    </w:rPr>
                  </w:pPr>
                </w:p>
              </w:tc>
              <w:tc>
                <w:tcPr>
                  <w:tcW w:w="541" w:type="pct"/>
                  <w:vMerge w:val="continue"/>
                  <w:noWrap w:val="0"/>
                  <w:vAlign w:val="center"/>
                </w:tcPr>
                <w:p w14:paraId="0F049ED7">
                  <w:pPr>
                    <w:pStyle w:val="26"/>
                    <w:rPr>
                      <w:rFonts w:hint="default" w:eastAsia="宋体"/>
                      <w:color w:val="000000" w:themeColor="text1"/>
                      <w:highlight w:val="none"/>
                      <w:lang w:val="en-US" w:eastAsia="zh-CN"/>
                      <w14:textFill>
                        <w14:solidFill>
                          <w14:schemeClr w14:val="tx1"/>
                        </w14:solidFill>
                      </w14:textFill>
                    </w:rPr>
                  </w:pPr>
                </w:p>
              </w:tc>
              <w:tc>
                <w:tcPr>
                  <w:tcW w:w="534" w:type="pct"/>
                  <w:noWrap w:val="0"/>
                  <w:vAlign w:val="center"/>
                </w:tcPr>
                <w:p w14:paraId="088348CA">
                  <w:pPr>
                    <w:pStyle w:val="26"/>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95</w:t>
                  </w:r>
                </w:p>
              </w:tc>
              <w:tc>
                <w:tcPr>
                  <w:tcW w:w="599" w:type="pct"/>
                  <w:vMerge w:val="continue"/>
                  <w:noWrap w:val="0"/>
                  <w:vAlign w:val="center"/>
                </w:tcPr>
                <w:p w14:paraId="75307460">
                  <w:pPr>
                    <w:pStyle w:val="26"/>
                    <w:rPr>
                      <w:rFonts w:hint="eastAsia" w:eastAsia="宋体"/>
                      <w:color w:val="000000" w:themeColor="text1"/>
                      <w:highlight w:val="none"/>
                      <w:lang w:val="en-US" w:eastAsia="zh-CN"/>
                      <w14:textFill>
                        <w14:solidFill>
                          <w14:schemeClr w14:val="tx1"/>
                        </w14:solidFill>
                      </w14:textFill>
                    </w:rPr>
                  </w:pPr>
                </w:p>
              </w:tc>
              <w:tc>
                <w:tcPr>
                  <w:tcW w:w="605" w:type="pct"/>
                  <w:vMerge w:val="continue"/>
                  <w:noWrap w:val="0"/>
                  <w:vAlign w:val="center"/>
                </w:tcPr>
                <w:p w14:paraId="2FF495EE">
                  <w:pPr>
                    <w:pStyle w:val="26"/>
                    <w:rPr>
                      <w:rFonts w:hint="eastAsia"/>
                      <w:color w:val="000000" w:themeColor="text1"/>
                      <w:highlight w:val="none"/>
                      <w14:textFill>
                        <w14:solidFill>
                          <w14:schemeClr w14:val="tx1"/>
                        </w14:solidFill>
                      </w14:textFill>
                    </w:rPr>
                  </w:pPr>
                </w:p>
              </w:tc>
            </w:tr>
            <w:tr w14:paraId="0742BD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8"/>
                  <w:noWrap w:val="0"/>
                  <w:vAlign w:val="center"/>
                </w:tcPr>
                <w:p w14:paraId="10E5DBE7">
                  <w:pPr>
                    <w:pStyle w:val="26"/>
                    <w:jc w:val="both"/>
                    <w:rPr>
                      <w:rFonts w:hint="default" w:eastAsia="宋体"/>
                      <w:color w:val="000000" w:themeColor="text1"/>
                      <w:highlight w:val="none"/>
                      <w:lang w:val="en-US" w:eastAsia="zh-CN"/>
                      <w14:textFill>
                        <w14:solidFill>
                          <w14:schemeClr w14:val="tx1"/>
                        </w14:solidFill>
                      </w14:textFill>
                    </w:rPr>
                  </w:pPr>
                  <w:bookmarkStart w:id="171" w:name="_Ref22860"/>
                  <w:r>
                    <w:rPr>
                      <w:rFonts w:hint="eastAsia"/>
                      <w:color w:val="000000" w:themeColor="text1"/>
                      <w:highlight w:val="none"/>
                      <w:lang w:val="en-US" w:eastAsia="zh-CN"/>
                      <w14:textFill>
                        <w14:solidFill>
                          <w14:schemeClr w14:val="tx1"/>
                        </w14:solidFill>
                      </w14:textFill>
                    </w:rPr>
                    <w:t>注：“*DA001”表示二期建成后，一期工程的排气筒被二期工程替代，下同。</w:t>
                  </w:r>
                </w:p>
              </w:tc>
            </w:tr>
          </w:tbl>
          <w:p w14:paraId="2E903DB4">
            <w:pPr>
              <w:pStyle w:val="30"/>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废气排放口基本情况一览表</w:t>
            </w:r>
            <w:bookmarkEnd w:id="171"/>
          </w:p>
          <w:tbl>
            <w:tblPr>
              <w:tblStyle w:val="17"/>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2"/>
              <w:gridCol w:w="872"/>
              <w:gridCol w:w="1281"/>
              <w:gridCol w:w="1447"/>
              <w:gridCol w:w="839"/>
              <w:gridCol w:w="900"/>
              <w:gridCol w:w="974"/>
              <w:gridCol w:w="974"/>
            </w:tblGrid>
            <w:tr w14:paraId="1D64CE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9" w:type="pct"/>
                  <w:noWrap w:val="0"/>
                  <w:vAlign w:val="center"/>
                </w:tcPr>
                <w:p w14:paraId="75CF6122">
                  <w:pPr>
                    <w:pStyle w:val="26"/>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排放口编号</w:t>
                  </w:r>
                </w:p>
              </w:tc>
              <w:tc>
                <w:tcPr>
                  <w:tcW w:w="525" w:type="pct"/>
                  <w:noWrap w:val="0"/>
                  <w:vAlign w:val="center"/>
                </w:tcPr>
                <w:p w14:paraId="378885F9">
                  <w:pPr>
                    <w:pStyle w:val="26"/>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名称</w:t>
                  </w:r>
                </w:p>
              </w:tc>
              <w:tc>
                <w:tcPr>
                  <w:tcW w:w="771" w:type="pct"/>
                  <w:noWrap w:val="0"/>
                  <w:vAlign w:val="center"/>
                </w:tcPr>
                <w:p w14:paraId="0F42C4B0">
                  <w:pPr>
                    <w:pStyle w:val="26"/>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污染物种类</w:t>
                  </w:r>
                </w:p>
              </w:tc>
              <w:tc>
                <w:tcPr>
                  <w:tcW w:w="871" w:type="pct"/>
                  <w:noWrap w:val="0"/>
                  <w:vAlign w:val="center"/>
                </w:tcPr>
                <w:p w14:paraId="2550BA08">
                  <w:pPr>
                    <w:pStyle w:val="26"/>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地理坐标</w:t>
                  </w:r>
                </w:p>
              </w:tc>
              <w:tc>
                <w:tcPr>
                  <w:tcW w:w="505" w:type="pct"/>
                  <w:noWrap w:val="0"/>
                  <w:vAlign w:val="center"/>
                </w:tcPr>
                <w:p w14:paraId="3D4DC3EB">
                  <w:pPr>
                    <w:pStyle w:val="26"/>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排气筒高度(m)</w:t>
                  </w:r>
                </w:p>
              </w:tc>
              <w:tc>
                <w:tcPr>
                  <w:tcW w:w="542" w:type="pct"/>
                  <w:noWrap w:val="0"/>
                  <w:vAlign w:val="center"/>
                </w:tcPr>
                <w:p w14:paraId="514930D8">
                  <w:pPr>
                    <w:pStyle w:val="2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排气筒内径(m)</w:t>
                  </w:r>
                </w:p>
              </w:tc>
              <w:tc>
                <w:tcPr>
                  <w:tcW w:w="586" w:type="pct"/>
                  <w:noWrap w:val="0"/>
                  <w:vAlign w:val="center"/>
                </w:tcPr>
                <w:p w14:paraId="479F5D7B">
                  <w:pPr>
                    <w:pStyle w:val="26"/>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出口温度(℃)</w:t>
                  </w:r>
                </w:p>
              </w:tc>
              <w:tc>
                <w:tcPr>
                  <w:tcW w:w="586" w:type="pct"/>
                  <w:noWrap w:val="0"/>
                  <w:vAlign w:val="center"/>
                </w:tcPr>
                <w:p w14:paraId="4E8AE91C">
                  <w:pPr>
                    <w:pStyle w:val="2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类型</w:t>
                  </w:r>
                </w:p>
              </w:tc>
            </w:tr>
            <w:tr w14:paraId="0F6C96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9" w:type="pct"/>
                  <w:noWrap w:val="0"/>
                  <w:vAlign w:val="center"/>
                </w:tcPr>
                <w:p w14:paraId="073B3DA2">
                  <w:pPr>
                    <w:pStyle w:val="26"/>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DA001</w:t>
                  </w:r>
                </w:p>
              </w:tc>
              <w:tc>
                <w:tcPr>
                  <w:tcW w:w="525" w:type="pct"/>
                  <w:noWrap w:val="0"/>
                  <w:vAlign w:val="center"/>
                </w:tcPr>
                <w:p w14:paraId="7163E0C9">
                  <w:pPr>
                    <w:pStyle w:val="26"/>
                    <w:keepNext w:val="0"/>
                    <w:keepLines w:val="0"/>
                    <w:pageBreakBefore w:val="0"/>
                    <w:widowControl w:val="0"/>
                    <w:suppressLineNumbers w:val="0"/>
                    <w:tabs>
                      <w:tab w:val="left" w:pos="0"/>
                    </w:tabs>
                    <w:kinsoku/>
                    <w:wordWrap/>
                    <w:overflowPunct/>
                    <w:topLinePunct w:val="0"/>
                    <w:autoSpaceDE w:val="0"/>
                    <w:autoSpaceDN w:val="0"/>
                    <w:bidi w:val="0"/>
                    <w:adjustRightInd/>
                    <w:snapToGrid/>
                    <w:spacing w:before="0" w:beforeAutospacing="0" w:after="0" w:afterAutospacing="0"/>
                    <w:ind w:right="0" w:rightChars="0" w:firstLine="0" w:firstLineChars="0"/>
                    <w:jc w:val="center"/>
                    <w:textAlignment w:val="auto"/>
                    <w:rPr>
                      <w:rFonts w:hint="default" w:ascii="Times New Roman" w:hAnsi="Times New Roman" w:cs="Times New Roman"/>
                      <w:color w:val="000000" w:themeColor="text1"/>
                      <w:sz w:val="21"/>
                      <w:szCs w:val="20"/>
                      <w:highlight w:val="none"/>
                      <w:lang w:val="en-US" w:eastAsia="zh-CN"/>
                      <w14:textFill>
                        <w14:solidFill>
                          <w14:schemeClr w14:val="tx1"/>
                        </w14:solidFill>
                      </w14:textFill>
                    </w:rPr>
                  </w:pPr>
                  <w:r>
                    <w:rPr>
                      <w:rFonts w:hint="eastAsia" w:ascii="Times New Roman" w:hAnsi="Times New Roman" w:cs="Times New Roman"/>
                      <w:color w:val="000000" w:themeColor="text1"/>
                      <w:szCs w:val="20"/>
                      <w:highlight w:val="none"/>
                      <w:lang w:val="en-US" w:eastAsia="zh-CN"/>
                      <w14:textFill>
                        <w14:solidFill>
                          <w14:schemeClr w14:val="tx1"/>
                        </w14:solidFill>
                      </w14:textFill>
                    </w:rPr>
                    <w:t>废气排放口</w:t>
                  </w:r>
                </w:p>
              </w:tc>
              <w:tc>
                <w:tcPr>
                  <w:tcW w:w="771" w:type="pct"/>
                  <w:noWrap w:val="0"/>
                  <w:vAlign w:val="center"/>
                </w:tcPr>
                <w:p w14:paraId="2DF4ED6B">
                  <w:pPr>
                    <w:pStyle w:val="26"/>
                    <w:bidi w:val="0"/>
                    <w:rPr>
                      <w:rFonts w:hint="default"/>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沥青烟、苯并[a]芘、颗粒物、非甲烷总烃</w:t>
                  </w:r>
                </w:p>
              </w:tc>
              <w:tc>
                <w:tcPr>
                  <w:tcW w:w="871" w:type="pct"/>
                  <w:noWrap w:val="0"/>
                  <w:vAlign w:val="center"/>
                </w:tcPr>
                <w:p w14:paraId="03E01E81">
                  <w:pPr>
                    <w:pStyle w:val="26"/>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117.453272E</w:t>
                  </w:r>
                </w:p>
                <w:p w14:paraId="2D8D79AB">
                  <w:pPr>
                    <w:pStyle w:val="26"/>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26.079220N</w:t>
                  </w:r>
                </w:p>
              </w:tc>
              <w:tc>
                <w:tcPr>
                  <w:tcW w:w="505" w:type="pct"/>
                  <w:noWrap w:val="0"/>
                  <w:vAlign w:val="center"/>
                </w:tcPr>
                <w:p w14:paraId="19DADC44">
                  <w:pPr>
                    <w:pStyle w:val="26"/>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15</w:t>
                  </w:r>
                </w:p>
              </w:tc>
              <w:tc>
                <w:tcPr>
                  <w:tcW w:w="542" w:type="pct"/>
                  <w:noWrap w:val="0"/>
                  <w:vAlign w:val="center"/>
                </w:tcPr>
                <w:p w14:paraId="66F2BFF4">
                  <w:pPr>
                    <w:pStyle w:val="26"/>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0.5</w:t>
                  </w:r>
                </w:p>
              </w:tc>
              <w:tc>
                <w:tcPr>
                  <w:tcW w:w="586" w:type="pct"/>
                  <w:noWrap w:val="0"/>
                  <w:vAlign w:val="center"/>
                </w:tcPr>
                <w:p w14:paraId="4A8DECFF">
                  <w:pPr>
                    <w:pStyle w:val="26"/>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25</w:t>
                  </w:r>
                </w:p>
              </w:tc>
              <w:tc>
                <w:tcPr>
                  <w:tcW w:w="586" w:type="pct"/>
                  <w:noWrap w:val="0"/>
                  <w:vAlign w:val="center"/>
                </w:tcPr>
                <w:p w14:paraId="27C8D845">
                  <w:pPr>
                    <w:pStyle w:val="26"/>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一般排放口</w:t>
                  </w:r>
                </w:p>
              </w:tc>
            </w:tr>
            <w:tr w14:paraId="232CA4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9" w:type="pct"/>
                  <w:noWrap w:val="0"/>
                  <w:vAlign w:val="center"/>
                </w:tcPr>
                <w:p w14:paraId="5BDF6C8E">
                  <w:pPr>
                    <w:pStyle w:val="26"/>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*DA001</w:t>
                  </w:r>
                </w:p>
              </w:tc>
              <w:tc>
                <w:tcPr>
                  <w:tcW w:w="525" w:type="pct"/>
                  <w:noWrap w:val="0"/>
                  <w:vAlign w:val="center"/>
                </w:tcPr>
                <w:p w14:paraId="710E69C2">
                  <w:pPr>
                    <w:pStyle w:val="26"/>
                    <w:keepNext w:val="0"/>
                    <w:keepLines w:val="0"/>
                    <w:pageBreakBefore w:val="0"/>
                    <w:widowControl w:val="0"/>
                    <w:suppressLineNumbers w:val="0"/>
                    <w:tabs>
                      <w:tab w:val="left" w:pos="0"/>
                    </w:tabs>
                    <w:kinsoku/>
                    <w:wordWrap/>
                    <w:overflowPunct/>
                    <w:topLinePunct w:val="0"/>
                    <w:autoSpaceDE w:val="0"/>
                    <w:autoSpaceDN w:val="0"/>
                    <w:bidi w:val="0"/>
                    <w:adjustRightInd/>
                    <w:snapToGrid/>
                    <w:spacing w:before="0" w:beforeAutospacing="0" w:after="0" w:afterAutospacing="0"/>
                    <w:ind w:right="0" w:rightChars="0" w:firstLine="0" w:firstLineChars="0"/>
                    <w:jc w:val="center"/>
                    <w:textAlignment w:val="auto"/>
                    <w:rPr>
                      <w:rFonts w:hint="default" w:ascii="Times New Roman" w:hAnsi="Times New Roman" w:cs="Times New Roman"/>
                      <w:color w:val="000000" w:themeColor="text1"/>
                      <w:sz w:val="21"/>
                      <w:szCs w:val="20"/>
                      <w:highlight w:val="none"/>
                      <w:lang w:val="en-US" w:eastAsia="zh-CN"/>
                      <w14:textFill>
                        <w14:solidFill>
                          <w14:schemeClr w14:val="tx1"/>
                        </w14:solidFill>
                      </w14:textFill>
                    </w:rPr>
                  </w:pPr>
                  <w:r>
                    <w:rPr>
                      <w:rFonts w:hint="eastAsia" w:ascii="Times New Roman" w:hAnsi="Times New Roman" w:cs="Times New Roman"/>
                      <w:color w:val="000000" w:themeColor="text1"/>
                      <w:szCs w:val="20"/>
                      <w:highlight w:val="none"/>
                      <w:lang w:val="en-US" w:eastAsia="zh-CN"/>
                      <w14:textFill>
                        <w14:solidFill>
                          <w14:schemeClr w14:val="tx1"/>
                        </w14:solidFill>
                      </w14:textFill>
                    </w:rPr>
                    <w:t>废气排放口</w:t>
                  </w:r>
                </w:p>
              </w:tc>
              <w:tc>
                <w:tcPr>
                  <w:tcW w:w="771" w:type="pct"/>
                  <w:noWrap w:val="0"/>
                  <w:vAlign w:val="center"/>
                </w:tcPr>
                <w:p w14:paraId="19221654">
                  <w:pPr>
                    <w:pStyle w:val="26"/>
                    <w:bidi w:val="0"/>
                    <w:rPr>
                      <w:rFonts w:hint="default"/>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沥青烟、苯并[a]芘、颗粒物、非甲烷总烃</w:t>
                  </w:r>
                </w:p>
              </w:tc>
              <w:tc>
                <w:tcPr>
                  <w:tcW w:w="871" w:type="pct"/>
                  <w:noWrap w:val="0"/>
                  <w:vAlign w:val="center"/>
                </w:tcPr>
                <w:p w14:paraId="60471B5E">
                  <w:pPr>
                    <w:pStyle w:val="26"/>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117.453224E</w:t>
                  </w:r>
                </w:p>
                <w:p w14:paraId="0DE22CD7">
                  <w:pPr>
                    <w:pStyle w:val="26"/>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26.079402N</w:t>
                  </w:r>
                </w:p>
              </w:tc>
              <w:tc>
                <w:tcPr>
                  <w:tcW w:w="505" w:type="pct"/>
                  <w:noWrap w:val="0"/>
                  <w:vAlign w:val="center"/>
                </w:tcPr>
                <w:p w14:paraId="78548122">
                  <w:pPr>
                    <w:pStyle w:val="26"/>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15</w:t>
                  </w:r>
                </w:p>
              </w:tc>
              <w:tc>
                <w:tcPr>
                  <w:tcW w:w="542" w:type="pct"/>
                  <w:noWrap w:val="0"/>
                  <w:vAlign w:val="center"/>
                </w:tcPr>
                <w:p w14:paraId="59DE4025">
                  <w:pPr>
                    <w:pStyle w:val="26"/>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0.7</w:t>
                  </w:r>
                </w:p>
              </w:tc>
              <w:tc>
                <w:tcPr>
                  <w:tcW w:w="586" w:type="pct"/>
                  <w:noWrap w:val="0"/>
                  <w:vAlign w:val="center"/>
                </w:tcPr>
                <w:p w14:paraId="511873A7">
                  <w:pPr>
                    <w:pStyle w:val="26"/>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80</w:t>
                  </w:r>
                </w:p>
              </w:tc>
              <w:tc>
                <w:tcPr>
                  <w:tcW w:w="586" w:type="pct"/>
                  <w:noWrap w:val="0"/>
                  <w:vAlign w:val="center"/>
                </w:tcPr>
                <w:p w14:paraId="514CF7D6">
                  <w:pPr>
                    <w:pStyle w:val="26"/>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一般排放口</w:t>
                  </w:r>
                </w:p>
              </w:tc>
            </w:tr>
          </w:tbl>
          <w:p w14:paraId="5691200F">
            <w:pPr>
              <w:rPr>
                <w:rFonts w:hint="eastAsia"/>
                <w:color w:val="000000" w:themeColor="text1"/>
                <w:highlight w:val="none"/>
                <w14:textFill>
                  <w14:solidFill>
                    <w14:schemeClr w14:val="tx1"/>
                  </w14:solidFill>
                </w14:textFill>
              </w:rPr>
            </w:pPr>
          </w:p>
          <w:p w14:paraId="0E06AF4D">
            <w:pPr>
              <w:rPr>
                <w:rFonts w:hint="eastAsia"/>
                <w:color w:val="000000" w:themeColor="text1"/>
                <w:highlight w:val="none"/>
                <w14:textFill>
                  <w14:solidFill>
                    <w14:schemeClr w14:val="tx1"/>
                  </w14:solidFill>
                </w14:textFill>
              </w:rPr>
            </w:pPr>
          </w:p>
          <w:p w14:paraId="07F80A91">
            <w:pPr>
              <w:pStyle w:val="30"/>
              <w:bidi w:val="0"/>
              <w:rPr>
                <w:rFonts w:hint="eastAsia"/>
                <w:color w:val="000000" w:themeColor="text1"/>
                <w:highlight w:val="none"/>
                <w14:textFill>
                  <w14:solidFill>
                    <w14:schemeClr w14:val="tx1"/>
                  </w14:solidFill>
                </w14:textFill>
              </w:rPr>
            </w:pPr>
            <w:bookmarkStart w:id="172" w:name="_Ref22883"/>
            <w:r>
              <w:rPr>
                <w:rFonts w:hint="eastAsia"/>
                <w:color w:val="000000" w:themeColor="text1"/>
                <w:highlight w:val="none"/>
                <w14:textFill>
                  <w14:solidFill>
                    <w14:schemeClr w14:val="tx1"/>
                  </w14:solidFill>
                </w14:textFill>
              </w:rPr>
              <w:t>自行监测要求一览表</w:t>
            </w:r>
            <w:bookmarkEnd w:id="172"/>
          </w:p>
          <w:tbl>
            <w:tblPr>
              <w:tblStyle w:val="1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9"/>
              <w:gridCol w:w="1332"/>
              <w:gridCol w:w="1388"/>
              <w:gridCol w:w="1026"/>
              <w:gridCol w:w="2852"/>
              <w:gridCol w:w="957"/>
            </w:tblGrid>
            <w:tr w14:paraId="7D0329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1" w:type="pct"/>
                  <w:tcBorders>
                    <w:tl2br w:val="nil"/>
                    <w:tr2bl w:val="nil"/>
                  </w:tcBorders>
                  <w:noWrap w:val="0"/>
                  <w:tcMar>
                    <w:left w:w="28" w:type="dxa"/>
                    <w:right w:w="28" w:type="dxa"/>
                  </w:tcMar>
                  <w:vAlign w:val="center"/>
                </w:tcPr>
                <w:p w14:paraId="7ACD444B">
                  <w:pPr>
                    <w:pStyle w:val="2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监测</w:t>
                  </w:r>
                </w:p>
                <w:p w14:paraId="4070E1CA">
                  <w:pPr>
                    <w:pStyle w:val="2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对象</w:t>
                  </w:r>
                </w:p>
              </w:tc>
              <w:tc>
                <w:tcPr>
                  <w:tcW w:w="802" w:type="pct"/>
                  <w:tcBorders>
                    <w:tl2br w:val="nil"/>
                    <w:tr2bl w:val="nil"/>
                  </w:tcBorders>
                  <w:noWrap w:val="0"/>
                  <w:tcMar>
                    <w:left w:w="28" w:type="dxa"/>
                    <w:right w:w="28" w:type="dxa"/>
                  </w:tcMar>
                  <w:vAlign w:val="center"/>
                </w:tcPr>
                <w:p w14:paraId="15B4BA47">
                  <w:pPr>
                    <w:pStyle w:val="2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监测点</w:t>
                  </w:r>
                </w:p>
              </w:tc>
              <w:tc>
                <w:tcPr>
                  <w:tcW w:w="836" w:type="pct"/>
                  <w:tcBorders>
                    <w:tl2br w:val="nil"/>
                    <w:tr2bl w:val="nil"/>
                  </w:tcBorders>
                  <w:noWrap w:val="0"/>
                  <w:tcMar>
                    <w:left w:w="28" w:type="dxa"/>
                    <w:right w:w="28" w:type="dxa"/>
                  </w:tcMar>
                  <w:vAlign w:val="center"/>
                </w:tcPr>
                <w:p w14:paraId="6622B778">
                  <w:pPr>
                    <w:pStyle w:val="2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监测因子</w:t>
                  </w:r>
                </w:p>
              </w:tc>
              <w:tc>
                <w:tcPr>
                  <w:tcW w:w="618" w:type="pct"/>
                  <w:tcBorders>
                    <w:tl2br w:val="nil"/>
                    <w:tr2bl w:val="nil"/>
                  </w:tcBorders>
                  <w:noWrap w:val="0"/>
                  <w:tcMar>
                    <w:left w:w="28" w:type="dxa"/>
                    <w:right w:w="28" w:type="dxa"/>
                  </w:tcMar>
                  <w:vAlign w:val="center"/>
                </w:tcPr>
                <w:p w14:paraId="48F53F1F">
                  <w:pPr>
                    <w:pStyle w:val="2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监测频率</w:t>
                  </w:r>
                </w:p>
              </w:tc>
              <w:tc>
                <w:tcPr>
                  <w:tcW w:w="1717" w:type="pct"/>
                  <w:tcBorders>
                    <w:tl2br w:val="nil"/>
                    <w:tr2bl w:val="nil"/>
                  </w:tcBorders>
                  <w:noWrap w:val="0"/>
                  <w:tcMar>
                    <w:left w:w="28" w:type="dxa"/>
                    <w:right w:w="28" w:type="dxa"/>
                  </w:tcMar>
                  <w:vAlign w:val="center"/>
                </w:tcPr>
                <w:p w14:paraId="21ADD93A">
                  <w:pPr>
                    <w:pStyle w:val="26"/>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执行标准</w:t>
                  </w:r>
                </w:p>
              </w:tc>
              <w:tc>
                <w:tcPr>
                  <w:tcW w:w="573" w:type="pct"/>
                  <w:tcBorders>
                    <w:tl2br w:val="nil"/>
                    <w:tr2bl w:val="nil"/>
                  </w:tcBorders>
                  <w:noWrap w:val="0"/>
                  <w:tcMar>
                    <w:left w:w="28" w:type="dxa"/>
                    <w:right w:w="28" w:type="dxa"/>
                  </w:tcMar>
                  <w:vAlign w:val="center"/>
                </w:tcPr>
                <w:p w14:paraId="06DB362A">
                  <w:pPr>
                    <w:pStyle w:val="26"/>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监测单位</w:t>
                  </w:r>
                </w:p>
              </w:tc>
            </w:tr>
            <w:tr w14:paraId="54A6A1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1" w:type="pct"/>
                  <w:vMerge w:val="restart"/>
                  <w:tcBorders>
                    <w:tl2br w:val="nil"/>
                    <w:tr2bl w:val="nil"/>
                  </w:tcBorders>
                  <w:noWrap w:val="0"/>
                  <w:tcMar>
                    <w:left w:w="28" w:type="dxa"/>
                    <w:right w:w="28" w:type="dxa"/>
                  </w:tcMar>
                  <w:vAlign w:val="center"/>
                </w:tcPr>
                <w:p w14:paraId="42A1012F">
                  <w:pPr>
                    <w:pStyle w:val="26"/>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废气</w:t>
                  </w:r>
                </w:p>
              </w:tc>
              <w:tc>
                <w:tcPr>
                  <w:tcW w:w="802" w:type="pct"/>
                  <w:vMerge w:val="restart"/>
                  <w:tcBorders>
                    <w:tl2br w:val="nil"/>
                    <w:tr2bl w:val="nil"/>
                  </w:tcBorders>
                  <w:noWrap w:val="0"/>
                  <w:tcMar>
                    <w:left w:w="28" w:type="dxa"/>
                    <w:right w:w="28" w:type="dxa"/>
                  </w:tcMar>
                  <w:vAlign w:val="center"/>
                </w:tcPr>
                <w:p w14:paraId="13336051">
                  <w:pPr>
                    <w:pStyle w:val="26"/>
                    <w:bidi w:val="0"/>
                    <w:rPr>
                      <w:rFonts w:hint="eastAsia"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DA00</w:t>
                  </w:r>
                  <w:r>
                    <w:rPr>
                      <w:rFonts w:hint="eastAsia" w:ascii="Times New Roman" w:hAnsi="Times New Roman" w:cs="Times New Roman"/>
                      <w:color w:val="000000" w:themeColor="text1"/>
                      <w:highlight w:val="none"/>
                      <w:lang w:val="en-US" w:eastAsia="zh-CN"/>
                      <w14:textFill>
                        <w14:solidFill>
                          <w14:schemeClr w14:val="tx1"/>
                        </w14:solidFill>
                      </w14:textFill>
                    </w:rPr>
                    <w:t>1/</w:t>
                  </w:r>
                </w:p>
                <w:p w14:paraId="4C29A069">
                  <w:pPr>
                    <w:pStyle w:val="2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*DA001</w:t>
                  </w:r>
                  <w:r>
                    <w:rPr>
                      <w:rFonts w:hint="default" w:ascii="Times New Roman" w:hAnsi="Times New Roman" w:cs="Times New Roman"/>
                      <w:color w:val="000000" w:themeColor="text1"/>
                      <w:highlight w:val="none"/>
                      <w:lang w:val="en-US" w:eastAsia="zh-CN"/>
                      <w14:textFill>
                        <w14:solidFill>
                          <w14:schemeClr w14:val="tx1"/>
                        </w14:solidFill>
                      </w14:textFill>
                    </w:rPr>
                    <w:t>排气筒出口</w:t>
                  </w:r>
                </w:p>
              </w:tc>
              <w:tc>
                <w:tcPr>
                  <w:tcW w:w="836" w:type="pct"/>
                  <w:tcBorders>
                    <w:tl2br w:val="nil"/>
                    <w:tr2bl w:val="nil"/>
                  </w:tcBorders>
                  <w:noWrap w:val="0"/>
                  <w:tcMar>
                    <w:left w:w="28" w:type="dxa"/>
                    <w:right w:w="28" w:type="dxa"/>
                  </w:tcMar>
                  <w:vAlign w:val="center"/>
                </w:tcPr>
                <w:p w14:paraId="76C01340">
                  <w:pPr>
                    <w:pStyle w:val="26"/>
                    <w:bidi w:val="0"/>
                    <w:ind w:firstLine="0" w:firstLineChars="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沥青烟</w:t>
                  </w:r>
                </w:p>
              </w:tc>
              <w:tc>
                <w:tcPr>
                  <w:tcW w:w="618" w:type="pct"/>
                  <w:tcBorders>
                    <w:tl2br w:val="nil"/>
                    <w:tr2bl w:val="nil"/>
                  </w:tcBorders>
                  <w:noWrap w:val="0"/>
                  <w:tcMar>
                    <w:left w:w="28" w:type="dxa"/>
                    <w:right w:w="28" w:type="dxa"/>
                  </w:tcMar>
                  <w:vAlign w:val="center"/>
                </w:tcPr>
                <w:p w14:paraId="13A0D561">
                  <w:pPr>
                    <w:pStyle w:val="2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1次/年</w:t>
                  </w:r>
                </w:p>
              </w:tc>
              <w:tc>
                <w:tcPr>
                  <w:tcW w:w="1717" w:type="pct"/>
                  <w:vMerge w:val="restart"/>
                  <w:tcBorders>
                    <w:tl2br w:val="nil"/>
                    <w:tr2bl w:val="nil"/>
                  </w:tcBorders>
                  <w:noWrap w:val="0"/>
                  <w:tcMar>
                    <w:left w:w="28" w:type="dxa"/>
                    <w:right w:w="28" w:type="dxa"/>
                  </w:tcMar>
                  <w:vAlign w:val="center"/>
                </w:tcPr>
                <w:p w14:paraId="44C6EE53">
                  <w:pPr>
                    <w:pStyle w:val="26"/>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《大气污染物综合排放标准》（GB16297-1996）表2</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排放限值要求</w:t>
                  </w:r>
                </w:p>
              </w:tc>
              <w:tc>
                <w:tcPr>
                  <w:tcW w:w="573" w:type="pct"/>
                  <w:vMerge w:val="restart"/>
                  <w:tcBorders>
                    <w:tl2br w:val="nil"/>
                    <w:tr2bl w:val="nil"/>
                  </w:tcBorders>
                  <w:noWrap w:val="0"/>
                  <w:tcMar>
                    <w:left w:w="28" w:type="dxa"/>
                    <w:right w:w="28" w:type="dxa"/>
                  </w:tcMar>
                  <w:vAlign w:val="center"/>
                </w:tcPr>
                <w:p w14:paraId="69964558">
                  <w:pPr>
                    <w:pStyle w:val="2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企业自行委托监测</w:t>
                  </w:r>
                </w:p>
              </w:tc>
            </w:tr>
            <w:tr w14:paraId="4A755B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1" w:type="pct"/>
                  <w:vMerge w:val="continue"/>
                  <w:tcBorders>
                    <w:tl2br w:val="nil"/>
                    <w:tr2bl w:val="nil"/>
                  </w:tcBorders>
                  <w:noWrap w:val="0"/>
                  <w:tcMar>
                    <w:left w:w="28" w:type="dxa"/>
                    <w:right w:w="28" w:type="dxa"/>
                  </w:tcMar>
                  <w:vAlign w:val="center"/>
                </w:tcPr>
                <w:p w14:paraId="1C245D8A">
                  <w:pPr>
                    <w:pStyle w:val="26"/>
                    <w:bidi w:val="0"/>
                    <w:rPr>
                      <w:rFonts w:hint="default" w:ascii="Times New Roman" w:hAnsi="Times New Roman" w:cs="Times New Roman"/>
                      <w:color w:val="000000" w:themeColor="text1"/>
                      <w:highlight w:val="none"/>
                      <w14:textFill>
                        <w14:solidFill>
                          <w14:schemeClr w14:val="tx1"/>
                        </w14:solidFill>
                      </w14:textFill>
                    </w:rPr>
                  </w:pPr>
                </w:p>
              </w:tc>
              <w:tc>
                <w:tcPr>
                  <w:tcW w:w="802" w:type="pct"/>
                  <w:vMerge w:val="continue"/>
                  <w:tcBorders>
                    <w:tl2br w:val="nil"/>
                    <w:tr2bl w:val="nil"/>
                  </w:tcBorders>
                  <w:noWrap w:val="0"/>
                  <w:tcMar>
                    <w:left w:w="28" w:type="dxa"/>
                    <w:right w:w="28" w:type="dxa"/>
                  </w:tcMar>
                  <w:vAlign w:val="center"/>
                </w:tcPr>
                <w:p w14:paraId="2A2F354B">
                  <w:pPr>
                    <w:pStyle w:val="26"/>
                    <w:bidi w:val="0"/>
                    <w:rPr>
                      <w:rFonts w:hint="default" w:ascii="Times New Roman" w:hAnsi="Times New Roman" w:cs="Times New Roman"/>
                      <w:color w:val="000000" w:themeColor="text1"/>
                      <w:highlight w:val="none"/>
                      <w:lang w:val="en-US" w:eastAsia="zh-CN"/>
                      <w14:textFill>
                        <w14:solidFill>
                          <w14:schemeClr w14:val="tx1"/>
                        </w14:solidFill>
                      </w14:textFill>
                    </w:rPr>
                  </w:pPr>
                </w:p>
              </w:tc>
              <w:tc>
                <w:tcPr>
                  <w:tcW w:w="836" w:type="pct"/>
                  <w:tcBorders>
                    <w:tl2br w:val="nil"/>
                    <w:tr2bl w:val="nil"/>
                  </w:tcBorders>
                  <w:noWrap w:val="0"/>
                  <w:tcMar>
                    <w:left w:w="28" w:type="dxa"/>
                    <w:right w:w="28" w:type="dxa"/>
                  </w:tcMar>
                  <w:vAlign w:val="center"/>
                </w:tcPr>
                <w:p w14:paraId="5B2792F3">
                  <w:pPr>
                    <w:pStyle w:val="26"/>
                    <w:bidi w:val="0"/>
                    <w:ind w:firstLine="0" w:firstLineChars="0"/>
                    <w:jc w:val="center"/>
                    <w:rPr>
                      <w:rFonts w:hint="eastAsia"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苯并[a]芘</w:t>
                  </w:r>
                </w:p>
              </w:tc>
              <w:tc>
                <w:tcPr>
                  <w:tcW w:w="618" w:type="pct"/>
                  <w:tcBorders>
                    <w:tl2br w:val="nil"/>
                    <w:tr2bl w:val="nil"/>
                  </w:tcBorders>
                  <w:noWrap w:val="0"/>
                  <w:tcMar>
                    <w:left w:w="28" w:type="dxa"/>
                    <w:right w:w="28" w:type="dxa"/>
                  </w:tcMar>
                  <w:vAlign w:val="center"/>
                </w:tcPr>
                <w:p w14:paraId="42476C38">
                  <w:pPr>
                    <w:pStyle w:val="2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1次/年</w:t>
                  </w:r>
                </w:p>
              </w:tc>
              <w:tc>
                <w:tcPr>
                  <w:tcW w:w="1717" w:type="pct"/>
                  <w:vMerge w:val="continue"/>
                  <w:tcBorders>
                    <w:tl2br w:val="nil"/>
                    <w:tr2bl w:val="nil"/>
                  </w:tcBorders>
                  <w:noWrap w:val="0"/>
                  <w:tcMar>
                    <w:left w:w="28" w:type="dxa"/>
                    <w:right w:w="28" w:type="dxa"/>
                  </w:tcMar>
                  <w:vAlign w:val="center"/>
                </w:tcPr>
                <w:p w14:paraId="6F25BF09">
                  <w:pPr>
                    <w:pStyle w:val="26"/>
                    <w:bidi w:val="0"/>
                    <w:rPr>
                      <w:rFonts w:hint="default" w:ascii="Times New Roman" w:hAnsi="Times New Roman" w:cs="Times New Roman"/>
                      <w:color w:val="000000" w:themeColor="text1"/>
                      <w:highlight w:val="none"/>
                      <w:lang w:val="en-US" w:eastAsia="zh-CN"/>
                      <w14:textFill>
                        <w14:solidFill>
                          <w14:schemeClr w14:val="tx1"/>
                        </w14:solidFill>
                      </w14:textFill>
                    </w:rPr>
                  </w:pPr>
                </w:p>
              </w:tc>
              <w:tc>
                <w:tcPr>
                  <w:tcW w:w="573" w:type="pct"/>
                  <w:vMerge w:val="continue"/>
                  <w:tcBorders>
                    <w:tl2br w:val="nil"/>
                    <w:tr2bl w:val="nil"/>
                  </w:tcBorders>
                  <w:noWrap w:val="0"/>
                  <w:tcMar>
                    <w:left w:w="28" w:type="dxa"/>
                    <w:right w:w="28" w:type="dxa"/>
                  </w:tcMar>
                  <w:vAlign w:val="center"/>
                </w:tcPr>
                <w:p w14:paraId="1554E22C">
                  <w:pPr>
                    <w:pStyle w:val="26"/>
                    <w:bidi w:val="0"/>
                    <w:rPr>
                      <w:rFonts w:hint="default" w:ascii="Times New Roman" w:hAnsi="Times New Roman" w:cs="Times New Roman"/>
                      <w:color w:val="000000" w:themeColor="text1"/>
                      <w:highlight w:val="none"/>
                      <w:lang w:val="en-US" w:eastAsia="zh-CN"/>
                      <w14:textFill>
                        <w14:solidFill>
                          <w14:schemeClr w14:val="tx1"/>
                        </w14:solidFill>
                      </w14:textFill>
                    </w:rPr>
                  </w:pPr>
                </w:p>
              </w:tc>
            </w:tr>
            <w:tr w14:paraId="317B82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1" w:type="pct"/>
                  <w:vMerge w:val="continue"/>
                  <w:tcBorders>
                    <w:tl2br w:val="nil"/>
                    <w:tr2bl w:val="nil"/>
                  </w:tcBorders>
                  <w:noWrap w:val="0"/>
                  <w:tcMar>
                    <w:left w:w="28" w:type="dxa"/>
                    <w:right w:w="28" w:type="dxa"/>
                  </w:tcMar>
                  <w:vAlign w:val="center"/>
                </w:tcPr>
                <w:p w14:paraId="05955D54">
                  <w:pPr>
                    <w:pStyle w:val="26"/>
                    <w:bidi w:val="0"/>
                    <w:rPr>
                      <w:rFonts w:hint="default" w:ascii="Times New Roman" w:hAnsi="Times New Roman" w:cs="Times New Roman"/>
                      <w:color w:val="000000" w:themeColor="text1"/>
                      <w:highlight w:val="none"/>
                      <w14:textFill>
                        <w14:solidFill>
                          <w14:schemeClr w14:val="tx1"/>
                        </w14:solidFill>
                      </w14:textFill>
                    </w:rPr>
                  </w:pPr>
                </w:p>
              </w:tc>
              <w:tc>
                <w:tcPr>
                  <w:tcW w:w="802" w:type="pct"/>
                  <w:vMerge w:val="continue"/>
                  <w:tcBorders>
                    <w:tl2br w:val="nil"/>
                    <w:tr2bl w:val="nil"/>
                  </w:tcBorders>
                  <w:noWrap w:val="0"/>
                  <w:tcMar>
                    <w:left w:w="28" w:type="dxa"/>
                    <w:right w:w="28" w:type="dxa"/>
                  </w:tcMar>
                  <w:vAlign w:val="center"/>
                </w:tcPr>
                <w:p w14:paraId="2DCEEBD7">
                  <w:pPr>
                    <w:pStyle w:val="26"/>
                    <w:bidi w:val="0"/>
                    <w:rPr>
                      <w:rFonts w:hint="default" w:ascii="Times New Roman" w:hAnsi="Times New Roman" w:cs="Times New Roman"/>
                      <w:color w:val="000000" w:themeColor="text1"/>
                      <w:highlight w:val="none"/>
                      <w:lang w:val="en-US" w:eastAsia="zh-CN"/>
                      <w14:textFill>
                        <w14:solidFill>
                          <w14:schemeClr w14:val="tx1"/>
                        </w14:solidFill>
                      </w14:textFill>
                    </w:rPr>
                  </w:pPr>
                </w:p>
              </w:tc>
              <w:tc>
                <w:tcPr>
                  <w:tcW w:w="836" w:type="pct"/>
                  <w:tcBorders>
                    <w:tl2br w:val="nil"/>
                    <w:tr2bl w:val="nil"/>
                  </w:tcBorders>
                  <w:noWrap w:val="0"/>
                  <w:tcMar>
                    <w:left w:w="28" w:type="dxa"/>
                    <w:right w:w="28" w:type="dxa"/>
                  </w:tcMar>
                  <w:vAlign w:val="center"/>
                </w:tcPr>
                <w:p w14:paraId="104EB7D4">
                  <w:pPr>
                    <w:pStyle w:val="26"/>
                    <w:bidi w:val="0"/>
                    <w:ind w:firstLine="0" w:firstLineChars="0"/>
                    <w:jc w:val="center"/>
                    <w:rPr>
                      <w:rFonts w:hint="eastAsia"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颗粒物</w:t>
                  </w:r>
                </w:p>
              </w:tc>
              <w:tc>
                <w:tcPr>
                  <w:tcW w:w="618" w:type="pct"/>
                  <w:tcBorders>
                    <w:tl2br w:val="nil"/>
                    <w:tr2bl w:val="nil"/>
                  </w:tcBorders>
                  <w:noWrap w:val="0"/>
                  <w:tcMar>
                    <w:left w:w="28" w:type="dxa"/>
                    <w:right w:w="28" w:type="dxa"/>
                  </w:tcMar>
                  <w:vAlign w:val="center"/>
                </w:tcPr>
                <w:p w14:paraId="46D4ADCC">
                  <w:pPr>
                    <w:pStyle w:val="2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1次/年</w:t>
                  </w:r>
                </w:p>
              </w:tc>
              <w:tc>
                <w:tcPr>
                  <w:tcW w:w="1717" w:type="pct"/>
                  <w:vMerge w:val="continue"/>
                  <w:tcBorders>
                    <w:tl2br w:val="nil"/>
                    <w:tr2bl w:val="nil"/>
                  </w:tcBorders>
                  <w:noWrap w:val="0"/>
                  <w:tcMar>
                    <w:left w:w="28" w:type="dxa"/>
                    <w:right w:w="28" w:type="dxa"/>
                  </w:tcMar>
                  <w:vAlign w:val="center"/>
                </w:tcPr>
                <w:p w14:paraId="786D8CEA">
                  <w:pPr>
                    <w:pStyle w:val="26"/>
                    <w:bidi w:val="0"/>
                    <w:rPr>
                      <w:rFonts w:hint="default" w:ascii="Times New Roman" w:hAnsi="Times New Roman" w:cs="Times New Roman"/>
                      <w:color w:val="000000" w:themeColor="text1"/>
                      <w:highlight w:val="none"/>
                      <w:lang w:val="en-US" w:eastAsia="zh-CN"/>
                      <w14:textFill>
                        <w14:solidFill>
                          <w14:schemeClr w14:val="tx1"/>
                        </w14:solidFill>
                      </w14:textFill>
                    </w:rPr>
                  </w:pPr>
                </w:p>
              </w:tc>
              <w:tc>
                <w:tcPr>
                  <w:tcW w:w="573" w:type="pct"/>
                  <w:vMerge w:val="continue"/>
                  <w:tcBorders>
                    <w:tl2br w:val="nil"/>
                    <w:tr2bl w:val="nil"/>
                  </w:tcBorders>
                  <w:noWrap w:val="0"/>
                  <w:tcMar>
                    <w:left w:w="28" w:type="dxa"/>
                    <w:right w:w="28" w:type="dxa"/>
                  </w:tcMar>
                  <w:vAlign w:val="center"/>
                </w:tcPr>
                <w:p w14:paraId="7146371A">
                  <w:pPr>
                    <w:pStyle w:val="26"/>
                    <w:bidi w:val="0"/>
                    <w:rPr>
                      <w:rFonts w:hint="default" w:ascii="Times New Roman" w:hAnsi="Times New Roman" w:cs="Times New Roman"/>
                      <w:color w:val="000000" w:themeColor="text1"/>
                      <w:highlight w:val="none"/>
                      <w:lang w:val="en-US" w:eastAsia="zh-CN"/>
                      <w14:textFill>
                        <w14:solidFill>
                          <w14:schemeClr w14:val="tx1"/>
                        </w14:solidFill>
                      </w14:textFill>
                    </w:rPr>
                  </w:pPr>
                </w:p>
              </w:tc>
            </w:tr>
            <w:tr w14:paraId="79C05D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1" w:type="pct"/>
                  <w:vMerge w:val="continue"/>
                  <w:tcBorders>
                    <w:tl2br w:val="nil"/>
                    <w:tr2bl w:val="nil"/>
                  </w:tcBorders>
                  <w:noWrap w:val="0"/>
                  <w:tcMar>
                    <w:left w:w="28" w:type="dxa"/>
                    <w:right w:w="28" w:type="dxa"/>
                  </w:tcMar>
                  <w:vAlign w:val="center"/>
                </w:tcPr>
                <w:p w14:paraId="7A2636CF">
                  <w:pPr>
                    <w:pStyle w:val="26"/>
                    <w:bidi w:val="0"/>
                    <w:rPr>
                      <w:rFonts w:hint="default" w:ascii="Times New Roman" w:hAnsi="Times New Roman" w:cs="Times New Roman"/>
                      <w:color w:val="000000" w:themeColor="text1"/>
                      <w:highlight w:val="none"/>
                      <w14:textFill>
                        <w14:solidFill>
                          <w14:schemeClr w14:val="tx1"/>
                        </w14:solidFill>
                      </w14:textFill>
                    </w:rPr>
                  </w:pPr>
                </w:p>
              </w:tc>
              <w:tc>
                <w:tcPr>
                  <w:tcW w:w="802" w:type="pct"/>
                  <w:vMerge w:val="continue"/>
                  <w:tcBorders>
                    <w:tl2br w:val="nil"/>
                    <w:tr2bl w:val="nil"/>
                  </w:tcBorders>
                  <w:noWrap w:val="0"/>
                  <w:tcMar>
                    <w:left w:w="28" w:type="dxa"/>
                    <w:right w:w="28" w:type="dxa"/>
                  </w:tcMar>
                  <w:vAlign w:val="center"/>
                </w:tcPr>
                <w:p w14:paraId="354B051C">
                  <w:pPr>
                    <w:pStyle w:val="26"/>
                    <w:bidi w:val="0"/>
                    <w:rPr>
                      <w:rFonts w:hint="default" w:ascii="Times New Roman" w:hAnsi="Times New Roman" w:cs="Times New Roman"/>
                      <w:color w:val="000000" w:themeColor="text1"/>
                      <w:highlight w:val="none"/>
                      <w:lang w:val="en-US" w:eastAsia="zh-CN"/>
                      <w14:textFill>
                        <w14:solidFill>
                          <w14:schemeClr w14:val="tx1"/>
                        </w14:solidFill>
                      </w14:textFill>
                    </w:rPr>
                  </w:pPr>
                </w:p>
              </w:tc>
              <w:tc>
                <w:tcPr>
                  <w:tcW w:w="836" w:type="pct"/>
                  <w:tcBorders>
                    <w:tl2br w:val="nil"/>
                    <w:tr2bl w:val="nil"/>
                  </w:tcBorders>
                  <w:noWrap w:val="0"/>
                  <w:tcMar>
                    <w:left w:w="28" w:type="dxa"/>
                    <w:right w:w="28" w:type="dxa"/>
                  </w:tcMar>
                  <w:vAlign w:val="center"/>
                </w:tcPr>
                <w:p w14:paraId="457F1FB4">
                  <w:pPr>
                    <w:pStyle w:val="26"/>
                    <w:bidi w:val="0"/>
                    <w:ind w:firstLine="0" w:firstLineChars="0"/>
                    <w:jc w:val="center"/>
                    <w:rPr>
                      <w:rFonts w:hint="eastAsia"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非甲烷总烃</w:t>
                  </w:r>
                </w:p>
              </w:tc>
              <w:tc>
                <w:tcPr>
                  <w:tcW w:w="618" w:type="pct"/>
                  <w:tcBorders>
                    <w:tl2br w:val="nil"/>
                    <w:tr2bl w:val="nil"/>
                  </w:tcBorders>
                  <w:noWrap w:val="0"/>
                  <w:tcMar>
                    <w:left w:w="28" w:type="dxa"/>
                    <w:right w:w="28" w:type="dxa"/>
                  </w:tcMar>
                  <w:vAlign w:val="center"/>
                </w:tcPr>
                <w:p w14:paraId="6AF7333A">
                  <w:pPr>
                    <w:pStyle w:val="2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1次/年</w:t>
                  </w:r>
                </w:p>
              </w:tc>
              <w:tc>
                <w:tcPr>
                  <w:tcW w:w="1717" w:type="pct"/>
                  <w:tcBorders>
                    <w:tl2br w:val="nil"/>
                    <w:tr2bl w:val="nil"/>
                  </w:tcBorders>
                  <w:noWrap w:val="0"/>
                  <w:tcMar>
                    <w:left w:w="28" w:type="dxa"/>
                    <w:right w:w="28" w:type="dxa"/>
                  </w:tcMar>
                  <w:vAlign w:val="center"/>
                </w:tcPr>
                <w:p w14:paraId="14A8F181">
                  <w:pPr>
                    <w:pStyle w:val="2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《工业企业挥发性有机物排放标准》（DB35/1782-2018）中表1排放限值</w:t>
                  </w:r>
                </w:p>
              </w:tc>
              <w:tc>
                <w:tcPr>
                  <w:tcW w:w="573" w:type="pct"/>
                  <w:vMerge w:val="continue"/>
                  <w:tcBorders>
                    <w:tl2br w:val="nil"/>
                    <w:tr2bl w:val="nil"/>
                  </w:tcBorders>
                  <w:noWrap w:val="0"/>
                  <w:tcMar>
                    <w:left w:w="28" w:type="dxa"/>
                    <w:right w:w="28" w:type="dxa"/>
                  </w:tcMar>
                  <w:vAlign w:val="center"/>
                </w:tcPr>
                <w:p w14:paraId="2F95C6AB">
                  <w:pPr>
                    <w:pStyle w:val="26"/>
                    <w:bidi w:val="0"/>
                    <w:rPr>
                      <w:rFonts w:hint="default" w:ascii="Times New Roman" w:hAnsi="Times New Roman" w:cs="Times New Roman"/>
                      <w:color w:val="000000" w:themeColor="text1"/>
                      <w:highlight w:val="none"/>
                      <w:lang w:val="en-US" w:eastAsia="zh-CN"/>
                      <w14:textFill>
                        <w14:solidFill>
                          <w14:schemeClr w14:val="tx1"/>
                        </w14:solidFill>
                      </w14:textFill>
                    </w:rPr>
                  </w:pPr>
                </w:p>
              </w:tc>
            </w:tr>
            <w:tr w14:paraId="52EFBA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1" w:type="pct"/>
                  <w:vMerge w:val="continue"/>
                  <w:tcBorders>
                    <w:tl2br w:val="nil"/>
                    <w:tr2bl w:val="nil"/>
                  </w:tcBorders>
                  <w:noWrap w:val="0"/>
                  <w:tcMar>
                    <w:left w:w="28" w:type="dxa"/>
                    <w:right w:w="28" w:type="dxa"/>
                  </w:tcMar>
                  <w:vAlign w:val="center"/>
                </w:tcPr>
                <w:p w14:paraId="20A1C6B0">
                  <w:pPr>
                    <w:pStyle w:val="26"/>
                    <w:bidi w:val="0"/>
                    <w:rPr>
                      <w:rFonts w:hint="default" w:ascii="Times New Roman" w:hAnsi="Times New Roman" w:cs="Times New Roman"/>
                      <w:color w:val="000000" w:themeColor="text1"/>
                      <w:highlight w:val="none"/>
                      <w14:textFill>
                        <w14:solidFill>
                          <w14:schemeClr w14:val="tx1"/>
                        </w14:solidFill>
                      </w14:textFill>
                    </w:rPr>
                  </w:pPr>
                </w:p>
              </w:tc>
              <w:tc>
                <w:tcPr>
                  <w:tcW w:w="802" w:type="pct"/>
                  <w:vMerge w:val="restart"/>
                  <w:tcBorders>
                    <w:tl2br w:val="nil"/>
                    <w:tr2bl w:val="nil"/>
                  </w:tcBorders>
                  <w:noWrap w:val="0"/>
                  <w:tcMar>
                    <w:left w:w="28" w:type="dxa"/>
                    <w:right w:w="28" w:type="dxa"/>
                  </w:tcMar>
                  <w:vAlign w:val="center"/>
                </w:tcPr>
                <w:p w14:paraId="4DE97A4A">
                  <w:pPr>
                    <w:pStyle w:val="2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厂界</w:t>
                  </w:r>
                </w:p>
              </w:tc>
              <w:tc>
                <w:tcPr>
                  <w:tcW w:w="836" w:type="pct"/>
                  <w:tcBorders>
                    <w:tl2br w:val="nil"/>
                    <w:tr2bl w:val="nil"/>
                  </w:tcBorders>
                  <w:noWrap w:val="0"/>
                  <w:tcMar>
                    <w:left w:w="28" w:type="dxa"/>
                    <w:right w:w="28" w:type="dxa"/>
                  </w:tcMar>
                  <w:vAlign w:val="center"/>
                </w:tcPr>
                <w:p w14:paraId="094F8BFD">
                  <w:pPr>
                    <w:pStyle w:val="2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颗粒物、沥青烟、苯并[a]芘</w:t>
                  </w:r>
                </w:p>
              </w:tc>
              <w:tc>
                <w:tcPr>
                  <w:tcW w:w="618" w:type="pct"/>
                  <w:tcBorders>
                    <w:tl2br w:val="nil"/>
                    <w:tr2bl w:val="nil"/>
                  </w:tcBorders>
                  <w:noWrap w:val="0"/>
                  <w:tcMar>
                    <w:left w:w="28" w:type="dxa"/>
                    <w:right w:w="28" w:type="dxa"/>
                  </w:tcMar>
                  <w:vAlign w:val="center"/>
                </w:tcPr>
                <w:p w14:paraId="68EE132C">
                  <w:pPr>
                    <w:pStyle w:val="26"/>
                    <w:bidi w:val="0"/>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1次/年</w:t>
                  </w:r>
                </w:p>
              </w:tc>
              <w:tc>
                <w:tcPr>
                  <w:tcW w:w="1717" w:type="pct"/>
                  <w:tcBorders>
                    <w:tl2br w:val="nil"/>
                    <w:tr2bl w:val="nil"/>
                  </w:tcBorders>
                  <w:noWrap w:val="0"/>
                  <w:tcMar>
                    <w:left w:w="28" w:type="dxa"/>
                    <w:right w:w="28" w:type="dxa"/>
                  </w:tcMar>
                  <w:vAlign w:val="center"/>
                </w:tcPr>
                <w:p w14:paraId="0DF8606D">
                  <w:pPr>
                    <w:pStyle w:val="2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《大气污染物综合排放标准》（GB16297-1996）表2中无组织排放监控浓度限值</w:t>
                  </w:r>
                </w:p>
              </w:tc>
              <w:tc>
                <w:tcPr>
                  <w:tcW w:w="573" w:type="pct"/>
                  <w:vMerge w:val="continue"/>
                  <w:tcBorders>
                    <w:tl2br w:val="nil"/>
                    <w:tr2bl w:val="nil"/>
                  </w:tcBorders>
                  <w:noWrap w:val="0"/>
                  <w:tcMar>
                    <w:left w:w="28" w:type="dxa"/>
                    <w:right w:w="28" w:type="dxa"/>
                  </w:tcMar>
                  <w:vAlign w:val="center"/>
                </w:tcPr>
                <w:p w14:paraId="4CDE4F18">
                  <w:pPr>
                    <w:pStyle w:val="26"/>
                    <w:bidi w:val="0"/>
                    <w:rPr>
                      <w:rFonts w:hint="default" w:ascii="Times New Roman" w:hAnsi="Times New Roman" w:cs="Times New Roman"/>
                      <w:color w:val="000000" w:themeColor="text1"/>
                      <w:highlight w:val="none"/>
                      <w14:textFill>
                        <w14:solidFill>
                          <w14:schemeClr w14:val="tx1"/>
                        </w14:solidFill>
                      </w14:textFill>
                    </w:rPr>
                  </w:pPr>
                </w:p>
              </w:tc>
            </w:tr>
            <w:tr w14:paraId="4E5D5D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1" w:type="pct"/>
                  <w:vMerge w:val="continue"/>
                  <w:tcBorders>
                    <w:tl2br w:val="nil"/>
                    <w:tr2bl w:val="nil"/>
                  </w:tcBorders>
                  <w:noWrap w:val="0"/>
                  <w:tcMar>
                    <w:left w:w="28" w:type="dxa"/>
                    <w:right w:w="28" w:type="dxa"/>
                  </w:tcMar>
                  <w:vAlign w:val="center"/>
                </w:tcPr>
                <w:p w14:paraId="3132F22B">
                  <w:pPr>
                    <w:pStyle w:val="26"/>
                    <w:bidi w:val="0"/>
                    <w:rPr>
                      <w:rFonts w:hint="default" w:ascii="Times New Roman" w:hAnsi="Times New Roman" w:cs="Times New Roman"/>
                      <w:color w:val="000000" w:themeColor="text1"/>
                      <w:highlight w:val="none"/>
                      <w14:textFill>
                        <w14:solidFill>
                          <w14:schemeClr w14:val="tx1"/>
                        </w14:solidFill>
                      </w14:textFill>
                    </w:rPr>
                  </w:pPr>
                </w:p>
              </w:tc>
              <w:tc>
                <w:tcPr>
                  <w:tcW w:w="802" w:type="pct"/>
                  <w:vMerge w:val="continue"/>
                  <w:tcBorders>
                    <w:tl2br w:val="nil"/>
                    <w:tr2bl w:val="nil"/>
                  </w:tcBorders>
                  <w:noWrap w:val="0"/>
                  <w:tcMar>
                    <w:left w:w="28" w:type="dxa"/>
                    <w:right w:w="28" w:type="dxa"/>
                  </w:tcMar>
                  <w:vAlign w:val="center"/>
                </w:tcPr>
                <w:p w14:paraId="64A5FC06">
                  <w:pPr>
                    <w:pStyle w:val="26"/>
                    <w:bidi w:val="0"/>
                    <w:rPr>
                      <w:rFonts w:hint="default" w:ascii="Times New Roman" w:hAnsi="Times New Roman" w:cs="Times New Roman"/>
                      <w:color w:val="000000" w:themeColor="text1"/>
                      <w:highlight w:val="none"/>
                      <w14:textFill>
                        <w14:solidFill>
                          <w14:schemeClr w14:val="tx1"/>
                        </w14:solidFill>
                      </w14:textFill>
                    </w:rPr>
                  </w:pPr>
                </w:p>
              </w:tc>
              <w:tc>
                <w:tcPr>
                  <w:tcW w:w="836" w:type="pct"/>
                  <w:tcBorders>
                    <w:tl2br w:val="nil"/>
                    <w:tr2bl w:val="nil"/>
                  </w:tcBorders>
                  <w:noWrap w:val="0"/>
                  <w:tcMar>
                    <w:left w:w="28" w:type="dxa"/>
                    <w:right w:w="28" w:type="dxa"/>
                  </w:tcMar>
                  <w:vAlign w:val="center"/>
                </w:tcPr>
                <w:p w14:paraId="103389FF">
                  <w:pPr>
                    <w:pStyle w:val="26"/>
                    <w:bidi w:val="0"/>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非甲烷总烃</w:t>
                  </w:r>
                </w:p>
              </w:tc>
              <w:tc>
                <w:tcPr>
                  <w:tcW w:w="618" w:type="pct"/>
                  <w:tcBorders>
                    <w:tl2br w:val="nil"/>
                    <w:tr2bl w:val="nil"/>
                  </w:tcBorders>
                  <w:noWrap w:val="0"/>
                  <w:tcMar>
                    <w:left w:w="28" w:type="dxa"/>
                    <w:right w:w="28" w:type="dxa"/>
                  </w:tcMar>
                  <w:vAlign w:val="center"/>
                </w:tcPr>
                <w:p w14:paraId="2A991AA3">
                  <w:pPr>
                    <w:pStyle w:val="26"/>
                    <w:bidi w:val="0"/>
                    <w:rPr>
                      <w:rFonts w:hint="default" w:ascii="Times New Roman" w:hAnsi="Times New Roman" w:cs="Times New Roman"/>
                      <w:color w:val="000000" w:themeColor="text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1次/年</w:t>
                  </w:r>
                </w:p>
              </w:tc>
              <w:tc>
                <w:tcPr>
                  <w:tcW w:w="1717" w:type="pct"/>
                  <w:tcBorders>
                    <w:tl2br w:val="nil"/>
                    <w:tr2bl w:val="nil"/>
                  </w:tcBorders>
                  <w:noWrap w:val="0"/>
                  <w:tcMar>
                    <w:left w:w="28" w:type="dxa"/>
                    <w:right w:w="28" w:type="dxa"/>
                  </w:tcMar>
                  <w:vAlign w:val="center"/>
                </w:tcPr>
                <w:p w14:paraId="7DDD5F02">
                  <w:pPr>
                    <w:pStyle w:val="2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《工业企业挥发性有机物排放标准》（DB35/1782-2018）中表3排放限值</w:t>
                  </w:r>
                </w:p>
              </w:tc>
              <w:tc>
                <w:tcPr>
                  <w:tcW w:w="573" w:type="pct"/>
                  <w:vMerge w:val="continue"/>
                  <w:tcBorders>
                    <w:tl2br w:val="nil"/>
                    <w:tr2bl w:val="nil"/>
                  </w:tcBorders>
                  <w:noWrap w:val="0"/>
                  <w:tcMar>
                    <w:left w:w="28" w:type="dxa"/>
                    <w:right w:w="28" w:type="dxa"/>
                  </w:tcMar>
                  <w:vAlign w:val="center"/>
                </w:tcPr>
                <w:p w14:paraId="3B7E3E59">
                  <w:pPr>
                    <w:pStyle w:val="26"/>
                    <w:bidi w:val="0"/>
                    <w:rPr>
                      <w:rFonts w:hint="default" w:ascii="Times New Roman" w:hAnsi="Times New Roman" w:cs="Times New Roman"/>
                      <w:color w:val="000000" w:themeColor="text1"/>
                      <w:highlight w:val="none"/>
                      <w14:textFill>
                        <w14:solidFill>
                          <w14:schemeClr w14:val="tx1"/>
                        </w14:solidFill>
                      </w14:textFill>
                    </w:rPr>
                  </w:pPr>
                </w:p>
              </w:tc>
            </w:tr>
            <w:tr w14:paraId="6501E2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1" w:type="pct"/>
                  <w:vMerge w:val="continue"/>
                  <w:tcBorders>
                    <w:tl2br w:val="nil"/>
                    <w:tr2bl w:val="nil"/>
                  </w:tcBorders>
                  <w:noWrap w:val="0"/>
                  <w:tcMar>
                    <w:left w:w="28" w:type="dxa"/>
                    <w:right w:w="28" w:type="dxa"/>
                  </w:tcMar>
                  <w:vAlign w:val="center"/>
                </w:tcPr>
                <w:p w14:paraId="113324CA">
                  <w:pPr>
                    <w:pStyle w:val="26"/>
                    <w:bidi w:val="0"/>
                    <w:rPr>
                      <w:rFonts w:hint="default" w:ascii="Times New Roman" w:hAnsi="Times New Roman" w:cs="Times New Roman"/>
                      <w:color w:val="000000" w:themeColor="text1"/>
                      <w:highlight w:val="none"/>
                      <w14:textFill>
                        <w14:solidFill>
                          <w14:schemeClr w14:val="tx1"/>
                        </w14:solidFill>
                      </w14:textFill>
                    </w:rPr>
                  </w:pPr>
                </w:p>
              </w:tc>
              <w:tc>
                <w:tcPr>
                  <w:tcW w:w="802" w:type="pct"/>
                  <w:tcBorders>
                    <w:tl2br w:val="nil"/>
                    <w:tr2bl w:val="nil"/>
                  </w:tcBorders>
                  <w:noWrap w:val="0"/>
                  <w:tcMar>
                    <w:left w:w="28" w:type="dxa"/>
                    <w:right w:w="28" w:type="dxa"/>
                  </w:tcMar>
                  <w:vAlign w:val="center"/>
                </w:tcPr>
                <w:p w14:paraId="50038CD6">
                  <w:pPr>
                    <w:pStyle w:val="26"/>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厂区内监控点</w:t>
                  </w:r>
                </w:p>
              </w:tc>
              <w:tc>
                <w:tcPr>
                  <w:tcW w:w="836" w:type="pct"/>
                  <w:tcBorders>
                    <w:tl2br w:val="nil"/>
                    <w:tr2bl w:val="nil"/>
                  </w:tcBorders>
                  <w:noWrap w:val="0"/>
                  <w:tcMar>
                    <w:left w:w="28" w:type="dxa"/>
                    <w:right w:w="28" w:type="dxa"/>
                  </w:tcMar>
                  <w:vAlign w:val="center"/>
                </w:tcPr>
                <w:p w14:paraId="7F4E3708">
                  <w:pPr>
                    <w:pStyle w:val="2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非甲烷总烃</w:t>
                  </w:r>
                </w:p>
              </w:tc>
              <w:tc>
                <w:tcPr>
                  <w:tcW w:w="618" w:type="pct"/>
                  <w:tcBorders>
                    <w:tl2br w:val="nil"/>
                    <w:tr2bl w:val="nil"/>
                  </w:tcBorders>
                  <w:noWrap w:val="0"/>
                  <w:tcMar>
                    <w:left w:w="28" w:type="dxa"/>
                    <w:right w:w="28" w:type="dxa"/>
                  </w:tcMar>
                  <w:vAlign w:val="center"/>
                </w:tcPr>
                <w:p w14:paraId="4FBA4E4B">
                  <w:pPr>
                    <w:pStyle w:val="26"/>
                    <w:bidi w:val="0"/>
                    <w:rPr>
                      <w:rFonts w:hint="default" w:ascii="Times New Roman" w:hAnsi="Times New Roman" w:cs="Times New Roman"/>
                      <w:color w:val="000000" w:themeColor="text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1次/年</w:t>
                  </w:r>
                </w:p>
              </w:tc>
              <w:tc>
                <w:tcPr>
                  <w:tcW w:w="1717" w:type="pct"/>
                  <w:tcBorders>
                    <w:tl2br w:val="nil"/>
                    <w:tr2bl w:val="nil"/>
                  </w:tcBorders>
                  <w:noWrap w:val="0"/>
                  <w:tcMar>
                    <w:left w:w="28" w:type="dxa"/>
                    <w:right w:w="28" w:type="dxa"/>
                  </w:tcMar>
                  <w:vAlign w:val="center"/>
                </w:tcPr>
                <w:p w14:paraId="4FD3FE8E">
                  <w:pPr>
                    <w:pStyle w:val="26"/>
                    <w:bidi w:val="0"/>
                    <w:rPr>
                      <w:rFonts w:hint="default" w:ascii="Times New Roman" w:hAnsi="Times New Roman" w:cs="Times New Roman"/>
                      <w:color w:val="000000" w:themeColor="text1"/>
                      <w:highlight w:val="none"/>
                      <w:lang w:val="en-US"/>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《工业企业挥发性有机物排放标准》（DB 35/1782-2018）表2相应标准；任意一次浓度值执行</w:t>
                  </w:r>
                  <w:r>
                    <w:rPr>
                      <w:rFonts w:hint="default" w:ascii="Times New Roman" w:hAnsi="Times New Roman" w:cs="Times New Roman"/>
                      <w:color w:val="000000" w:themeColor="text1"/>
                      <w:highlight w:val="none"/>
                      <w14:textFill>
                        <w14:solidFill>
                          <w14:schemeClr w14:val="tx1"/>
                        </w14:solidFill>
                      </w14:textFill>
                    </w:rPr>
                    <w:t>《挥发性有机物无组织排放控制标准》（GB37822-2019）</w:t>
                  </w:r>
                  <w:r>
                    <w:rPr>
                      <w:rFonts w:hint="default" w:ascii="Times New Roman" w:hAnsi="Times New Roman" w:cs="Times New Roman"/>
                      <w:color w:val="000000" w:themeColor="text1"/>
                      <w:highlight w:val="none"/>
                      <w:lang w:val="en-US" w:eastAsia="zh-CN"/>
                      <w14:textFill>
                        <w14:solidFill>
                          <w14:schemeClr w14:val="tx1"/>
                        </w14:solidFill>
                      </w14:textFill>
                    </w:rPr>
                    <w:t>附录A的表A.1</w:t>
                  </w:r>
                </w:p>
              </w:tc>
              <w:tc>
                <w:tcPr>
                  <w:tcW w:w="573" w:type="pct"/>
                  <w:vMerge w:val="continue"/>
                  <w:tcBorders>
                    <w:tl2br w:val="nil"/>
                    <w:tr2bl w:val="nil"/>
                  </w:tcBorders>
                  <w:noWrap w:val="0"/>
                  <w:tcMar>
                    <w:left w:w="28" w:type="dxa"/>
                    <w:right w:w="28" w:type="dxa"/>
                  </w:tcMar>
                  <w:vAlign w:val="center"/>
                </w:tcPr>
                <w:p w14:paraId="2130C9C2">
                  <w:pPr>
                    <w:pStyle w:val="26"/>
                    <w:bidi w:val="0"/>
                    <w:rPr>
                      <w:rFonts w:hint="default" w:ascii="Times New Roman" w:hAnsi="Times New Roman" w:cs="Times New Roman"/>
                      <w:color w:val="000000" w:themeColor="text1"/>
                      <w:highlight w:val="none"/>
                      <w14:textFill>
                        <w14:solidFill>
                          <w14:schemeClr w14:val="tx1"/>
                        </w14:solidFill>
                      </w14:textFill>
                    </w:rPr>
                  </w:pPr>
                </w:p>
              </w:tc>
            </w:tr>
            <w:tr w14:paraId="5AAC8A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gridSpan w:val="6"/>
                  <w:tcBorders>
                    <w:tl2br w:val="nil"/>
                    <w:tr2bl w:val="nil"/>
                  </w:tcBorders>
                  <w:noWrap w:val="0"/>
                  <w:tcMar>
                    <w:left w:w="28" w:type="dxa"/>
                    <w:right w:w="28" w:type="dxa"/>
                  </w:tcMar>
                  <w:vAlign w:val="center"/>
                </w:tcPr>
                <w:p w14:paraId="3CEDECFA">
                  <w:pPr>
                    <w:pStyle w:val="26"/>
                    <w:bidi w:val="0"/>
                    <w:jc w:val="both"/>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注：</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根据《排污单位自行监测技术指南 总则》（HJ 819-2017）</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《固定污染源排污许可分类管理名录（2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019年版）》</w:t>
                  </w:r>
                  <w:r>
                    <w:rPr>
                      <w:rFonts w:hint="eastAsia"/>
                      <w:color w:val="000000" w:themeColor="text1"/>
                      <w:sz w:val="21"/>
                      <w:szCs w:val="21"/>
                      <w:highlight w:val="none"/>
                      <w:lang w:val="en-US" w:eastAsia="zh-CN"/>
                      <w14:textFill>
                        <w14:solidFill>
                          <w14:schemeClr w14:val="tx1"/>
                        </w14:solidFill>
                      </w14:textFill>
                    </w:rPr>
                    <w:t>《排污许可证申请与核发技术规范 石墨及其他非金属矿物制品制造》（HJ1119-2020）《排污单位自行监测技术指南 总则》（HJ 819-2017）</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等技术材料制定本监测计划</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r>
          </w:tbl>
          <w:p w14:paraId="10A50F3A">
            <w:pPr>
              <w:pStyle w:val="3"/>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废气源强核算过程</w:t>
            </w:r>
          </w:p>
          <w:p w14:paraId="2480FEBF">
            <w:pPr>
              <w:pStyle w:val="4"/>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一期工程废气源强核算</w:t>
            </w:r>
          </w:p>
          <w:p w14:paraId="3B4EB860">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项目一期工程主要建设年产30 t单壁碳纳米管生产线和</w:t>
            </w:r>
            <w:r>
              <w:rPr>
                <w:rFonts w:hint="eastAsia" w:ascii="Times New Roman" w:hAnsi="Times New Roman" w:cs="Times New Roman"/>
                <w:color w:val="000000" w:themeColor="text1"/>
                <w:highlight w:val="none"/>
                <w:lang w:val="en-US" w:eastAsia="zh-CN"/>
                <w14:textFill>
                  <w14:solidFill>
                    <w14:schemeClr w14:val="tx1"/>
                  </w14:solidFill>
                </w14:textFill>
              </w:rPr>
              <w:t>年产300 t硅碳负极材料生产线。</w:t>
            </w:r>
            <w:r>
              <w:rPr>
                <w:rFonts w:hint="eastAsia"/>
                <w:color w:val="000000" w:themeColor="text1"/>
                <w:highlight w:val="none"/>
                <w:lang w:val="en-US" w:eastAsia="zh-CN"/>
                <w14:textFill>
                  <w14:solidFill>
                    <w14:schemeClr w14:val="tx1"/>
                  </w14:solidFill>
                </w14:textFill>
              </w:rPr>
              <w:t>根据生产工艺流程及产污环节，</w:t>
            </w:r>
            <w:r>
              <w:rPr>
                <w:rFonts w:hint="eastAsia" w:ascii="Times New Roman" w:hAnsi="Times New Roman" w:cs="Times New Roman"/>
                <w:color w:val="000000" w:themeColor="text1"/>
                <w:highlight w:val="none"/>
                <w:lang w:val="en-US" w:eastAsia="zh-CN"/>
                <w14:textFill>
                  <w14:solidFill>
                    <w14:schemeClr w14:val="tx1"/>
                  </w14:solidFill>
                </w14:textFill>
              </w:rPr>
              <w:t>单壁碳纳米管生产线</w:t>
            </w:r>
            <w:r>
              <w:rPr>
                <w:rFonts w:hint="eastAsia" w:cs="Times New Roman"/>
                <w:color w:val="000000" w:themeColor="text1"/>
                <w:highlight w:val="none"/>
                <w:lang w:val="en-US" w:eastAsia="zh-CN"/>
                <w14:textFill>
                  <w14:solidFill>
                    <w14:schemeClr w14:val="tx1"/>
                  </w14:solidFill>
                </w14:textFill>
              </w:rPr>
              <w:t>上料时利用</w:t>
            </w:r>
            <w:r>
              <w:rPr>
                <w:rFonts w:hint="eastAsia"/>
                <w:color w:val="000000" w:themeColor="text1"/>
                <w:highlight w:val="none"/>
                <w14:textFill>
                  <w14:solidFill>
                    <w14:schemeClr w14:val="tx1"/>
                  </w14:solidFill>
                </w14:textFill>
              </w:rPr>
              <w:t>真空吸料</w:t>
            </w:r>
            <w:r>
              <w:rPr>
                <w:rFonts w:hint="eastAsia"/>
                <w:color w:val="000000" w:themeColor="text1"/>
                <w:highlight w:val="none"/>
                <w:lang w:val="en-US" w:eastAsia="zh-CN"/>
                <w14:textFill>
                  <w14:solidFill>
                    <w14:schemeClr w14:val="tx1"/>
                  </w14:solidFill>
                </w14:textFill>
              </w:rPr>
              <w:t>罐</w:t>
            </w:r>
            <w:r>
              <w:rPr>
                <w:rFonts w:hint="eastAsia"/>
                <w:color w:val="000000" w:themeColor="text1"/>
                <w:highlight w:val="none"/>
                <w14:textFill>
                  <w14:solidFill>
                    <w14:schemeClr w14:val="tx1"/>
                  </w14:solidFill>
                </w14:textFill>
              </w:rPr>
              <w:t>直接将管道插入粉料包装袋中进行负压吸料</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且生产过程为全密闭，粉尘产生量极少，本次评价不作定量分析，主要</w:t>
            </w:r>
            <w:r>
              <w:rPr>
                <w:rFonts w:hint="eastAsia" w:ascii="Times New Roman" w:hAnsi="Times New Roman" w:cs="Times New Roman"/>
                <w:color w:val="000000" w:themeColor="text1"/>
                <w:highlight w:val="none"/>
                <w:lang w:val="en-US" w:eastAsia="zh-CN"/>
                <w14:textFill>
                  <w14:solidFill>
                    <w14:schemeClr w14:val="tx1"/>
                  </w14:solidFill>
                </w14:textFill>
              </w:rPr>
              <w:t>产污环节为烘干、引弧放电，主要污染因子为：非甲烷总烃；硅碳负极材料生产线</w:t>
            </w:r>
            <w:r>
              <w:rPr>
                <w:rFonts w:hint="eastAsia" w:cs="Times New Roman"/>
                <w:color w:val="000000" w:themeColor="text1"/>
                <w:highlight w:val="none"/>
                <w:lang w:val="en-US" w:eastAsia="zh-CN"/>
                <w14:textFill>
                  <w14:solidFill>
                    <w14:schemeClr w14:val="tx1"/>
                  </w14:solidFill>
                </w14:textFill>
              </w:rPr>
              <w:t>配料过程为</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负压状态，且配料罐配备环形滤筒除尘器</w:t>
            </w:r>
            <w:r>
              <w:rPr>
                <w:rFonts w:hint="eastAsia" w:cs="Times New Roman"/>
                <w:color w:val="000000" w:themeColor="text1"/>
                <w:kern w:val="0"/>
                <w:sz w:val="24"/>
                <w:szCs w:val="24"/>
                <w:highlight w:val="none"/>
                <w:lang w:val="en-US" w:eastAsia="zh-CN" w:bidi="ar"/>
                <w14:textFill>
                  <w14:solidFill>
                    <w14:schemeClr w14:val="tx1"/>
                  </w14:solidFill>
                </w14:textFill>
              </w:rPr>
              <w:t>，收集的粉尘回用于生产线，上料过程</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利用真空吸料罐直接将管道插入按比例配好的物料的料罐中进行吸料</w:t>
            </w:r>
            <w:r>
              <w:rPr>
                <w:rFonts w:hint="eastAsia" w:cs="Times New Roman"/>
                <w:color w:val="000000" w:themeColor="text1"/>
                <w:kern w:val="0"/>
                <w:sz w:val="24"/>
                <w:szCs w:val="24"/>
                <w:highlight w:val="none"/>
                <w:lang w:val="en-US" w:eastAsia="zh-CN" w:bidi="ar"/>
                <w14:textFill>
                  <w14:solidFill>
                    <w14:schemeClr w14:val="tx1"/>
                  </w14:solidFill>
                </w14:textFill>
              </w:rPr>
              <w:t>，配料、上料过程粉尘的产生量极小，本次评价不作定量分析，主要</w:t>
            </w:r>
            <w:r>
              <w:rPr>
                <w:rFonts w:hint="eastAsia" w:ascii="Times New Roman" w:hAnsi="Times New Roman" w:cs="Times New Roman"/>
                <w:color w:val="000000" w:themeColor="text1"/>
                <w:highlight w:val="none"/>
                <w:lang w:val="en-US" w:eastAsia="zh-CN"/>
                <w14:textFill>
                  <w14:solidFill>
                    <w14:schemeClr w14:val="tx1"/>
                  </w14:solidFill>
                </w14:textFill>
              </w:rPr>
              <w:t>产污环节为</w:t>
            </w:r>
            <w:r>
              <w:rPr>
                <w:rFonts w:hint="eastAsia" w:cs="Times New Roman"/>
                <w:color w:val="000000" w:themeColor="text1"/>
                <w:highlight w:val="none"/>
                <w:lang w:val="en-US" w:eastAsia="zh-CN"/>
                <w14:textFill>
                  <w14:solidFill>
                    <w14:schemeClr w14:val="tx1"/>
                  </w14:solidFill>
                </w14:textFill>
              </w:rPr>
              <w:t>砂磨、干燥、</w:t>
            </w:r>
            <w:r>
              <w:rPr>
                <w:rFonts w:hint="eastAsia" w:ascii="Times New Roman" w:hAnsi="Times New Roman" w:cs="Times New Roman"/>
                <w:color w:val="000000" w:themeColor="text1"/>
                <w:highlight w:val="none"/>
                <w:lang w:val="en-US" w:eastAsia="zh-CN"/>
                <w14:textFill>
                  <w14:solidFill>
                    <w14:schemeClr w14:val="tx1"/>
                  </w14:solidFill>
                </w14:textFill>
              </w:rPr>
              <w:t>包覆、</w:t>
            </w:r>
            <w:r>
              <w:rPr>
                <w:rFonts w:hint="eastAsia" w:cs="Times New Roman"/>
                <w:color w:val="000000" w:themeColor="text1"/>
                <w:highlight w:val="none"/>
                <w:lang w:val="en-US" w:eastAsia="zh-CN"/>
                <w14:textFill>
                  <w14:solidFill>
                    <w14:schemeClr w14:val="tx1"/>
                  </w14:solidFill>
                </w14:textFill>
              </w:rPr>
              <w:t>二次包覆、</w:t>
            </w:r>
            <w:r>
              <w:rPr>
                <w:rFonts w:hint="eastAsia" w:ascii="Times New Roman" w:hAnsi="Times New Roman" w:cs="Times New Roman"/>
                <w:color w:val="000000" w:themeColor="text1"/>
                <w:highlight w:val="none"/>
                <w:lang w:val="en-US" w:eastAsia="zh-CN"/>
                <w14:textFill>
                  <w14:solidFill>
                    <w14:schemeClr w14:val="tx1"/>
                  </w14:solidFill>
                </w14:textFill>
              </w:rPr>
              <w:t>碳化</w:t>
            </w:r>
            <w:r>
              <w:rPr>
                <w:rFonts w:hint="eastAsia" w:cs="Times New Roman"/>
                <w:color w:val="000000" w:themeColor="text1"/>
                <w:highlight w:val="none"/>
                <w:lang w:val="en-US" w:eastAsia="zh-CN"/>
                <w14:textFill>
                  <w14:solidFill>
                    <w14:schemeClr w14:val="tx1"/>
                  </w14:solidFill>
                </w14:textFill>
              </w:rPr>
              <w:t>以及</w:t>
            </w:r>
            <w:r>
              <w:rPr>
                <w:rFonts w:hint="eastAsia" w:ascii="Times New Roman" w:hAnsi="Times New Roman" w:cs="Times New Roman"/>
                <w:color w:val="000000" w:themeColor="text1"/>
                <w:highlight w:val="none"/>
                <w:lang w:val="en-US" w:eastAsia="zh-CN"/>
                <w14:textFill>
                  <w14:solidFill>
                    <w14:schemeClr w14:val="tx1"/>
                  </w14:solidFill>
                </w14:textFill>
              </w:rPr>
              <w:t>乙醇罐呼吸废气</w:t>
            </w:r>
            <w:r>
              <w:rPr>
                <w:rFonts w:hint="eastAsia" w:cs="Times New Roman"/>
                <w:color w:val="000000" w:themeColor="text1"/>
                <w:highlight w:val="none"/>
                <w:lang w:val="en-US" w:eastAsia="zh-CN"/>
                <w14:textFill>
                  <w14:solidFill>
                    <w14:schemeClr w14:val="tx1"/>
                  </w14:solidFill>
                </w14:textFill>
              </w:rPr>
              <w:t>，主要污染因子为：</w:t>
            </w:r>
            <w:r>
              <w:rPr>
                <w:rFonts w:hint="eastAsia"/>
                <w:color w:val="000000" w:themeColor="text1"/>
                <w:highlight w:val="none"/>
                <w:lang w:val="en-US" w:eastAsia="zh-CN" w:bidi="ar-SA"/>
                <w14:textFill>
                  <w14:solidFill>
                    <w14:schemeClr w14:val="tx1"/>
                  </w14:solidFill>
                </w14:textFill>
              </w:rPr>
              <w:t>非甲烷总烃、苯并[a]芘、沥青烟、烟尘</w:t>
            </w:r>
            <w:r>
              <w:rPr>
                <w:rFonts w:hint="eastAsia" w:ascii="Times New Roman" w:hAnsi="Times New Roman" w:cs="Times New Roman"/>
                <w:color w:val="000000" w:themeColor="text1"/>
                <w:highlight w:val="none"/>
                <w:lang w:val="en-US" w:eastAsia="zh-CN"/>
                <w14:textFill>
                  <w14:solidFill>
                    <w14:schemeClr w14:val="tx1"/>
                  </w14:solidFill>
                </w14:textFill>
              </w:rPr>
              <w:t>。</w:t>
            </w:r>
          </w:p>
          <w:p w14:paraId="624102A1">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r>
              <w:rPr>
                <w:rFonts w:hint="eastAsia" w:ascii="Times New Roman" w:hAnsi="Times New Roman" w:cs="Times New Roman"/>
                <w:color w:val="000000" w:themeColor="text1"/>
                <w:highlight w:val="none"/>
                <w:lang w:val="en-US" w:eastAsia="zh-CN"/>
                <w14:textFill>
                  <w14:solidFill>
                    <w14:schemeClr w14:val="tx1"/>
                  </w14:solidFill>
                </w14:textFill>
              </w:rPr>
              <w:t>单壁碳纳米管生产线</w:t>
            </w:r>
          </w:p>
          <w:p w14:paraId="166E54E3">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①烘干废气</w:t>
            </w:r>
          </w:p>
          <w:p w14:paraId="70FAE1D0">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烘干过程粘结剂中的聚乙二醇、乙二醇等物质会因受热产生有机废气，根据聚乙二醇、乙二醇的化学性质（聚乙二醇：常温至120℃，化学性质稳定，当温度达到120℃以上时，能与空气中的氧发生氧化；乙二醇沸点为197 ℃）。本项目烘干过程温度控制在100~120℃，在此温度下，挥发的主要为粘结剂中少量低沸点物质，根据建设单位中试数据，有机废气的挥发量取粘结剂年用量的2%，烘干年工作时间1200 h，则有机废气（以非甲烷总烃计）产生量为0.12 t/a（0.10 kg/h）。烘干过程均在密闭状态下进行，有机废气主要通过烘干设备连接的管道引入废气处理设施，考虑烘干开炉后会有少量低沸物逸散，逸散比例约为2%，则烘干过程非甲烷总烃的产生情况见</w:t>
            </w:r>
            <w:r>
              <w:rPr>
                <w:rFonts w:hint="eastAsia"/>
                <w:color w:val="000000" w:themeColor="text1"/>
                <w:highlight w:val="none"/>
                <w:lang w:val="en-US" w:eastAsia="zh-CN"/>
                <w14:textFill>
                  <w14:solidFill>
                    <w14:schemeClr w14:val="tx1"/>
                  </w14:solidFill>
                </w14:textFill>
              </w:rPr>
              <w:fldChar w:fldCharType="begin"/>
            </w:r>
            <w:r>
              <w:rPr>
                <w:rFonts w:hint="eastAsia"/>
                <w:color w:val="000000" w:themeColor="text1"/>
                <w:highlight w:val="none"/>
                <w:lang w:val="en-US" w:eastAsia="zh-CN"/>
                <w14:textFill>
                  <w14:solidFill>
                    <w14:schemeClr w14:val="tx1"/>
                  </w14:solidFill>
                </w14:textFill>
              </w:rPr>
              <w:instrText xml:space="preserve"> REF _Ref32023 \n \h </w:instrText>
            </w:r>
            <w:r>
              <w:rPr>
                <w:rFonts w:hint="eastAsia"/>
                <w:color w:val="000000" w:themeColor="text1"/>
                <w:highlight w:val="none"/>
                <w:lang w:val="en-US" w:eastAsia="zh-CN"/>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表4.1-5</w:t>
            </w:r>
            <w:r>
              <w:rPr>
                <w:rFonts w:hint="eastAsia"/>
                <w:color w:val="000000" w:themeColor="text1"/>
                <w:highlight w:val="none"/>
                <w:lang w:val="en-US" w:eastAsia="zh-CN"/>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w:t>
            </w:r>
          </w:p>
          <w:p w14:paraId="4D3A4F11">
            <w:pPr>
              <w:pStyle w:val="30"/>
              <w:bidi w:val="0"/>
              <w:rPr>
                <w:rFonts w:hint="default"/>
                <w:color w:val="000000" w:themeColor="text1"/>
                <w:highlight w:val="none"/>
                <w:lang w:val="en-US" w:eastAsia="zh-CN"/>
                <w14:textFill>
                  <w14:solidFill>
                    <w14:schemeClr w14:val="tx1"/>
                  </w14:solidFill>
                </w14:textFill>
              </w:rPr>
            </w:pPr>
            <w:bookmarkStart w:id="173" w:name="_Ref32023"/>
            <w:r>
              <w:rPr>
                <w:rFonts w:hint="eastAsia"/>
                <w:color w:val="000000" w:themeColor="text1"/>
                <w:highlight w:val="none"/>
                <w:lang w:val="en-US" w:eastAsia="zh-CN"/>
                <w14:textFill>
                  <w14:solidFill>
                    <w14:schemeClr w14:val="tx1"/>
                  </w14:solidFill>
                </w14:textFill>
              </w:rPr>
              <w:t>烘干废气产生情况表</w:t>
            </w:r>
            <w:bookmarkEnd w:id="173"/>
          </w:p>
          <w:tbl>
            <w:tblPr>
              <w:tblStyle w:val="18"/>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79"/>
              <w:gridCol w:w="1814"/>
              <w:gridCol w:w="2354"/>
              <w:gridCol w:w="2357"/>
            </w:tblGrid>
            <w:tr w14:paraId="3B1AC2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1" w:type="pct"/>
                  <w:vMerge w:val="restart"/>
                  <w:tcBorders>
                    <w:tl2br w:val="nil"/>
                    <w:tr2bl w:val="nil"/>
                  </w:tcBorders>
                  <w:vAlign w:val="center"/>
                </w:tcPr>
                <w:p w14:paraId="7B08C791">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污染物</w:t>
                  </w:r>
                </w:p>
              </w:tc>
              <w:tc>
                <w:tcPr>
                  <w:tcW w:w="1092" w:type="pct"/>
                  <w:vMerge w:val="restart"/>
                  <w:tcBorders>
                    <w:tl2br w:val="nil"/>
                    <w:tr2bl w:val="nil"/>
                  </w:tcBorders>
                  <w:vAlign w:val="center"/>
                </w:tcPr>
                <w:p w14:paraId="4DE8EE83">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排放方式</w:t>
                  </w:r>
                </w:p>
              </w:tc>
              <w:tc>
                <w:tcPr>
                  <w:tcW w:w="2836" w:type="pct"/>
                  <w:gridSpan w:val="2"/>
                  <w:tcBorders>
                    <w:tl2br w:val="nil"/>
                    <w:tr2bl w:val="nil"/>
                  </w:tcBorders>
                  <w:vAlign w:val="center"/>
                </w:tcPr>
                <w:p w14:paraId="58433BB7">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产生情况</w:t>
                  </w:r>
                </w:p>
              </w:tc>
            </w:tr>
            <w:tr w14:paraId="7DE315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1" w:type="pct"/>
                  <w:vMerge w:val="continue"/>
                  <w:tcBorders>
                    <w:tl2br w:val="nil"/>
                    <w:tr2bl w:val="nil"/>
                  </w:tcBorders>
                  <w:vAlign w:val="center"/>
                </w:tcPr>
                <w:p w14:paraId="28553FD6">
                  <w:pPr>
                    <w:pStyle w:val="26"/>
                    <w:bidi w:val="0"/>
                    <w:jc w:val="center"/>
                    <w:rPr>
                      <w:rFonts w:hint="default"/>
                      <w:color w:val="000000" w:themeColor="text1"/>
                      <w:highlight w:val="none"/>
                      <w:lang w:val="en-US" w:eastAsia="zh-CN" w:bidi="ar-SA"/>
                      <w14:textFill>
                        <w14:solidFill>
                          <w14:schemeClr w14:val="tx1"/>
                        </w14:solidFill>
                      </w14:textFill>
                    </w:rPr>
                  </w:pPr>
                </w:p>
              </w:tc>
              <w:tc>
                <w:tcPr>
                  <w:tcW w:w="1092" w:type="pct"/>
                  <w:vMerge w:val="continue"/>
                  <w:tcBorders>
                    <w:tl2br w:val="nil"/>
                    <w:tr2bl w:val="nil"/>
                  </w:tcBorders>
                  <w:vAlign w:val="center"/>
                </w:tcPr>
                <w:p w14:paraId="6190CAC3">
                  <w:pPr>
                    <w:pStyle w:val="26"/>
                    <w:bidi w:val="0"/>
                    <w:jc w:val="center"/>
                    <w:rPr>
                      <w:rFonts w:hint="default"/>
                      <w:color w:val="000000" w:themeColor="text1"/>
                      <w:highlight w:val="none"/>
                      <w:lang w:val="en-US" w:eastAsia="zh-CN" w:bidi="ar-SA"/>
                      <w14:textFill>
                        <w14:solidFill>
                          <w14:schemeClr w14:val="tx1"/>
                        </w14:solidFill>
                      </w14:textFill>
                    </w:rPr>
                  </w:pPr>
                </w:p>
              </w:tc>
              <w:tc>
                <w:tcPr>
                  <w:tcW w:w="1417" w:type="pct"/>
                  <w:tcBorders>
                    <w:tl2br w:val="nil"/>
                    <w:tr2bl w:val="nil"/>
                  </w:tcBorders>
                  <w:vAlign w:val="center"/>
                </w:tcPr>
                <w:p w14:paraId="3CA8EA38">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产生速率（kg/h）</w:t>
                  </w:r>
                </w:p>
              </w:tc>
              <w:tc>
                <w:tcPr>
                  <w:tcW w:w="1419" w:type="pct"/>
                  <w:tcBorders>
                    <w:tl2br w:val="nil"/>
                    <w:tr2bl w:val="nil"/>
                  </w:tcBorders>
                  <w:vAlign w:val="center"/>
                </w:tcPr>
                <w:p w14:paraId="09CE5505">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产生量（t/a）</w:t>
                  </w:r>
                </w:p>
              </w:tc>
            </w:tr>
            <w:tr w14:paraId="6890F5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1" w:type="pct"/>
                  <w:vMerge w:val="restart"/>
                  <w:tcBorders>
                    <w:tl2br w:val="nil"/>
                    <w:tr2bl w:val="nil"/>
                  </w:tcBorders>
                  <w:vAlign w:val="center"/>
                </w:tcPr>
                <w:p w14:paraId="41369ABF">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非甲烷总烃</w:t>
                  </w:r>
                </w:p>
              </w:tc>
              <w:tc>
                <w:tcPr>
                  <w:tcW w:w="1092" w:type="pct"/>
                  <w:tcBorders>
                    <w:tl2br w:val="nil"/>
                    <w:tr2bl w:val="nil"/>
                  </w:tcBorders>
                  <w:vAlign w:val="center"/>
                </w:tcPr>
                <w:p w14:paraId="3E59B7A4">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有组织</w:t>
                  </w:r>
                </w:p>
              </w:tc>
              <w:tc>
                <w:tcPr>
                  <w:tcW w:w="1417" w:type="pct"/>
                  <w:tcBorders>
                    <w:tl2br w:val="nil"/>
                    <w:tr2bl w:val="nil"/>
                  </w:tcBorders>
                  <w:vAlign w:val="center"/>
                </w:tcPr>
                <w:p w14:paraId="440685B3">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0.0980</w:t>
                  </w:r>
                </w:p>
              </w:tc>
              <w:tc>
                <w:tcPr>
                  <w:tcW w:w="1419" w:type="pct"/>
                  <w:tcBorders>
                    <w:tl2br w:val="nil"/>
                    <w:tr2bl w:val="nil"/>
                  </w:tcBorders>
                  <w:vAlign w:val="center"/>
                </w:tcPr>
                <w:p w14:paraId="6DE50D51">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0.1176</w:t>
                  </w:r>
                </w:p>
              </w:tc>
            </w:tr>
            <w:tr w14:paraId="42268B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1" w:type="pct"/>
                  <w:vMerge w:val="continue"/>
                  <w:tcBorders>
                    <w:tl2br w:val="nil"/>
                    <w:tr2bl w:val="nil"/>
                  </w:tcBorders>
                  <w:vAlign w:val="center"/>
                </w:tcPr>
                <w:p w14:paraId="27E2CEA7">
                  <w:pPr>
                    <w:pStyle w:val="26"/>
                    <w:bidi w:val="0"/>
                    <w:jc w:val="center"/>
                    <w:rPr>
                      <w:rFonts w:hint="default"/>
                      <w:color w:val="000000" w:themeColor="text1"/>
                      <w:highlight w:val="none"/>
                      <w:lang w:val="en-US" w:eastAsia="zh-CN" w:bidi="ar-SA"/>
                      <w14:textFill>
                        <w14:solidFill>
                          <w14:schemeClr w14:val="tx1"/>
                        </w14:solidFill>
                      </w14:textFill>
                    </w:rPr>
                  </w:pPr>
                </w:p>
              </w:tc>
              <w:tc>
                <w:tcPr>
                  <w:tcW w:w="1092" w:type="pct"/>
                  <w:tcBorders>
                    <w:tl2br w:val="nil"/>
                    <w:tr2bl w:val="nil"/>
                  </w:tcBorders>
                  <w:vAlign w:val="center"/>
                </w:tcPr>
                <w:p w14:paraId="47CEF632">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无组织</w:t>
                  </w:r>
                </w:p>
              </w:tc>
              <w:tc>
                <w:tcPr>
                  <w:tcW w:w="1417" w:type="pct"/>
                  <w:tcBorders>
                    <w:tl2br w:val="nil"/>
                    <w:tr2bl w:val="nil"/>
                  </w:tcBorders>
                  <w:vAlign w:val="center"/>
                </w:tcPr>
                <w:p w14:paraId="52408994">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0.0020</w:t>
                  </w:r>
                </w:p>
              </w:tc>
              <w:tc>
                <w:tcPr>
                  <w:tcW w:w="1419" w:type="pct"/>
                  <w:tcBorders>
                    <w:tl2br w:val="nil"/>
                    <w:tr2bl w:val="nil"/>
                  </w:tcBorders>
                  <w:vAlign w:val="center"/>
                </w:tcPr>
                <w:p w14:paraId="490F4E3E">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0.0024</w:t>
                  </w:r>
                </w:p>
              </w:tc>
            </w:tr>
          </w:tbl>
          <w:p w14:paraId="433A15DC">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②引弧放电废气</w:t>
            </w:r>
          </w:p>
          <w:p w14:paraId="00E84CA6">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本项目引弧放电年工作时间3600 h，该过程粘结剂成分聚乙二醇、乙二醇等本身不参与碳源转化，但高温会使化学链断裂生成自由基碎片</w:t>
            </w:r>
            <w:r>
              <w:rPr>
                <w:rFonts w:hint="eastAsia"/>
                <w:color w:val="000000" w:themeColor="text1"/>
                <w:highlight w:val="none"/>
                <w:vertAlign w:val="baseline"/>
                <w:lang w:val="en-US" w:eastAsia="zh-CN"/>
                <w14:textFill>
                  <w14:solidFill>
                    <w14:schemeClr w14:val="tx1"/>
                  </w14:solidFill>
                </w14:textFill>
              </w:rPr>
              <w:t>（甲基自由基CH</w:t>
            </w:r>
            <w:r>
              <w:rPr>
                <w:rFonts w:hint="eastAsia"/>
                <w:color w:val="000000" w:themeColor="text1"/>
                <w:highlight w:val="none"/>
                <w:vertAlign w:val="subscript"/>
                <w:lang w:val="en-US" w:eastAsia="zh-CN"/>
                <w14:textFill>
                  <w14:solidFill>
                    <w14:schemeClr w14:val="tx1"/>
                  </w14:solidFill>
                </w14:textFill>
              </w:rPr>
              <w:t>3</w:t>
            </w:r>
            <w:r>
              <w:rPr>
                <w:rFonts w:hint="eastAsia"/>
                <w:color w:val="000000" w:themeColor="text1"/>
                <w:highlight w:val="none"/>
                <w:vertAlign w:val="baseline"/>
                <w:lang w:val="en-US" w:eastAsia="zh-CN"/>
                <w14:textFill>
                  <w14:solidFill>
                    <w14:schemeClr w14:val="tx1"/>
                  </w14:solidFill>
                </w14:textFill>
              </w:rPr>
              <w:t>·、羟基自由基OH·）并进一步结合为短链烃（甲烷、乙炔等），根据建设单位提供的设计资料，有机废气（以非甲烷总烃计）产生量约为粘结剂用量的5%，则非甲烷总烃产生量为0.30 t/a（0.0833 kg/h）。</w:t>
            </w:r>
            <w:r>
              <w:rPr>
                <w:rFonts w:hint="eastAsia"/>
                <w:color w:val="000000" w:themeColor="text1"/>
                <w:highlight w:val="none"/>
                <w:lang w:val="en-US" w:eastAsia="zh-CN"/>
                <w14:textFill>
                  <w14:solidFill>
                    <w14:schemeClr w14:val="tx1"/>
                  </w14:solidFill>
                </w14:textFill>
              </w:rPr>
              <w:t>引弧放电过程均在密闭状态下进行，废气主要通过设备连接的管道进入废气处理设施，考虑引弧放电开炉后会有少量废气逸散，逸散比例约为2%，则引弧放电废气产生情况见</w:t>
            </w:r>
            <w:r>
              <w:rPr>
                <w:rFonts w:hint="eastAsia"/>
                <w:color w:val="000000" w:themeColor="text1"/>
                <w:highlight w:val="none"/>
                <w:lang w:val="en-US" w:eastAsia="zh-CN"/>
                <w14:textFill>
                  <w14:solidFill>
                    <w14:schemeClr w14:val="tx1"/>
                  </w14:solidFill>
                </w14:textFill>
              </w:rPr>
              <w:fldChar w:fldCharType="begin"/>
            </w:r>
            <w:r>
              <w:rPr>
                <w:rFonts w:hint="eastAsia"/>
                <w:color w:val="000000" w:themeColor="text1"/>
                <w:highlight w:val="none"/>
                <w:lang w:val="en-US" w:eastAsia="zh-CN"/>
                <w14:textFill>
                  <w14:solidFill>
                    <w14:schemeClr w14:val="tx1"/>
                  </w14:solidFill>
                </w14:textFill>
              </w:rPr>
              <w:instrText xml:space="preserve"> REF _Ref1048 \n \h </w:instrText>
            </w:r>
            <w:r>
              <w:rPr>
                <w:rFonts w:hint="eastAsia"/>
                <w:color w:val="000000" w:themeColor="text1"/>
                <w:highlight w:val="none"/>
                <w:lang w:val="en-US" w:eastAsia="zh-CN"/>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表4.1-6</w:t>
            </w:r>
            <w:r>
              <w:rPr>
                <w:rFonts w:hint="eastAsia"/>
                <w:color w:val="000000" w:themeColor="text1"/>
                <w:highlight w:val="none"/>
                <w:lang w:val="en-US" w:eastAsia="zh-CN"/>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w:t>
            </w:r>
          </w:p>
          <w:p w14:paraId="3CDC5D6A">
            <w:pPr>
              <w:pStyle w:val="30"/>
              <w:bidi w:val="0"/>
              <w:rPr>
                <w:rFonts w:hint="default"/>
                <w:color w:val="000000" w:themeColor="text1"/>
                <w:highlight w:val="none"/>
                <w:lang w:val="en-US" w:eastAsia="zh-CN"/>
                <w14:textFill>
                  <w14:solidFill>
                    <w14:schemeClr w14:val="tx1"/>
                  </w14:solidFill>
                </w14:textFill>
              </w:rPr>
            </w:pPr>
            <w:bookmarkStart w:id="174" w:name="_Ref1048"/>
            <w:r>
              <w:rPr>
                <w:rFonts w:hint="eastAsia"/>
                <w:color w:val="000000" w:themeColor="text1"/>
                <w:highlight w:val="none"/>
                <w:lang w:val="en-US" w:eastAsia="zh-CN"/>
                <w14:textFill>
                  <w14:solidFill>
                    <w14:schemeClr w14:val="tx1"/>
                  </w14:solidFill>
                </w14:textFill>
              </w:rPr>
              <w:t>引弧放电废气产生情况表</w:t>
            </w:r>
            <w:bookmarkEnd w:id="174"/>
          </w:p>
          <w:tbl>
            <w:tblPr>
              <w:tblStyle w:val="18"/>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79"/>
              <w:gridCol w:w="1814"/>
              <w:gridCol w:w="2354"/>
              <w:gridCol w:w="2357"/>
            </w:tblGrid>
            <w:tr w14:paraId="547829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1" w:type="pct"/>
                  <w:vMerge w:val="restart"/>
                  <w:tcBorders>
                    <w:tl2br w:val="nil"/>
                    <w:tr2bl w:val="nil"/>
                  </w:tcBorders>
                  <w:vAlign w:val="center"/>
                </w:tcPr>
                <w:p w14:paraId="2BED2683">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污染物</w:t>
                  </w:r>
                </w:p>
              </w:tc>
              <w:tc>
                <w:tcPr>
                  <w:tcW w:w="1092" w:type="pct"/>
                  <w:vMerge w:val="restart"/>
                  <w:tcBorders>
                    <w:tl2br w:val="nil"/>
                    <w:tr2bl w:val="nil"/>
                  </w:tcBorders>
                  <w:vAlign w:val="center"/>
                </w:tcPr>
                <w:p w14:paraId="26629062">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排放方式</w:t>
                  </w:r>
                </w:p>
              </w:tc>
              <w:tc>
                <w:tcPr>
                  <w:tcW w:w="2836" w:type="pct"/>
                  <w:gridSpan w:val="2"/>
                  <w:tcBorders>
                    <w:tl2br w:val="nil"/>
                    <w:tr2bl w:val="nil"/>
                  </w:tcBorders>
                  <w:vAlign w:val="center"/>
                </w:tcPr>
                <w:p w14:paraId="716F5463">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产生情况</w:t>
                  </w:r>
                </w:p>
              </w:tc>
            </w:tr>
            <w:tr w14:paraId="64EA95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1" w:type="pct"/>
                  <w:vMerge w:val="continue"/>
                  <w:tcBorders>
                    <w:tl2br w:val="nil"/>
                    <w:tr2bl w:val="nil"/>
                  </w:tcBorders>
                  <w:vAlign w:val="center"/>
                </w:tcPr>
                <w:p w14:paraId="5E29B9FE">
                  <w:pPr>
                    <w:pStyle w:val="26"/>
                    <w:bidi w:val="0"/>
                    <w:jc w:val="center"/>
                    <w:rPr>
                      <w:rFonts w:hint="default"/>
                      <w:color w:val="000000" w:themeColor="text1"/>
                      <w:highlight w:val="none"/>
                      <w:lang w:val="en-US" w:eastAsia="zh-CN" w:bidi="ar-SA"/>
                      <w14:textFill>
                        <w14:solidFill>
                          <w14:schemeClr w14:val="tx1"/>
                        </w14:solidFill>
                      </w14:textFill>
                    </w:rPr>
                  </w:pPr>
                </w:p>
              </w:tc>
              <w:tc>
                <w:tcPr>
                  <w:tcW w:w="1092" w:type="pct"/>
                  <w:vMerge w:val="continue"/>
                  <w:tcBorders>
                    <w:tl2br w:val="nil"/>
                    <w:tr2bl w:val="nil"/>
                  </w:tcBorders>
                  <w:vAlign w:val="center"/>
                </w:tcPr>
                <w:p w14:paraId="23EC4135">
                  <w:pPr>
                    <w:pStyle w:val="26"/>
                    <w:bidi w:val="0"/>
                    <w:jc w:val="center"/>
                    <w:rPr>
                      <w:rFonts w:hint="default"/>
                      <w:color w:val="000000" w:themeColor="text1"/>
                      <w:highlight w:val="none"/>
                      <w:lang w:val="en-US" w:eastAsia="zh-CN" w:bidi="ar-SA"/>
                      <w14:textFill>
                        <w14:solidFill>
                          <w14:schemeClr w14:val="tx1"/>
                        </w14:solidFill>
                      </w14:textFill>
                    </w:rPr>
                  </w:pPr>
                </w:p>
              </w:tc>
              <w:tc>
                <w:tcPr>
                  <w:tcW w:w="1417" w:type="pct"/>
                  <w:tcBorders>
                    <w:tl2br w:val="nil"/>
                    <w:tr2bl w:val="nil"/>
                  </w:tcBorders>
                  <w:vAlign w:val="center"/>
                </w:tcPr>
                <w:p w14:paraId="2BA517E4">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产生速率（kg/h）</w:t>
                  </w:r>
                </w:p>
              </w:tc>
              <w:tc>
                <w:tcPr>
                  <w:tcW w:w="1419" w:type="pct"/>
                  <w:tcBorders>
                    <w:tl2br w:val="nil"/>
                    <w:tr2bl w:val="nil"/>
                  </w:tcBorders>
                  <w:vAlign w:val="center"/>
                </w:tcPr>
                <w:p w14:paraId="1EDD73E7">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产生量（t/a）</w:t>
                  </w:r>
                </w:p>
              </w:tc>
            </w:tr>
            <w:tr w14:paraId="62870D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1" w:type="pct"/>
                  <w:vMerge w:val="restart"/>
                  <w:tcBorders>
                    <w:tl2br w:val="nil"/>
                    <w:tr2bl w:val="nil"/>
                  </w:tcBorders>
                  <w:vAlign w:val="center"/>
                </w:tcPr>
                <w:p w14:paraId="702B13FB">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非甲烷总烃</w:t>
                  </w:r>
                </w:p>
              </w:tc>
              <w:tc>
                <w:tcPr>
                  <w:tcW w:w="1092" w:type="pct"/>
                  <w:tcBorders>
                    <w:tl2br w:val="nil"/>
                    <w:tr2bl w:val="nil"/>
                  </w:tcBorders>
                  <w:vAlign w:val="center"/>
                </w:tcPr>
                <w:p w14:paraId="7B0FE73E">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有组织</w:t>
                  </w:r>
                </w:p>
              </w:tc>
              <w:tc>
                <w:tcPr>
                  <w:tcW w:w="1417" w:type="pct"/>
                  <w:tcBorders>
                    <w:tl2br w:val="nil"/>
                    <w:tr2bl w:val="nil"/>
                  </w:tcBorders>
                  <w:vAlign w:val="center"/>
                </w:tcPr>
                <w:p w14:paraId="17579ACE">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0.0817</w:t>
                  </w:r>
                </w:p>
              </w:tc>
              <w:tc>
                <w:tcPr>
                  <w:tcW w:w="1419" w:type="pct"/>
                  <w:tcBorders>
                    <w:tl2br w:val="nil"/>
                    <w:tr2bl w:val="nil"/>
                  </w:tcBorders>
                  <w:vAlign w:val="center"/>
                </w:tcPr>
                <w:p w14:paraId="0015B820">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0.2940</w:t>
                  </w:r>
                </w:p>
              </w:tc>
            </w:tr>
            <w:tr w14:paraId="203FEA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1" w:type="pct"/>
                  <w:vMerge w:val="continue"/>
                  <w:tcBorders>
                    <w:tl2br w:val="nil"/>
                    <w:tr2bl w:val="nil"/>
                  </w:tcBorders>
                  <w:vAlign w:val="center"/>
                </w:tcPr>
                <w:p w14:paraId="5F853E25">
                  <w:pPr>
                    <w:pStyle w:val="26"/>
                    <w:bidi w:val="0"/>
                    <w:jc w:val="center"/>
                    <w:rPr>
                      <w:rFonts w:hint="default"/>
                      <w:color w:val="000000" w:themeColor="text1"/>
                      <w:highlight w:val="none"/>
                      <w:lang w:val="en-US" w:eastAsia="zh-CN" w:bidi="ar-SA"/>
                      <w14:textFill>
                        <w14:solidFill>
                          <w14:schemeClr w14:val="tx1"/>
                        </w14:solidFill>
                      </w14:textFill>
                    </w:rPr>
                  </w:pPr>
                </w:p>
              </w:tc>
              <w:tc>
                <w:tcPr>
                  <w:tcW w:w="1092" w:type="pct"/>
                  <w:tcBorders>
                    <w:tl2br w:val="nil"/>
                    <w:tr2bl w:val="nil"/>
                  </w:tcBorders>
                  <w:vAlign w:val="center"/>
                </w:tcPr>
                <w:p w14:paraId="2E44A926">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无组织</w:t>
                  </w:r>
                </w:p>
              </w:tc>
              <w:tc>
                <w:tcPr>
                  <w:tcW w:w="1417" w:type="pct"/>
                  <w:tcBorders>
                    <w:tl2br w:val="nil"/>
                    <w:tr2bl w:val="nil"/>
                  </w:tcBorders>
                  <w:vAlign w:val="center"/>
                </w:tcPr>
                <w:p w14:paraId="5F441D79">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0.0017</w:t>
                  </w:r>
                </w:p>
              </w:tc>
              <w:tc>
                <w:tcPr>
                  <w:tcW w:w="1419" w:type="pct"/>
                  <w:tcBorders>
                    <w:tl2br w:val="nil"/>
                    <w:tr2bl w:val="nil"/>
                  </w:tcBorders>
                  <w:vAlign w:val="center"/>
                </w:tcPr>
                <w:p w14:paraId="12BDCBE4">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0.0060</w:t>
                  </w:r>
                </w:p>
              </w:tc>
            </w:tr>
          </w:tbl>
          <w:p w14:paraId="53C1B14A">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r>
              <w:rPr>
                <w:rFonts w:hint="eastAsia" w:ascii="Times New Roman" w:hAnsi="Times New Roman" w:cs="Times New Roman"/>
                <w:color w:val="000000" w:themeColor="text1"/>
                <w:highlight w:val="none"/>
                <w:lang w:val="en-US" w:eastAsia="zh-CN"/>
                <w14:textFill>
                  <w14:solidFill>
                    <w14:schemeClr w14:val="tx1"/>
                  </w14:solidFill>
                </w14:textFill>
              </w:rPr>
              <w:t>硅碳负极材料生产线</w:t>
            </w:r>
          </w:p>
          <w:p w14:paraId="647C74C1">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项目生产工艺流程可知，砂磨、干燥的乙醇循环使用，有机废气为乙醇溶剂损耗、挥发（以非甲烷总烃计）；包覆、二次包覆、碳化过程沥青会因受热产生挥发的沥青烟气、碳氢化合物和少量烟尘（以颗粒物计），碳氢化合物的成分种类较多，本次评价考虑为VOCs（以非甲烷总烃计）；乙醇罐呼吸废气以非甲烷总烃计。</w:t>
            </w:r>
          </w:p>
          <w:p w14:paraId="284CB202">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①砂磨、干燥废气</w:t>
            </w:r>
          </w:p>
          <w:p w14:paraId="020DBA68">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一期工程乙醇年消耗量为4.5 t/a，砂磨、干燥过程使用的乙醇经冷凝后回收，循环使用，不凝气经管道引入废气处理设施进行处理。根据物料平衡，砂磨、干燥废气产生量为4.49946 t/a（扣除乙醇储罐呼吸损失），考虑乙醇属于易挥发物质，不凝气收集效率取95%，则砂磨、干燥过程废气产生情况见</w:t>
            </w:r>
            <w:r>
              <w:rPr>
                <w:rFonts w:hint="eastAsia"/>
                <w:color w:val="000000" w:themeColor="text1"/>
                <w:highlight w:val="none"/>
                <w:lang w:val="en-US" w:eastAsia="zh-CN"/>
                <w14:textFill>
                  <w14:solidFill>
                    <w14:schemeClr w14:val="tx1"/>
                  </w14:solidFill>
                </w14:textFill>
              </w:rPr>
              <w:fldChar w:fldCharType="begin"/>
            </w:r>
            <w:r>
              <w:rPr>
                <w:rFonts w:hint="eastAsia"/>
                <w:color w:val="000000" w:themeColor="text1"/>
                <w:highlight w:val="none"/>
                <w:lang w:val="en-US" w:eastAsia="zh-CN"/>
                <w14:textFill>
                  <w14:solidFill>
                    <w14:schemeClr w14:val="tx1"/>
                  </w14:solidFill>
                </w14:textFill>
              </w:rPr>
              <w:instrText xml:space="preserve"> REF _Ref7337 \n \h </w:instrText>
            </w:r>
            <w:r>
              <w:rPr>
                <w:rFonts w:hint="eastAsia"/>
                <w:color w:val="000000" w:themeColor="text1"/>
                <w:highlight w:val="none"/>
                <w:lang w:val="en-US" w:eastAsia="zh-CN"/>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表4.1-7</w:t>
            </w:r>
            <w:r>
              <w:rPr>
                <w:rFonts w:hint="eastAsia"/>
                <w:color w:val="000000" w:themeColor="text1"/>
                <w:highlight w:val="none"/>
                <w:lang w:val="en-US" w:eastAsia="zh-CN"/>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w:t>
            </w:r>
          </w:p>
          <w:p w14:paraId="0F924425">
            <w:pPr>
              <w:pStyle w:val="30"/>
              <w:bidi w:val="0"/>
              <w:rPr>
                <w:rFonts w:hint="default"/>
                <w:color w:val="000000" w:themeColor="text1"/>
                <w:highlight w:val="none"/>
                <w:lang w:val="en-US" w:eastAsia="zh-CN"/>
                <w14:textFill>
                  <w14:solidFill>
                    <w14:schemeClr w14:val="tx1"/>
                  </w14:solidFill>
                </w14:textFill>
              </w:rPr>
            </w:pPr>
            <w:bookmarkStart w:id="175" w:name="_Ref7337"/>
            <w:r>
              <w:rPr>
                <w:rFonts w:hint="eastAsia"/>
                <w:color w:val="000000" w:themeColor="text1"/>
                <w:highlight w:val="none"/>
                <w:lang w:val="en-US" w:eastAsia="zh-CN"/>
                <w14:textFill>
                  <w14:solidFill>
                    <w14:schemeClr w14:val="tx1"/>
                  </w14:solidFill>
                </w14:textFill>
              </w:rPr>
              <w:t>砂磨、干燥废气产生情况表</w:t>
            </w:r>
            <w:bookmarkEnd w:id="175"/>
          </w:p>
          <w:tbl>
            <w:tblPr>
              <w:tblStyle w:val="18"/>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79"/>
              <w:gridCol w:w="1814"/>
              <w:gridCol w:w="2354"/>
              <w:gridCol w:w="2357"/>
            </w:tblGrid>
            <w:tr w14:paraId="10DDE4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1" w:type="pct"/>
                  <w:vMerge w:val="restart"/>
                  <w:tcBorders>
                    <w:tl2br w:val="nil"/>
                    <w:tr2bl w:val="nil"/>
                  </w:tcBorders>
                  <w:vAlign w:val="center"/>
                </w:tcPr>
                <w:p w14:paraId="3DD201C3">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污染物</w:t>
                  </w:r>
                </w:p>
              </w:tc>
              <w:tc>
                <w:tcPr>
                  <w:tcW w:w="1092" w:type="pct"/>
                  <w:vMerge w:val="restart"/>
                  <w:tcBorders>
                    <w:tl2br w:val="nil"/>
                    <w:tr2bl w:val="nil"/>
                  </w:tcBorders>
                  <w:vAlign w:val="center"/>
                </w:tcPr>
                <w:p w14:paraId="17D948C3">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排放方式</w:t>
                  </w:r>
                </w:p>
              </w:tc>
              <w:tc>
                <w:tcPr>
                  <w:tcW w:w="2836" w:type="pct"/>
                  <w:gridSpan w:val="2"/>
                  <w:tcBorders>
                    <w:tl2br w:val="nil"/>
                    <w:tr2bl w:val="nil"/>
                  </w:tcBorders>
                  <w:vAlign w:val="center"/>
                </w:tcPr>
                <w:p w14:paraId="6485592C">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产生情况</w:t>
                  </w:r>
                </w:p>
              </w:tc>
            </w:tr>
            <w:tr w14:paraId="40A4DB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1" w:type="pct"/>
                  <w:vMerge w:val="continue"/>
                  <w:tcBorders>
                    <w:tl2br w:val="nil"/>
                    <w:tr2bl w:val="nil"/>
                  </w:tcBorders>
                  <w:vAlign w:val="center"/>
                </w:tcPr>
                <w:p w14:paraId="21576A8B">
                  <w:pPr>
                    <w:pStyle w:val="26"/>
                    <w:bidi w:val="0"/>
                    <w:jc w:val="center"/>
                    <w:rPr>
                      <w:rFonts w:hint="default"/>
                      <w:color w:val="000000" w:themeColor="text1"/>
                      <w:highlight w:val="none"/>
                      <w:lang w:val="en-US" w:eastAsia="zh-CN" w:bidi="ar-SA"/>
                      <w14:textFill>
                        <w14:solidFill>
                          <w14:schemeClr w14:val="tx1"/>
                        </w14:solidFill>
                      </w14:textFill>
                    </w:rPr>
                  </w:pPr>
                </w:p>
              </w:tc>
              <w:tc>
                <w:tcPr>
                  <w:tcW w:w="1092" w:type="pct"/>
                  <w:vMerge w:val="continue"/>
                  <w:tcBorders>
                    <w:tl2br w:val="nil"/>
                    <w:tr2bl w:val="nil"/>
                  </w:tcBorders>
                  <w:vAlign w:val="center"/>
                </w:tcPr>
                <w:p w14:paraId="0B668524">
                  <w:pPr>
                    <w:pStyle w:val="26"/>
                    <w:bidi w:val="0"/>
                    <w:jc w:val="center"/>
                    <w:rPr>
                      <w:rFonts w:hint="default"/>
                      <w:color w:val="000000" w:themeColor="text1"/>
                      <w:highlight w:val="none"/>
                      <w:lang w:val="en-US" w:eastAsia="zh-CN" w:bidi="ar-SA"/>
                      <w14:textFill>
                        <w14:solidFill>
                          <w14:schemeClr w14:val="tx1"/>
                        </w14:solidFill>
                      </w14:textFill>
                    </w:rPr>
                  </w:pPr>
                </w:p>
              </w:tc>
              <w:tc>
                <w:tcPr>
                  <w:tcW w:w="1417" w:type="pct"/>
                  <w:tcBorders>
                    <w:tl2br w:val="nil"/>
                    <w:tr2bl w:val="nil"/>
                  </w:tcBorders>
                  <w:vAlign w:val="center"/>
                </w:tcPr>
                <w:p w14:paraId="330885B2">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产生速率（kg/h）</w:t>
                  </w:r>
                </w:p>
              </w:tc>
              <w:tc>
                <w:tcPr>
                  <w:tcW w:w="1419" w:type="pct"/>
                  <w:tcBorders>
                    <w:tl2br w:val="nil"/>
                    <w:tr2bl w:val="nil"/>
                  </w:tcBorders>
                  <w:vAlign w:val="center"/>
                </w:tcPr>
                <w:p w14:paraId="08FE7837">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产生量（t/a）</w:t>
                  </w:r>
                </w:p>
              </w:tc>
            </w:tr>
            <w:tr w14:paraId="3CBEF8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1" w:type="pct"/>
                  <w:vMerge w:val="restart"/>
                  <w:tcBorders>
                    <w:tl2br w:val="nil"/>
                    <w:tr2bl w:val="nil"/>
                  </w:tcBorders>
                  <w:vAlign w:val="center"/>
                </w:tcPr>
                <w:p w14:paraId="1023304E">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非甲烷总烃</w:t>
                  </w:r>
                </w:p>
              </w:tc>
              <w:tc>
                <w:tcPr>
                  <w:tcW w:w="1092" w:type="pct"/>
                  <w:tcBorders>
                    <w:tl2br w:val="nil"/>
                    <w:tr2bl w:val="nil"/>
                  </w:tcBorders>
                  <w:vAlign w:val="center"/>
                </w:tcPr>
                <w:p w14:paraId="2E8ED9CB">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有组织</w:t>
                  </w:r>
                </w:p>
              </w:tc>
              <w:tc>
                <w:tcPr>
                  <w:tcW w:w="1417" w:type="pct"/>
                  <w:tcBorders>
                    <w:tl2br w:val="nil"/>
                    <w:tr2bl w:val="nil"/>
                  </w:tcBorders>
                  <w:vAlign w:val="center"/>
                </w:tcPr>
                <w:p w14:paraId="7BF852C0">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1.1874</w:t>
                  </w:r>
                </w:p>
              </w:tc>
              <w:tc>
                <w:tcPr>
                  <w:tcW w:w="1419" w:type="pct"/>
                  <w:tcBorders>
                    <w:tl2br w:val="nil"/>
                    <w:tr2bl w:val="nil"/>
                  </w:tcBorders>
                  <w:vAlign w:val="center"/>
                </w:tcPr>
                <w:p w14:paraId="061FC77D">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4.2745</w:t>
                  </w:r>
                </w:p>
              </w:tc>
            </w:tr>
            <w:tr w14:paraId="30913A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1" w:type="pct"/>
                  <w:vMerge w:val="continue"/>
                  <w:tcBorders>
                    <w:tl2br w:val="nil"/>
                    <w:tr2bl w:val="nil"/>
                  </w:tcBorders>
                  <w:vAlign w:val="center"/>
                </w:tcPr>
                <w:p w14:paraId="2EAA292E">
                  <w:pPr>
                    <w:pStyle w:val="26"/>
                    <w:bidi w:val="0"/>
                    <w:jc w:val="center"/>
                    <w:rPr>
                      <w:rFonts w:hint="default"/>
                      <w:color w:val="000000" w:themeColor="text1"/>
                      <w:highlight w:val="none"/>
                      <w:lang w:val="en-US" w:eastAsia="zh-CN" w:bidi="ar-SA"/>
                      <w14:textFill>
                        <w14:solidFill>
                          <w14:schemeClr w14:val="tx1"/>
                        </w14:solidFill>
                      </w14:textFill>
                    </w:rPr>
                  </w:pPr>
                </w:p>
              </w:tc>
              <w:tc>
                <w:tcPr>
                  <w:tcW w:w="1092" w:type="pct"/>
                  <w:tcBorders>
                    <w:tl2br w:val="nil"/>
                    <w:tr2bl w:val="nil"/>
                  </w:tcBorders>
                  <w:vAlign w:val="center"/>
                </w:tcPr>
                <w:p w14:paraId="570257A5">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无组织</w:t>
                  </w:r>
                </w:p>
              </w:tc>
              <w:tc>
                <w:tcPr>
                  <w:tcW w:w="1417" w:type="pct"/>
                  <w:tcBorders>
                    <w:tl2br w:val="nil"/>
                    <w:tr2bl w:val="nil"/>
                  </w:tcBorders>
                  <w:vAlign w:val="center"/>
                </w:tcPr>
                <w:p w14:paraId="4916FF7D">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0.0625</w:t>
                  </w:r>
                </w:p>
              </w:tc>
              <w:tc>
                <w:tcPr>
                  <w:tcW w:w="1419" w:type="pct"/>
                  <w:tcBorders>
                    <w:tl2br w:val="nil"/>
                    <w:tr2bl w:val="nil"/>
                  </w:tcBorders>
                  <w:vAlign w:val="center"/>
                </w:tcPr>
                <w:p w14:paraId="52451458">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0.2250</w:t>
                  </w:r>
                </w:p>
              </w:tc>
            </w:tr>
          </w:tbl>
          <w:p w14:paraId="6054987F">
            <w:pP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②包覆、二次包覆、碳化废气</w:t>
            </w:r>
          </w:p>
          <w:p w14:paraId="345980DE">
            <w:pPr>
              <w:numPr>
                <w:ilvl w:val="0"/>
                <w:numId w:val="5"/>
              </w:num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沥青烟、苯并[a]芘</w:t>
            </w:r>
          </w:p>
          <w:p w14:paraId="647577D2">
            <w:pPr>
              <w:bidi w:val="0"/>
              <w:rPr>
                <w:rFonts w:hint="default"/>
                <w:color w:val="000000" w:themeColor="text1"/>
                <w:highlight w:val="none"/>
                <w:lang w:eastAsia="zh-CN"/>
                <w14:textFill>
                  <w14:solidFill>
                    <w14:schemeClr w14:val="tx1"/>
                  </w14:solidFill>
                </w14:textFill>
              </w:rPr>
            </w:pPr>
            <w:r>
              <w:rPr>
                <w:rFonts w:hint="default"/>
                <w:color w:val="000000" w:themeColor="text1"/>
                <w:highlight w:val="none"/>
                <w:lang w:eastAsia="zh-CN"/>
                <w14:textFill>
                  <w14:solidFill>
                    <w14:schemeClr w14:val="tx1"/>
                  </w14:solidFill>
                </w14:textFill>
              </w:rPr>
              <w:t>根据《工业生产中的有害物质手册》（前苏联拉扎列夫主编，化学工业出版社，1987年12月出版）及《有机化合物污染化学》（金相灿主编，清华大学出版社，1990年8月出版），每吨沥青在加热过程中可产生562.5</w:t>
            </w:r>
            <w:r>
              <w:rPr>
                <w:rFonts w:hint="eastAsia"/>
                <w:color w:val="000000" w:themeColor="text1"/>
                <w:highlight w:val="none"/>
                <w:lang w:val="en-US" w:eastAsia="zh-CN"/>
                <w14:textFill>
                  <w14:solidFill>
                    <w14:schemeClr w14:val="tx1"/>
                  </w14:solidFill>
                </w14:textFill>
              </w:rPr>
              <w:t xml:space="preserve"> </w:t>
            </w:r>
            <w:r>
              <w:rPr>
                <w:rFonts w:hint="default"/>
                <w:color w:val="000000" w:themeColor="text1"/>
                <w:highlight w:val="none"/>
                <w:lang w:eastAsia="zh-CN"/>
                <w14:textFill>
                  <w14:solidFill>
                    <w14:schemeClr w14:val="tx1"/>
                  </w14:solidFill>
                </w14:textFill>
              </w:rPr>
              <w:t>g沥青烟和0.15</w:t>
            </w:r>
            <w:r>
              <w:rPr>
                <w:rFonts w:hint="eastAsia"/>
                <w:color w:val="000000" w:themeColor="text1"/>
                <w:highlight w:val="none"/>
                <w:lang w:val="en-US" w:eastAsia="zh-CN"/>
                <w14:textFill>
                  <w14:solidFill>
                    <w14:schemeClr w14:val="tx1"/>
                  </w14:solidFill>
                </w14:textFill>
              </w:rPr>
              <w:t xml:space="preserve"> </w:t>
            </w:r>
            <w:r>
              <w:rPr>
                <w:rFonts w:hint="default"/>
                <w:color w:val="000000" w:themeColor="text1"/>
                <w:highlight w:val="none"/>
                <w:lang w:eastAsia="zh-CN"/>
                <w14:textFill>
                  <w14:solidFill>
                    <w14:schemeClr w14:val="tx1"/>
                  </w14:solidFill>
                </w14:textFill>
              </w:rPr>
              <w:t>g苯并[a]芘。</w:t>
            </w:r>
          </w:p>
          <w:p w14:paraId="5706C6D6">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因此，一期工程沥青年用量为225 t，则沥青烟产生量为0.1266 t/a，苯并芘[a]产生量为3.38×10</w:t>
            </w:r>
            <w:r>
              <w:rPr>
                <w:rFonts w:hint="eastAsia"/>
                <w:color w:val="000000" w:themeColor="text1"/>
                <w:highlight w:val="none"/>
                <w:vertAlign w:val="superscript"/>
                <w:lang w:val="en-US" w:eastAsia="zh-CN"/>
                <w14:textFill>
                  <w14:solidFill>
                    <w14:schemeClr w14:val="tx1"/>
                  </w14:solidFill>
                </w14:textFill>
              </w:rPr>
              <w:t>-5</w:t>
            </w:r>
            <w:r>
              <w:rPr>
                <w:rFonts w:hint="eastAsia"/>
                <w:color w:val="000000" w:themeColor="text1"/>
                <w:highlight w:val="none"/>
                <w:lang w:val="en-US" w:eastAsia="zh-CN"/>
                <w14:textFill>
                  <w14:solidFill>
                    <w14:schemeClr w14:val="tx1"/>
                  </w14:solidFill>
                </w14:textFill>
              </w:rPr>
              <w:t xml:space="preserve"> t/a，碳化过程均在密闭状态下进行，废气主要通过设备连接的管道进入废气处理设施，考虑碳化降温开炉后会有少量烟气逸散，逸散比例约为2%，则有组织产生的沥青烟0.1240</w:t>
            </w:r>
            <w:r>
              <w:rPr>
                <w:rFonts w:hint="eastAsia"/>
                <w:color w:val="000000" w:themeColor="text1"/>
                <w:highlight w:val="none"/>
                <w:vertAlign w:val="baseline"/>
                <w:lang w:val="en-US" w:eastAsia="zh-CN"/>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t/a、苯并[a]芘3.31×10</w:t>
            </w:r>
            <w:r>
              <w:rPr>
                <w:rFonts w:hint="eastAsia"/>
                <w:color w:val="000000" w:themeColor="text1"/>
                <w:highlight w:val="none"/>
                <w:vertAlign w:val="superscript"/>
                <w:lang w:val="en-US" w:eastAsia="zh-CN"/>
                <w14:textFill>
                  <w14:solidFill>
                    <w14:schemeClr w14:val="tx1"/>
                  </w14:solidFill>
                </w14:textFill>
              </w:rPr>
              <w:t>-5</w:t>
            </w:r>
            <w:r>
              <w:rPr>
                <w:rFonts w:hint="eastAsia"/>
                <w:color w:val="000000" w:themeColor="text1"/>
                <w:highlight w:val="none"/>
                <w:vertAlign w:val="subscript"/>
                <w:lang w:val="en-US" w:eastAsia="zh-CN"/>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t/a，无组织逸散的沥青烟2.53×10</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vertAlign w:val="baseline"/>
                <w:lang w:val="en-US" w:eastAsia="zh-CN"/>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t/a、苯并[a]芘6.75×10</w:t>
            </w:r>
            <w:r>
              <w:rPr>
                <w:rFonts w:hint="eastAsia"/>
                <w:color w:val="000000" w:themeColor="text1"/>
                <w:highlight w:val="none"/>
                <w:vertAlign w:val="superscript"/>
                <w:lang w:val="en-US" w:eastAsia="zh-CN"/>
                <w14:textFill>
                  <w14:solidFill>
                    <w14:schemeClr w14:val="tx1"/>
                  </w14:solidFill>
                </w14:textFill>
              </w:rPr>
              <w:t>-6</w:t>
            </w:r>
            <w:r>
              <w:rPr>
                <w:rFonts w:hint="eastAsia"/>
                <w:color w:val="000000" w:themeColor="text1"/>
                <w:highlight w:val="none"/>
                <w:vertAlign w:val="subscript"/>
                <w:lang w:val="en-US" w:eastAsia="zh-CN"/>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t/a。</w:t>
            </w:r>
          </w:p>
          <w:p w14:paraId="2D71FBB7">
            <w:pPr>
              <w:numPr>
                <w:ilvl w:val="0"/>
                <w:numId w:val="5"/>
              </w:numPr>
              <w:bidi w:val="0"/>
              <w:ind w:left="0" w:leftChars="0" w:firstLine="480" w:firstLineChars="20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颗粒物</w:t>
            </w:r>
          </w:p>
          <w:p w14:paraId="104CA8B6">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硅碳负极材料在高温碳化过程中会产生少量烟尘，产生量约占原辅材料（硅粉、沥青、石墨粉、碳纳米管、石墨烯）用量的0.5%，则烟尘产生量约为1.905 t/a，考虑到碳化炉降温开炉后会有少量烟气逸散，逸散比例约为2%，则有组织颗粒物产生量约为1.8669 t/a，无组织逸散的颗粒物产生量约为0.0381 t/a。</w:t>
            </w:r>
          </w:p>
          <w:p w14:paraId="3BB217C5">
            <w:pPr>
              <w:numPr>
                <w:ilvl w:val="0"/>
                <w:numId w:val="5"/>
              </w:numPr>
              <w:bidi w:val="0"/>
              <w:ind w:left="0" w:leftChars="0" w:firstLine="480" w:firstLineChars="20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有机废气（以非甲烷总烃计）</w:t>
            </w:r>
          </w:p>
          <w:p w14:paraId="6731901C">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根据物料平衡，包覆、二次包覆、碳化过程有机废气产生量为7.3879 t/a，考虑到碳化炉降温开炉后会有少量有机废气逸散，根据建设单位中试数据，逸散比例约为2%，则有组织产生的有机废气产生量为7.2401 t/a、无组织逸散的有机废气约为0.1478 t/a。</w:t>
            </w:r>
          </w:p>
          <w:p w14:paraId="7544F4DA">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因此，包覆、二次包覆废气产生情况详见</w:t>
            </w:r>
            <w:r>
              <w:rPr>
                <w:rFonts w:hint="eastAsia"/>
                <w:color w:val="000000" w:themeColor="text1"/>
                <w:highlight w:val="none"/>
                <w:lang w:val="en-US" w:eastAsia="zh-CN"/>
                <w14:textFill>
                  <w14:solidFill>
                    <w14:schemeClr w14:val="tx1"/>
                  </w14:solidFill>
                </w14:textFill>
              </w:rPr>
              <w:fldChar w:fldCharType="begin"/>
            </w:r>
            <w:r>
              <w:rPr>
                <w:rFonts w:hint="eastAsia"/>
                <w:color w:val="000000" w:themeColor="text1"/>
                <w:highlight w:val="none"/>
                <w:lang w:val="en-US" w:eastAsia="zh-CN"/>
                <w14:textFill>
                  <w14:solidFill>
                    <w14:schemeClr w14:val="tx1"/>
                  </w14:solidFill>
                </w14:textFill>
              </w:rPr>
              <w:instrText xml:space="preserve"> REF _Ref15083 \n \h </w:instrText>
            </w:r>
            <w:r>
              <w:rPr>
                <w:rFonts w:hint="eastAsia"/>
                <w:color w:val="000000" w:themeColor="text1"/>
                <w:highlight w:val="none"/>
                <w:lang w:val="en-US" w:eastAsia="zh-CN"/>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表4.1-8</w:t>
            </w:r>
            <w:r>
              <w:rPr>
                <w:rFonts w:hint="eastAsia"/>
                <w:color w:val="000000" w:themeColor="text1"/>
                <w:highlight w:val="none"/>
                <w:lang w:val="en-US" w:eastAsia="zh-CN"/>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w:t>
            </w:r>
          </w:p>
          <w:p w14:paraId="5D9AD8DF">
            <w:pPr>
              <w:pStyle w:val="30"/>
              <w:bidi w:val="0"/>
              <w:rPr>
                <w:rFonts w:hint="default"/>
                <w:color w:val="000000" w:themeColor="text1"/>
                <w:highlight w:val="none"/>
                <w:lang w:val="en-US" w:eastAsia="zh-CN"/>
                <w14:textFill>
                  <w14:solidFill>
                    <w14:schemeClr w14:val="tx1"/>
                  </w14:solidFill>
                </w14:textFill>
              </w:rPr>
            </w:pPr>
            <w:bookmarkStart w:id="176" w:name="_Ref15083"/>
            <w:r>
              <w:rPr>
                <w:rFonts w:hint="eastAsia"/>
                <w:color w:val="000000" w:themeColor="text1"/>
                <w:highlight w:val="none"/>
                <w:lang w:val="en-US" w:eastAsia="zh-CN"/>
                <w14:textFill>
                  <w14:solidFill>
                    <w14:schemeClr w14:val="tx1"/>
                  </w14:solidFill>
                </w14:textFill>
              </w:rPr>
              <w:t>包覆、二次包覆、碳化废气产生情况表</w:t>
            </w:r>
            <w:bookmarkEnd w:id="176"/>
          </w:p>
          <w:tbl>
            <w:tblPr>
              <w:tblStyle w:val="18"/>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79"/>
              <w:gridCol w:w="1814"/>
              <w:gridCol w:w="2354"/>
              <w:gridCol w:w="2357"/>
            </w:tblGrid>
            <w:tr w14:paraId="774ECD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1" w:type="pct"/>
                  <w:vMerge w:val="restart"/>
                  <w:tcBorders>
                    <w:tl2br w:val="nil"/>
                    <w:tr2bl w:val="nil"/>
                  </w:tcBorders>
                  <w:vAlign w:val="center"/>
                </w:tcPr>
                <w:p w14:paraId="3ED4FE34">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污染物</w:t>
                  </w:r>
                </w:p>
              </w:tc>
              <w:tc>
                <w:tcPr>
                  <w:tcW w:w="1092" w:type="pct"/>
                  <w:vMerge w:val="restart"/>
                  <w:tcBorders>
                    <w:tl2br w:val="nil"/>
                    <w:tr2bl w:val="nil"/>
                  </w:tcBorders>
                  <w:vAlign w:val="center"/>
                </w:tcPr>
                <w:p w14:paraId="500EDE0F">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排放方式</w:t>
                  </w:r>
                </w:p>
              </w:tc>
              <w:tc>
                <w:tcPr>
                  <w:tcW w:w="2836" w:type="pct"/>
                  <w:gridSpan w:val="2"/>
                  <w:tcBorders>
                    <w:tl2br w:val="nil"/>
                    <w:tr2bl w:val="nil"/>
                  </w:tcBorders>
                  <w:vAlign w:val="center"/>
                </w:tcPr>
                <w:p w14:paraId="45DC6C1B">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产生情况</w:t>
                  </w:r>
                </w:p>
              </w:tc>
            </w:tr>
            <w:tr w14:paraId="1006DC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1" w:type="pct"/>
                  <w:vMerge w:val="continue"/>
                  <w:tcBorders>
                    <w:tl2br w:val="nil"/>
                    <w:tr2bl w:val="nil"/>
                  </w:tcBorders>
                  <w:vAlign w:val="center"/>
                </w:tcPr>
                <w:p w14:paraId="7D4ECC83">
                  <w:pPr>
                    <w:pStyle w:val="26"/>
                    <w:bidi w:val="0"/>
                    <w:jc w:val="center"/>
                    <w:rPr>
                      <w:rFonts w:hint="default"/>
                      <w:color w:val="000000" w:themeColor="text1"/>
                      <w:highlight w:val="none"/>
                      <w:lang w:val="en-US" w:eastAsia="zh-CN" w:bidi="ar-SA"/>
                      <w14:textFill>
                        <w14:solidFill>
                          <w14:schemeClr w14:val="tx1"/>
                        </w14:solidFill>
                      </w14:textFill>
                    </w:rPr>
                  </w:pPr>
                </w:p>
              </w:tc>
              <w:tc>
                <w:tcPr>
                  <w:tcW w:w="1092" w:type="pct"/>
                  <w:vMerge w:val="continue"/>
                  <w:tcBorders>
                    <w:tl2br w:val="nil"/>
                    <w:tr2bl w:val="nil"/>
                  </w:tcBorders>
                  <w:vAlign w:val="center"/>
                </w:tcPr>
                <w:p w14:paraId="2EEE551D">
                  <w:pPr>
                    <w:pStyle w:val="26"/>
                    <w:bidi w:val="0"/>
                    <w:jc w:val="center"/>
                    <w:rPr>
                      <w:rFonts w:hint="default"/>
                      <w:color w:val="000000" w:themeColor="text1"/>
                      <w:highlight w:val="none"/>
                      <w:lang w:val="en-US" w:eastAsia="zh-CN" w:bidi="ar-SA"/>
                      <w14:textFill>
                        <w14:solidFill>
                          <w14:schemeClr w14:val="tx1"/>
                        </w14:solidFill>
                      </w14:textFill>
                    </w:rPr>
                  </w:pPr>
                </w:p>
              </w:tc>
              <w:tc>
                <w:tcPr>
                  <w:tcW w:w="1417" w:type="pct"/>
                  <w:tcBorders>
                    <w:tl2br w:val="nil"/>
                    <w:tr2bl w:val="nil"/>
                  </w:tcBorders>
                  <w:vAlign w:val="center"/>
                </w:tcPr>
                <w:p w14:paraId="4AC5D96E">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产生速率（kg/h）</w:t>
                  </w:r>
                </w:p>
              </w:tc>
              <w:tc>
                <w:tcPr>
                  <w:tcW w:w="1419" w:type="pct"/>
                  <w:tcBorders>
                    <w:tl2br w:val="nil"/>
                    <w:tr2bl w:val="nil"/>
                  </w:tcBorders>
                  <w:vAlign w:val="center"/>
                </w:tcPr>
                <w:p w14:paraId="18C13747">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产生量（t/a）</w:t>
                  </w:r>
                </w:p>
              </w:tc>
            </w:tr>
            <w:tr w14:paraId="0EF9F1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1" w:type="pct"/>
                  <w:vMerge w:val="restart"/>
                  <w:tcBorders>
                    <w:tl2br w:val="nil"/>
                    <w:tr2bl w:val="nil"/>
                  </w:tcBorders>
                  <w:vAlign w:val="center"/>
                </w:tcPr>
                <w:p w14:paraId="00B4430E">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沥青烟</w:t>
                  </w:r>
                </w:p>
              </w:tc>
              <w:tc>
                <w:tcPr>
                  <w:tcW w:w="1092" w:type="pct"/>
                  <w:tcBorders>
                    <w:tl2br w:val="nil"/>
                    <w:tr2bl w:val="nil"/>
                  </w:tcBorders>
                  <w:vAlign w:val="center"/>
                </w:tcPr>
                <w:p w14:paraId="44F7338B">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有组织</w:t>
                  </w:r>
                </w:p>
              </w:tc>
              <w:tc>
                <w:tcPr>
                  <w:tcW w:w="1417" w:type="pct"/>
                  <w:tcBorders>
                    <w:tl2br w:val="nil"/>
                    <w:tr2bl w:val="nil"/>
                  </w:tcBorders>
                  <w:vAlign w:val="center"/>
                </w:tcPr>
                <w:p w14:paraId="73D8DCE3">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0.0413</w:t>
                  </w:r>
                </w:p>
              </w:tc>
              <w:tc>
                <w:tcPr>
                  <w:tcW w:w="1419" w:type="pct"/>
                  <w:tcBorders>
                    <w:tl2br w:val="nil"/>
                    <w:tr2bl w:val="nil"/>
                  </w:tcBorders>
                  <w:vAlign w:val="center"/>
                </w:tcPr>
                <w:p w14:paraId="1D4C05EA">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0.1240</w:t>
                  </w:r>
                </w:p>
              </w:tc>
            </w:tr>
            <w:tr w14:paraId="41E4B1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1" w:type="pct"/>
                  <w:vMerge w:val="continue"/>
                  <w:tcBorders>
                    <w:tl2br w:val="nil"/>
                    <w:tr2bl w:val="nil"/>
                  </w:tcBorders>
                  <w:vAlign w:val="center"/>
                </w:tcPr>
                <w:p w14:paraId="3CFF0F8A">
                  <w:pPr>
                    <w:pStyle w:val="26"/>
                    <w:bidi w:val="0"/>
                    <w:jc w:val="center"/>
                    <w:rPr>
                      <w:rFonts w:hint="default"/>
                      <w:color w:val="000000" w:themeColor="text1"/>
                      <w:highlight w:val="none"/>
                      <w:lang w:val="en-US" w:eastAsia="zh-CN" w:bidi="ar-SA"/>
                      <w14:textFill>
                        <w14:solidFill>
                          <w14:schemeClr w14:val="tx1"/>
                        </w14:solidFill>
                      </w14:textFill>
                    </w:rPr>
                  </w:pPr>
                </w:p>
              </w:tc>
              <w:tc>
                <w:tcPr>
                  <w:tcW w:w="1092" w:type="pct"/>
                  <w:tcBorders>
                    <w:tl2br w:val="nil"/>
                    <w:tr2bl w:val="nil"/>
                  </w:tcBorders>
                  <w:vAlign w:val="center"/>
                </w:tcPr>
                <w:p w14:paraId="49E331D4">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无组织</w:t>
                  </w:r>
                </w:p>
              </w:tc>
              <w:tc>
                <w:tcPr>
                  <w:tcW w:w="1417" w:type="pct"/>
                  <w:tcBorders>
                    <w:tl2br w:val="nil"/>
                    <w:tr2bl w:val="nil"/>
                  </w:tcBorders>
                  <w:vAlign w:val="center"/>
                </w:tcPr>
                <w:p w14:paraId="6D220F34">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0.0008</w:t>
                  </w:r>
                </w:p>
              </w:tc>
              <w:tc>
                <w:tcPr>
                  <w:tcW w:w="1419" w:type="pct"/>
                  <w:tcBorders>
                    <w:tl2br w:val="nil"/>
                    <w:tr2bl w:val="nil"/>
                  </w:tcBorders>
                  <w:vAlign w:val="center"/>
                </w:tcPr>
                <w:p w14:paraId="7798A722">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2.53×10</w:t>
                  </w:r>
                  <w:r>
                    <w:rPr>
                      <w:rFonts w:hint="eastAsia"/>
                      <w:color w:val="000000" w:themeColor="text1"/>
                      <w:highlight w:val="none"/>
                      <w:vertAlign w:val="superscript"/>
                      <w:lang w:val="en-US" w:eastAsia="zh-CN" w:bidi="ar-SA"/>
                      <w14:textFill>
                        <w14:solidFill>
                          <w14:schemeClr w14:val="tx1"/>
                        </w14:solidFill>
                      </w14:textFill>
                    </w:rPr>
                    <w:t>-3</w:t>
                  </w:r>
                </w:p>
              </w:tc>
            </w:tr>
            <w:tr w14:paraId="021FD6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1" w:type="pct"/>
                  <w:vMerge w:val="restart"/>
                  <w:tcBorders>
                    <w:tl2br w:val="nil"/>
                    <w:tr2bl w:val="nil"/>
                  </w:tcBorders>
                  <w:vAlign w:val="center"/>
                </w:tcPr>
                <w:p w14:paraId="6E066395">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苯并[a]芘</w:t>
                  </w:r>
                </w:p>
              </w:tc>
              <w:tc>
                <w:tcPr>
                  <w:tcW w:w="1092" w:type="pct"/>
                  <w:tcBorders>
                    <w:tl2br w:val="nil"/>
                    <w:tr2bl w:val="nil"/>
                  </w:tcBorders>
                  <w:shd w:val="clear" w:color="auto" w:fill="auto"/>
                  <w:vAlign w:val="center"/>
                </w:tcPr>
                <w:p w14:paraId="67456964">
                  <w:pPr>
                    <w:pStyle w:val="26"/>
                    <w:bidi w:val="0"/>
                    <w:ind w:firstLine="0" w:firstLineChars="0"/>
                    <w:jc w:val="center"/>
                    <w:rPr>
                      <w:rFonts w:hint="eastAsia"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有组织</w:t>
                  </w:r>
                </w:p>
              </w:tc>
              <w:tc>
                <w:tcPr>
                  <w:tcW w:w="1417" w:type="pct"/>
                  <w:tcBorders>
                    <w:tl2br w:val="nil"/>
                    <w:tr2bl w:val="nil"/>
                  </w:tcBorders>
                  <w:vAlign w:val="center"/>
                </w:tcPr>
                <w:p w14:paraId="73026007">
                  <w:pPr>
                    <w:pStyle w:val="26"/>
                    <w:bidi w:val="0"/>
                    <w:jc w:val="center"/>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1.10×10</w:t>
                  </w:r>
                  <w:r>
                    <w:rPr>
                      <w:rFonts w:hint="eastAsia"/>
                      <w:color w:val="000000" w:themeColor="text1"/>
                      <w:highlight w:val="none"/>
                      <w:vertAlign w:val="superscript"/>
                      <w:lang w:val="en-US" w:eastAsia="zh-CN" w:bidi="ar-SA"/>
                      <w14:textFill>
                        <w14:solidFill>
                          <w14:schemeClr w14:val="tx1"/>
                        </w14:solidFill>
                      </w14:textFill>
                    </w:rPr>
                    <w:t>-5</w:t>
                  </w:r>
                </w:p>
              </w:tc>
              <w:tc>
                <w:tcPr>
                  <w:tcW w:w="1419" w:type="pct"/>
                  <w:tcBorders>
                    <w:tl2br w:val="nil"/>
                    <w:tr2bl w:val="nil"/>
                  </w:tcBorders>
                  <w:vAlign w:val="center"/>
                </w:tcPr>
                <w:p w14:paraId="7AC89DED">
                  <w:pPr>
                    <w:pStyle w:val="26"/>
                    <w:bidi w:val="0"/>
                    <w:jc w:val="center"/>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3.31×10</w:t>
                  </w:r>
                  <w:r>
                    <w:rPr>
                      <w:rFonts w:hint="eastAsia"/>
                      <w:color w:val="000000" w:themeColor="text1"/>
                      <w:highlight w:val="none"/>
                      <w:vertAlign w:val="superscript"/>
                      <w:lang w:val="en-US" w:eastAsia="zh-CN" w:bidi="ar-SA"/>
                      <w14:textFill>
                        <w14:solidFill>
                          <w14:schemeClr w14:val="tx1"/>
                        </w14:solidFill>
                      </w14:textFill>
                    </w:rPr>
                    <w:t>-5</w:t>
                  </w:r>
                </w:p>
              </w:tc>
            </w:tr>
            <w:tr w14:paraId="0D5690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1" w:type="pct"/>
                  <w:vMerge w:val="continue"/>
                  <w:tcBorders>
                    <w:tl2br w:val="nil"/>
                    <w:tr2bl w:val="nil"/>
                  </w:tcBorders>
                  <w:vAlign w:val="center"/>
                </w:tcPr>
                <w:p w14:paraId="61EEA90B">
                  <w:pPr>
                    <w:pStyle w:val="26"/>
                    <w:bidi w:val="0"/>
                    <w:jc w:val="center"/>
                    <w:rPr>
                      <w:rFonts w:hint="default"/>
                      <w:color w:val="000000" w:themeColor="text1"/>
                      <w:highlight w:val="none"/>
                      <w:lang w:val="en-US" w:eastAsia="zh-CN" w:bidi="ar-SA"/>
                      <w14:textFill>
                        <w14:solidFill>
                          <w14:schemeClr w14:val="tx1"/>
                        </w14:solidFill>
                      </w14:textFill>
                    </w:rPr>
                  </w:pPr>
                </w:p>
              </w:tc>
              <w:tc>
                <w:tcPr>
                  <w:tcW w:w="1092" w:type="pct"/>
                  <w:tcBorders>
                    <w:tl2br w:val="nil"/>
                    <w:tr2bl w:val="nil"/>
                  </w:tcBorders>
                  <w:shd w:val="clear" w:color="auto" w:fill="auto"/>
                  <w:vAlign w:val="center"/>
                </w:tcPr>
                <w:p w14:paraId="2E5D8193">
                  <w:pPr>
                    <w:pStyle w:val="26"/>
                    <w:bidi w:val="0"/>
                    <w:ind w:firstLine="0" w:firstLineChars="0"/>
                    <w:jc w:val="center"/>
                    <w:rPr>
                      <w:rFonts w:hint="eastAsia"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无组织</w:t>
                  </w:r>
                </w:p>
              </w:tc>
              <w:tc>
                <w:tcPr>
                  <w:tcW w:w="1417" w:type="pct"/>
                  <w:tcBorders>
                    <w:tl2br w:val="nil"/>
                    <w:tr2bl w:val="nil"/>
                  </w:tcBorders>
                  <w:vAlign w:val="center"/>
                </w:tcPr>
                <w:p w14:paraId="4BD305D7">
                  <w:pPr>
                    <w:pStyle w:val="26"/>
                    <w:bidi w:val="0"/>
                    <w:jc w:val="center"/>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2.25×10</w:t>
                  </w:r>
                  <w:r>
                    <w:rPr>
                      <w:rFonts w:hint="eastAsia"/>
                      <w:color w:val="000000" w:themeColor="text1"/>
                      <w:highlight w:val="none"/>
                      <w:vertAlign w:val="superscript"/>
                      <w:lang w:val="en-US" w:eastAsia="zh-CN" w:bidi="ar-SA"/>
                      <w14:textFill>
                        <w14:solidFill>
                          <w14:schemeClr w14:val="tx1"/>
                        </w14:solidFill>
                      </w14:textFill>
                    </w:rPr>
                    <w:t>-7</w:t>
                  </w:r>
                </w:p>
              </w:tc>
              <w:tc>
                <w:tcPr>
                  <w:tcW w:w="1419" w:type="pct"/>
                  <w:tcBorders>
                    <w:tl2br w:val="nil"/>
                    <w:tr2bl w:val="nil"/>
                  </w:tcBorders>
                  <w:vAlign w:val="center"/>
                </w:tcPr>
                <w:p w14:paraId="5C2D7CFA">
                  <w:pPr>
                    <w:pStyle w:val="26"/>
                    <w:bidi w:val="0"/>
                    <w:jc w:val="center"/>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6.75×10</w:t>
                  </w:r>
                  <w:r>
                    <w:rPr>
                      <w:rFonts w:hint="eastAsia"/>
                      <w:color w:val="000000" w:themeColor="text1"/>
                      <w:highlight w:val="none"/>
                      <w:vertAlign w:val="superscript"/>
                      <w:lang w:val="en-US" w:eastAsia="zh-CN" w:bidi="ar-SA"/>
                      <w14:textFill>
                        <w14:solidFill>
                          <w14:schemeClr w14:val="tx1"/>
                        </w14:solidFill>
                      </w14:textFill>
                    </w:rPr>
                    <w:t>-6</w:t>
                  </w:r>
                </w:p>
              </w:tc>
            </w:tr>
            <w:tr w14:paraId="48454E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1" w:type="pct"/>
                  <w:vMerge w:val="restart"/>
                  <w:tcBorders>
                    <w:tl2br w:val="nil"/>
                    <w:tr2bl w:val="nil"/>
                  </w:tcBorders>
                  <w:vAlign w:val="center"/>
                </w:tcPr>
                <w:p w14:paraId="1563A4A9">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颗粒物</w:t>
                  </w:r>
                </w:p>
              </w:tc>
              <w:tc>
                <w:tcPr>
                  <w:tcW w:w="1092" w:type="pct"/>
                  <w:tcBorders>
                    <w:tl2br w:val="nil"/>
                    <w:tr2bl w:val="nil"/>
                  </w:tcBorders>
                  <w:shd w:val="clear" w:color="auto" w:fill="auto"/>
                  <w:vAlign w:val="center"/>
                </w:tcPr>
                <w:p w14:paraId="12B09886">
                  <w:pPr>
                    <w:pStyle w:val="26"/>
                    <w:bidi w:val="0"/>
                    <w:ind w:firstLine="0" w:firstLineChars="0"/>
                    <w:jc w:val="center"/>
                    <w:rPr>
                      <w:rFonts w:hint="eastAsia"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有组织</w:t>
                  </w:r>
                </w:p>
              </w:tc>
              <w:tc>
                <w:tcPr>
                  <w:tcW w:w="1417" w:type="pct"/>
                  <w:tcBorders>
                    <w:tl2br w:val="nil"/>
                    <w:tr2bl w:val="nil"/>
                  </w:tcBorders>
                  <w:vAlign w:val="center"/>
                </w:tcPr>
                <w:p w14:paraId="11D77713">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0.6223</w:t>
                  </w:r>
                </w:p>
              </w:tc>
              <w:tc>
                <w:tcPr>
                  <w:tcW w:w="1419" w:type="pct"/>
                  <w:tcBorders>
                    <w:tl2br w:val="nil"/>
                    <w:tr2bl w:val="nil"/>
                  </w:tcBorders>
                  <w:vAlign w:val="center"/>
                </w:tcPr>
                <w:p w14:paraId="4987194E">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1.8669</w:t>
                  </w:r>
                </w:p>
              </w:tc>
            </w:tr>
            <w:tr w14:paraId="79654E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1" w:type="pct"/>
                  <w:vMerge w:val="continue"/>
                  <w:tcBorders>
                    <w:tl2br w:val="nil"/>
                    <w:tr2bl w:val="nil"/>
                  </w:tcBorders>
                  <w:vAlign w:val="center"/>
                </w:tcPr>
                <w:p w14:paraId="0951CD64">
                  <w:pPr>
                    <w:pStyle w:val="26"/>
                    <w:bidi w:val="0"/>
                    <w:jc w:val="center"/>
                    <w:rPr>
                      <w:rFonts w:hint="default"/>
                      <w:color w:val="000000" w:themeColor="text1"/>
                      <w:highlight w:val="none"/>
                      <w:lang w:val="en-US" w:eastAsia="zh-CN" w:bidi="ar-SA"/>
                      <w14:textFill>
                        <w14:solidFill>
                          <w14:schemeClr w14:val="tx1"/>
                        </w14:solidFill>
                      </w14:textFill>
                    </w:rPr>
                  </w:pPr>
                </w:p>
              </w:tc>
              <w:tc>
                <w:tcPr>
                  <w:tcW w:w="1092" w:type="pct"/>
                  <w:tcBorders>
                    <w:tl2br w:val="nil"/>
                    <w:tr2bl w:val="nil"/>
                  </w:tcBorders>
                  <w:shd w:val="clear" w:color="auto" w:fill="auto"/>
                  <w:vAlign w:val="center"/>
                </w:tcPr>
                <w:p w14:paraId="3240477B">
                  <w:pPr>
                    <w:pStyle w:val="26"/>
                    <w:bidi w:val="0"/>
                    <w:ind w:firstLine="0" w:firstLineChars="0"/>
                    <w:jc w:val="center"/>
                    <w:rPr>
                      <w:rFonts w:hint="eastAsia"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无组织</w:t>
                  </w:r>
                </w:p>
              </w:tc>
              <w:tc>
                <w:tcPr>
                  <w:tcW w:w="1417" w:type="pct"/>
                  <w:tcBorders>
                    <w:tl2br w:val="nil"/>
                    <w:tr2bl w:val="nil"/>
                  </w:tcBorders>
                  <w:vAlign w:val="center"/>
                </w:tcPr>
                <w:p w14:paraId="60274111">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0.0127</w:t>
                  </w:r>
                </w:p>
              </w:tc>
              <w:tc>
                <w:tcPr>
                  <w:tcW w:w="1419" w:type="pct"/>
                  <w:tcBorders>
                    <w:tl2br w:val="nil"/>
                    <w:tr2bl w:val="nil"/>
                  </w:tcBorders>
                  <w:vAlign w:val="center"/>
                </w:tcPr>
                <w:p w14:paraId="492D5BAB">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0.0381</w:t>
                  </w:r>
                </w:p>
              </w:tc>
            </w:tr>
            <w:tr w14:paraId="550C25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1" w:type="pct"/>
                  <w:vMerge w:val="restart"/>
                  <w:tcBorders>
                    <w:tl2br w:val="nil"/>
                    <w:tr2bl w:val="nil"/>
                  </w:tcBorders>
                  <w:vAlign w:val="center"/>
                </w:tcPr>
                <w:p w14:paraId="5F975756">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非甲烷总烃</w:t>
                  </w:r>
                </w:p>
              </w:tc>
              <w:tc>
                <w:tcPr>
                  <w:tcW w:w="1092" w:type="pct"/>
                  <w:tcBorders>
                    <w:tl2br w:val="nil"/>
                    <w:tr2bl w:val="nil"/>
                  </w:tcBorders>
                  <w:shd w:val="clear" w:color="auto" w:fill="auto"/>
                  <w:vAlign w:val="center"/>
                </w:tcPr>
                <w:p w14:paraId="2F37E738">
                  <w:pPr>
                    <w:pStyle w:val="26"/>
                    <w:bidi w:val="0"/>
                    <w:ind w:firstLine="0" w:firstLineChars="0"/>
                    <w:jc w:val="center"/>
                    <w:rPr>
                      <w:rFonts w:hint="eastAsia"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有组织</w:t>
                  </w:r>
                </w:p>
              </w:tc>
              <w:tc>
                <w:tcPr>
                  <w:tcW w:w="1417" w:type="pct"/>
                  <w:tcBorders>
                    <w:tl2br w:val="nil"/>
                    <w:tr2bl w:val="nil"/>
                  </w:tcBorders>
                  <w:vAlign w:val="center"/>
                </w:tcPr>
                <w:p w14:paraId="79C49961">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2.4134</w:t>
                  </w:r>
                </w:p>
              </w:tc>
              <w:tc>
                <w:tcPr>
                  <w:tcW w:w="1419" w:type="pct"/>
                  <w:tcBorders>
                    <w:tl2br w:val="nil"/>
                    <w:tr2bl w:val="nil"/>
                  </w:tcBorders>
                  <w:vAlign w:val="center"/>
                </w:tcPr>
                <w:p w14:paraId="100EC714">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7.2401</w:t>
                  </w:r>
                </w:p>
              </w:tc>
            </w:tr>
            <w:tr w14:paraId="6488EF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1" w:type="pct"/>
                  <w:vMerge w:val="continue"/>
                  <w:tcBorders>
                    <w:tl2br w:val="nil"/>
                    <w:tr2bl w:val="nil"/>
                  </w:tcBorders>
                  <w:vAlign w:val="center"/>
                </w:tcPr>
                <w:p w14:paraId="0C8335AA">
                  <w:pPr>
                    <w:pStyle w:val="26"/>
                    <w:bidi w:val="0"/>
                    <w:jc w:val="center"/>
                    <w:rPr>
                      <w:rFonts w:hint="default"/>
                      <w:color w:val="000000" w:themeColor="text1"/>
                      <w:highlight w:val="none"/>
                      <w:lang w:val="en-US" w:eastAsia="zh-CN" w:bidi="ar-SA"/>
                      <w14:textFill>
                        <w14:solidFill>
                          <w14:schemeClr w14:val="tx1"/>
                        </w14:solidFill>
                      </w14:textFill>
                    </w:rPr>
                  </w:pPr>
                </w:p>
              </w:tc>
              <w:tc>
                <w:tcPr>
                  <w:tcW w:w="1092" w:type="pct"/>
                  <w:tcBorders>
                    <w:tl2br w:val="nil"/>
                    <w:tr2bl w:val="nil"/>
                  </w:tcBorders>
                  <w:shd w:val="clear" w:color="auto" w:fill="auto"/>
                  <w:vAlign w:val="center"/>
                </w:tcPr>
                <w:p w14:paraId="5EB0C5AF">
                  <w:pPr>
                    <w:pStyle w:val="26"/>
                    <w:bidi w:val="0"/>
                    <w:ind w:firstLine="0" w:firstLineChars="0"/>
                    <w:jc w:val="center"/>
                    <w:rPr>
                      <w:rFonts w:hint="eastAsia"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无组织</w:t>
                  </w:r>
                </w:p>
              </w:tc>
              <w:tc>
                <w:tcPr>
                  <w:tcW w:w="1417" w:type="pct"/>
                  <w:tcBorders>
                    <w:tl2br w:val="nil"/>
                    <w:tr2bl w:val="nil"/>
                  </w:tcBorders>
                  <w:vAlign w:val="center"/>
                </w:tcPr>
                <w:p w14:paraId="6C2BA3A7">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0.0493</w:t>
                  </w:r>
                </w:p>
              </w:tc>
              <w:tc>
                <w:tcPr>
                  <w:tcW w:w="1419" w:type="pct"/>
                  <w:tcBorders>
                    <w:tl2br w:val="nil"/>
                    <w:tr2bl w:val="nil"/>
                  </w:tcBorders>
                  <w:vAlign w:val="center"/>
                </w:tcPr>
                <w:p w14:paraId="440A3860">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0.1478</w:t>
                  </w:r>
                </w:p>
              </w:tc>
            </w:tr>
          </w:tbl>
          <w:p w14:paraId="5D3AF869">
            <w:pPr>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一期工程单壁碳纳米管生产线产生的废气和硅碳负极材料生产线产生的废气共用1套废气处理设施，采用“布袋除尘+两级活性炭吸附装置”处理后通过1根15 m高排气筒（DA001）排放。</w:t>
            </w:r>
          </w:p>
          <w:p w14:paraId="1EB9CF9C">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（3）乙醇储罐呼吸废气</w:t>
            </w:r>
          </w:p>
          <w:p w14:paraId="7655538C">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项目一期工程硅碳负极材料工业乙醇年用量4.5 t/a，乙醇存放于常压立式罐，属于固定顶罐，乙醇装卸过程中会产生呼吸废气，其主要污染物为非甲烷总烃。根据关于印发《石化行业VOCs污染源排查工作指南》及《石化企业泄漏检测与修复工作指南》的通知（环办〔2015〕104号）可知，固定顶罐的总损耗是静置损失与工作损失的总和。</w:t>
            </w:r>
          </w:p>
          <w:p w14:paraId="0830EA77">
            <w:pPr>
              <w:numPr>
                <w:ilvl w:val="0"/>
                <w:numId w:val="0"/>
              </w:num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工作损失（大呼吸）</w:t>
            </w:r>
          </w:p>
          <w:p w14:paraId="14B3D357">
            <w:pPr>
              <w:bidi w:val="0"/>
              <w:rPr>
                <w:rFonts w:hint="default"/>
                <w:color w:val="000000" w:themeColor="text1"/>
                <w:highlight w:val="none"/>
                <w:u w:val="single"/>
                <w:lang w:val="en-US" w:eastAsia="zh-CN"/>
                <w14:textFill>
                  <w14:solidFill>
                    <w14:schemeClr w14:val="tx1"/>
                  </w14:solidFill>
                </w14:textFill>
              </w:rPr>
            </w:pPr>
            <w:r>
              <w:rPr>
                <w:rFonts w:hint="eastAsia"/>
                <w:color w:val="000000" w:themeColor="text1"/>
                <w:highlight w:val="none"/>
                <w:u w:val="single"/>
                <w:lang w:val="en-US" w:eastAsia="zh-CN"/>
                <w14:textFill>
                  <w14:solidFill>
                    <w14:schemeClr w14:val="tx1"/>
                  </w14:solidFill>
                </w14:textFill>
              </w:rPr>
              <w:t>A.乙醇储罐的工作损失计算公式如下：</w:t>
            </w:r>
          </w:p>
          <w:p w14:paraId="6FF8CE82">
            <w:pPr>
              <w:ind w:left="0" w:leftChars="0" w:firstLine="0" w:firstLineChars="0"/>
              <w:jc w:val="center"/>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1982470" cy="453390"/>
                  <wp:effectExtent l="0" t="0" r="17780" b="3810"/>
                  <wp:docPr id="3" name="图片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86"/>
                          <pic:cNvPicPr>
                            <a:picLocks noChangeAspect="1"/>
                          </pic:cNvPicPr>
                        </pic:nvPicPr>
                        <pic:blipFill>
                          <a:blip r:embed="rId20"/>
                          <a:stretch>
                            <a:fillRect/>
                          </a:stretch>
                        </pic:blipFill>
                        <pic:spPr>
                          <a:xfrm>
                            <a:off x="0" y="0"/>
                            <a:ext cx="1982470" cy="453390"/>
                          </a:xfrm>
                          <a:prstGeom prst="rect">
                            <a:avLst/>
                          </a:prstGeom>
                          <a:noFill/>
                          <a:ln>
                            <a:noFill/>
                          </a:ln>
                        </pic:spPr>
                      </pic:pic>
                    </a:graphicData>
                  </a:graphic>
                </wp:inline>
              </w:drawing>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公式1</w:t>
            </w:r>
            <w:r>
              <w:rPr>
                <w:rFonts w:hint="eastAsia"/>
                <w:color w:val="000000" w:themeColor="text1"/>
                <w:highlight w:val="none"/>
                <w:lang w:eastAsia="zh-CN"/>
                <w14:textFill>
                  <w14:solidFill>
                    <w14:schemeClr w14:val="tx1"/>
                  </w14:solidFill>
                </w14:textFill>
              </w:rPr>
              <w:t>）</w:t>
            </w:r>
          </w:p>
          <w:p w14:paraId="541BA64F">
            <w:pP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式中：</w:t>
            </w:r>
          </w:p>
          <w:p w14:paraId="5AECE769">
            <w:pPr>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L</w:t>
            </w:r>
            <w:r>
              <w:rPr>
                <w:rFonts w:hint="eastAsia"/>
                <w:color w:val="000000" w:themeColor="text1"/>
                <w:highlight w:val="none"/>
                <w:vertAlign w:val="subscript"/>
                <w:lang w:val="en-US" w:eastAsia="zh-CN"/>
                <w14:textFill>
                  <w14:solidFill>
                    <w14:schemeClr w14:val="tx1"/>
                  </w14:solidFill>
                </w14:textFill>
              </w:rPr>
              <w:t>W</w:t>
            </w:r>
            <w:r>
              <w:rPr>
                <w:rFonts w:hint="eastAsia"/>
                <w:color w:val="000000" w:themeColor="text1"/>
                <w:highlight w:val="none"/>
                <w14:textFill>
                  <w14:solidFill>
                    <w14:schemeClr w14:val="tx1"/>
                  </w14:solidFill>
                </w14:textFill>
              </w:rPr>
              <w:t>—统计期内工作损失，lb/a；</w:t>
            </w:r>
          </w:p>
          <w:p w14:paraId="7BCC8EA5">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M</w:t>
            </w:r>
            <w:r>
              <w:rPr>
                <w:rFonts w:hint="eastAsia"/>
                <w:color w:val="000000" w:themeColor="text1"/>
                <w:highlight w:val="none"/>
                <w:vertAlign w:val="subscript"/>
                <w:lang w:val="en-US" w:eastAsia="zh-CN"/>
                <w14:textFill>
                  <w14:solidFill>
                    <w14:schemeClr w14:val="tx1"/>
                  </w14:solidFill>
                </w14:textFill>
              </w:rPr>
              <w:t>V</w:t>
            </w:r>
            <w:r>
              <w:rPr>
                <w:rFonts w:hint="eastAsia"/>
                <w:color w:val="000000" w:themeColor="text1"/>
                <w:highlight w:val="none"/>
                <w14:textFill>
                  <w14:solidFill>
                    <w14:schemeClr w14:val="tx1"/>
                  </w14:solidFill>
                </w14:textFill>
              </w:rPr>
              <w:t>—气相分子量，lb/lb-mol；</w:t>
            </w:r>
          </w:p>
          <w:p w14:paraId="145729BB">
            <w:pPr>
              <w:keepNext w:val="0"/>
              <w:keepLines w:val="0"/>
              <w:pageBreakBefore w:val="0"/>
              <w:widowControl w:val="0"/>
              <w:kinsoku/>
              <w:wordWrap/>
              <w:overflowPunct/>
              <w:topLinePunct w:val="0"/>
              <w:autoSpaceDE w:val="0"/>
              <w:autoSpaceDN w:val="0"/>
              <w:bidi w:val="0"/>
              <w:adjustRightInd/>
              <w:snapToGrid/>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T</w:t>
            </w:r>
            <w:r>
              <w:rPr>
                <w:rFonts w:hint="eastAsia"/>
                <w:color w:val="000000" w:themeColor="text1"/>
                <w:highlight w:val="none"/>
                <w:vertAlign w:val="subscript"/>
                <w14:textFill>
                  <w14:solidFill>
                    <w14:schemeClr w14:val="tx1"/>
                  </w14:solidFill>
                </w14:textFill>
              </w:rPr>
              <w:t>LA</w:t>
            </w:r>
            <w:r>
              <w:rPr>
                <w:rFonts w:hint="eastAsia"/>
                <w:color w:val="000000" w:themeColor="text1"/>
                <w:highlight w:val="none"/>
                <w14:textFill>
                  <w14:solidFill>
                    <w14:schemeClr w14:val="tx1"/>
                  </w14:solidFill>
                </w14:textFill>
              </w:rPr>
              <w:t>—日平均液体表面温度，</w:t>
            </w:r>
            <w:r>
              <w:rPr>
                <w:rFonts w:hint="default" w:ascii="Times New Roman" w:hAnsi="Times New Roman" w:eastAsia="Helvetica" w:cs="Times New Roman"/>
                <w:i w:val="0"/>
                <w:iCs w:val="0"/>
                <w:caps w:val="0"/>
                <w:color w:val="000000" w:themeColor="text1"/>
                <w:spacing w:val="0"/>
                <w:sz w:val="24"/>
                <w:szCs w:val="24"/>
                <w:highlight w:val="none"/>
                <w:shd w:val="clear" w:color="auto" w:fill="FFFFFF"/>
                <w14:textFill>
                  <w14:solidFill>
                    <w14:schemeClr w14:val="tx1"/>
                  </w14:solidFill>
                </w14:textFill>
              </w:rPr>
              <w:t>°R</w:t>
            </w:r>
            <w:r>
              <w:rPr>
                <w:rFonts w:hint="eastAsia"/>
                <w:color w:val="000000" w:themeColor="text1"/>
                <w:highlight w:val="none"/>
                <w14:textFill>
                  <w14:solidFill>
                    <w14:schemeClr w14:val="tx1"/>
                  </w14:solidFill>
                </w14:textFill>
              </w:rPr>
              <w:t>；</w:t>
            </w:r>
          </w:p>
          <w:p w14:paraId="2C62E7FF">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P</w:t>
            </w:r>
            <w:r>
              <w:rPr>
                <w:rFonts w:hint="eastAsia"/>
                <w:color w:val="000000" w:themeColor="text1"/>
                <w:highlight w:val="none"/>
                <w:vertAlign w:val="subscript"/>
                <w14:textFill>
                  <w14:solidFill>
                    <w14:schemeClr w14:val="tx1"/>
                  </w14:solidFill>
                </w14:textFill>
              </w:rPr>
              <w:t>VA</w:t>
            </w:r>
            <w:r>
              <w:rPr>
                <w:rFonts w:hint="eastAsia"/>
                <w:color w:val="000000" w:themeColor="text1"/>
                <w:highlight w:val="none"/>
                <w14:textFill>
                  <w14:solidFill>
                    <w14:schemeClr w14:val="tx1"/>
                  </w14:solidFill>
                </w14:textFill>
              </w:rPr>
              <w:t>—日平均液体表面温度下的蒸气压，lb/ft</w:t>
            </w:r>
            <w:r>
              <w:rPr>
                <w:rFonts w:hint="eastAsia"/>
                <w:color w:val="000000" w:themeColor="text1"/>
                <w:highlight w:val="none"/>
                <w:vertAlign w:val="superscript"/>
                <w14:textFill>
                  <w14:solidFill>
                    <w14:schemeClr w14:val="tx1"/>
                  </w14:solidFill>
                </w14:textFill>
              </w:rPr>
              <w:t>2</w:t>
            </w:r>
            <w:r>
              <w:rPr>
                <w:rFonts w:hint="eastAsia"/>
                <w:color w:val="000000" w:themeColor="text1"/>
                <w:highlight w:val="none"/>
                <w14:textFill>
                  <w14:solidFill>
                    <w14:schemeClr w14:val="tx1"/>
                  </w14:solidFill>
                </w14:textFill>
              </w:rPr>
              <w:t>；</w:t>
            </w:r>
          </w:p>
          <w:p w14:paraId="3BA94F7E">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Q—统计期内物料周转量，bbl</w:t>
            </w:r>
            <w:r>
              <w:rPr>
                <w:rFonts w:hint="eastAsia"/>
                <w:color w:val="000000" w:themeColor="text1"/>
                <w:highlight w:val="none"/>
                <w:lang w:val="en-US" w:eastAsia="zh-CN"/>
                <w14:textFill>
                  <w14:solidFill>
                    <w14:schemeClr w14:val="tx1"/>
                  </w14:solidFill>
                </w14:textFill>
              </w:rPr>
              <w:t>/a</w:t>
            </w:r>
            <w:r>
              <w:rPr>
                <w:rFonts w:hint="eastAsia"/>
                <w:color w:val="000000" w:themeColor="text1"/>
                <w:highlight w:val="none"/>
                <w14:textFill>
                  <w14:solidFill>
                    <w14:schemeClr w14:val="tx1"/>
                  </w14:solidFill>
                </w14:textFill>
              </w:rPr>
              <w:t>；</w:t>
            </w:r>
          </w:p>
          <w:p w14:paraId="74570D11">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K</w:t>
            </w:r>
            <w:r>
              <w:rPr>
                <w:rFonts w:hint="eastAsia"/>
                <w:color w:val="000000" w:themeColor="text1"/>
                <w:highlight w:val="none"/>
                <w:vertAlign w:val="subscript"/>
                <w14:textFill>
                  <w14:solidFill>
                    <w14:schemeClr w14:val="tx1"/>
                  </w14:solidFill>
                </w14:textFill>
              </w:rPr>
              <w:t>P</w:t>
            </w:r>
            <w:r>
              <w:rPr>
                <w:rFonts w:hint="eastAsia"/>
                <w:color w:val="000000" w:themeColor="text1"/>
                <w:highlight w:val="none"/>
                <w14:textFill>
                  <w14:solidFill>
                    <w14:schemeClr w14:val="tx1"/>
                  </w14:solidFill>
                </w14:textFill>
              </w:rPr>
              <w:t>—工作损失产品因子，无量纲量；原油K</w:t>
            </w:r>
            <w:r>
              <w:rPr>
                <w:rFonts w:hint="eastAsia"/>
                <w:color w:val="000000" w:themeColor="text1"/>
                <w:highlight w:val="none"/>
                <w:vertAlign w:val="subscript"/>
                <w14:textFill>
                  <w14:solidFill>
                    <w14:schemeClr w14:val="tx1"/>
                  </w14:solidFill>
                </w14:textFill>
              </w:rPr>
              <w:t>P</w:t>
            </w:r>
            <w:r>
              <w:rPr>
                <w:rFonts w:hint="eastAsia"/>
                <w:color w:val="000000" w:themeColor="text1"/>
                <w:highlight w:val="none"/>
                <w14:textFill>
                  <w14:solidFill>
                    <w14:schemeClr w14:val="tx1"/>
                  </w14:solidFill>
                </w14:textFill>
              </w:rPr>
              <w:t>=0.75，其他有机液体K</w:t>
            </w:r>
            <w:r>
              <w:rPr>
                <w:rFonts w:hint="eastAsia"/>
                <w:color w:val="000000" w:themeColor="text1"/>
                <w:highlight w:val="none"/>
                <w:vertAlign w:val="subscript"/>
                <w14:textFill>
                  <w14:solidFill>
                    <w14:schemeClr w14:val="tx1"/>
                  </w14:solidFill>
                </w14:textFill>
              </w:rPr>
              <w:t>P</w:t>
            </w:r>
            <w:r>
              <w:rPr>
                <w:rFonts w:hint="eastAsia"/>
                <w:color w:val="000000" w:themeColor="text1"/>
                <w:highlight w:val="none"/>
                <w14:textFill>
                  <w14:solidFill>
                    <w14:schemeClr w14:val="tx1"/>
                  </w14:solidFill>
                </w14:textFill>
              </w:rPr>
              <w:t>=1；</w:t>
            </w:r>
          </w:p>
          <w:p w14:paraId="287A7518">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K</w:t>
            </w:r>
            <w:r>
              <w:rPr>
                <w:rFonts w:hint="eastAsia"/>
                <w:color w:val="000000" w:themeColor="text1"/>
                <w:highlight w:val="none"/>
                <w:vertAlign w:val="subscript"/>
                <w14:textFill>
                  <w14:solidFill>
                    <w14:schemeClr w14:val="tx1"/>
                  </w14:solidFill>
                </w14:textFill>
              </w:rPr>
              <w:t>N</w:t>
            </w:r>
            <w:r>
              <w:rPr>
                <w:rFonts w:hint="eastAsia"/>
                <w:color w:val="000000" w:themeColor="text1"/>
                <w:highlight w:val="none"/>
                <w14:textFill>
                  <w14:solidFill>
                    <w14:schemeClr w14:val="tx1"/>
                  </w14:solidFill>
                </w14:textFill>
              </w:rPr>
              <w:t>—工作损失周转（饱和）因子，无量纲量；当周转数＞36，K</w:t>
            </w:r>
            <w:r>
              <w:rPr>
                <w:rFonts w:hint="eastAsia"/>
                <w:color w:val="000000" w:themeColor="text1"/>
                <w:highlight w:val="none"/>
                <w:vertAlign w:val="subscript"/>
                <w14:textFill>
                  <w14:solidFill>
                    <w14:schemeClr w14:val="tx1"/>
                  </w14:solidFill>
                </w14:textFill>
              </w:rPr>
              <w:t>N</w:t>
            </w:r>
            <w:r>
              <w:rPr>
                <w:rFonts w:hint="eastAsia"/>
                <w:color w:val="000000" w:themeColor="text1"/>
                <w:highlight w:val="none"/>
                <w14:textFill>
                  <w14:solidFill>
                    <w14:schemeClr w14:val="tx1"/>
                  </w14:solidFill>
                </w14:textFill>
              </w:rPr>
              <w:t>=（180+N）/6N；当周转数≤36，K</w:t>
            </w:r>
            <w:r>
              <w:rPr>
                <w:rFonts w:hint="eastAsia"/>
                <w:color w:val="000000" w:themeColor="text1"/>
                <w:highlight w:val="none"/>
                <w:vertAlign w:val="subscript"/>
                <w14:textFill>
                  <w14:solidFill>
                    <w14:schemeClr w14:val="tx1"/>
                  </w14:solidFill>
                </w14:textFill>
              </w:rPr>
              <w:t>N</w:t>
            </w:r>
            <w:r>
              <w:rPr>
                <w:rFonts w:hint="eastAsia"/>
                <w:color w:val="000000" w:themeColor="text1"/>
                <w:highlight w:val="none"/>
                <w14:textFill>
                  <w14:solidFill>
                    <w14:schemeClr w14:val="tx1"/>
                  </w14:solidFill>
                </w14:textFill>
              </w:rPr>
              <w:t>=1。</w:t>
            </w:r>
          </w:p>
          <w:p w14:paraId="6A5DE1EC">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R—理想气气体状态常数，10.731lb/lb-mol</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14:textFill>
                  <w14:solidFill>
                    <w14:schemeClr w14:val="tx1"/>
                  </w14:solidFill>
                </w14:textFill>
              </w:rPr>
              <w:t>ft</w:t>
            </w:r>
            <w:r>
              <w:rPr>
                <w:rFonts w:hint="eastAsia"/>
                <w:color w:val="000000" w:themeColor="text1"/>
                <w:highlight w:val="none"/>
                <w:lang w:val="en-US" w:eastAsia="zh-CN"/>
                <w14:textFill>
                  <w14:solidFill>
                    <w14:schemeClr w14:val="tx1"/>
                  </w14:solidFill>
                </w14:textFill>
              </w:rPr>
              <w:t>·</w:t>
            </w:r>
            <w:r>
              <w:rPr>
                <w:rFonts w:hint="default" w:ascii="Times New Roman" w:hAnsi="Times New Roman" w:eastAsia="Helvetica" w:cs="Times New Roman"/>
                <w:i w:val="0"/>
                <w:iCs w:val="0"/>
                <w:caps w:val="0"/>
                <w:color w:val="000000" w:themeColor="text1"/>
                <w:spacing w:val="0"/>
                <w:sz w:val="24"/>
                <w:szCs w:val="24"/>
                <w:highlight w:val="none"/>
                <w:shd w:val="clear" w:color="auto" w:fill="FFFFFF"/>
                <w14:textFill>
                  <w14:solidFill>
                    <w14:schemeClr w14:val="tx1"/>
                  </w14:solidFill>
                </w14:textFill>
              </w:rPr>
              <w:t>°R</w:t>
            </w:r>
            <w:r>
              <w:rPr>
                <w:rFonts w:hint="eastAsia"/>
                <w:color w:val="000000" w:themeColor="text1"/>
                <w:highlight w:val="none"/>
                <w14:textFill>
                  <w14:solidFill>
                    <w14:schemeClr w14:val="tx1"/>
                  </w14:solidFill>
                </w14:textFill>
              </w:rPr>
              <w:t>）；</w:t>
            </w:r>
          </w:p>
          <w:p w14:paraId="0A42D88B">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K</w:t>
            </w:r>
            <w:r>
              <w:rPr>
                <w:rFonts w:hint="eastAsia"/>
                <w:color w:val="000000" w:themeColor="text1"/>
                <w:highlight w:val="none"/>
                <w:vertAlign w:val="subscript"/>
                <w14:textFill>
                  <w14:solidFill>
                    <w14:schemeClr w14:val="tx1"/>
                  </w14:solidFill>
                </w14:textFill>
              </w:rPr>
              <w:t>B</w:t>
            </w:r>
            <w:r>
              <w:rPr>
                <w:rFonts w:hint="eastAsia"/>
                <w:color w:val="000000" w:themeColor="text1"/>
                <w:highlight w:val="none"/>
                <w14:textFill>
                  <w14:solidFill>
                    <w14:schemeClr w14:val="tx1"/>
                  </w14:solidFill>
                </w14:textFill>
              </w:rPr>
              <w:t>—呼吸阀工作校正因子。</w:t>
            </w:r>
          </w:p>
          <w:p w14:paraId="49F8DC1C">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呼吸阀工作时的校正因子，K</w:t>
            </w:r>
            <w:r>
              <w:rPr>
                <w:rFonts w:hint="eastAsia"/>
                <w:color w:val="000000" w:themeColor="text1"/>
                <w:highlight w:val="none"/>
                <w:vertAlign w:val="subscript"/>
                <w14:textFill>
                  <w14:solidFill>
                    <w14:schemeClr w14:val="tx1"/>
                  </w14:solidFill>
                </w14:textFill>
              </w:rPr>
              <w:t>B</w:t>
            </w:r>
            <w:r>
              <w:rPr>
                <w:rFonts w:hint="eastAsia"/>
                <w:color w:val="000000" w:themeColor="text1"/>
                <w:highlight w:val="none"/>
                <w14:textFill>
                  <w14:solidFill>
                    <w14:schemeClr w14:val="tx1"/>
                  </w14:solidFill>
                </w14:textFill>
              </w:rPr>
              <w:t>可用下式计算：</w:t>
            </w:r>
          </w:p>
          <w:p w14:paraId="1A0C44E3">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当</w:t>
            </w:r>
          </w:p>
          <w:p w14:paraId="3782750F">
            <w:pPr>
              <w:ind w:left="0" w:leftChars="0" w:firstLine="0" w:firstLineChars="0"/>
              <w:jc w:val="center"/>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1350645" cy="491490"/>
                  <wp:effectExtent l="0" t="0" r="1905" b="3810"/>
                  <wp:docPr id="4" name="图片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87"/>
                          <pic:cNvPicPr>
                            <a:picLocks noChangeAspect="1"/>
                          </pic:cNvPicPr>
                        </pic:nvPicPr>
                        <pic:blipFill>
                          <a:blip r:embed="rId21"/>
                          <a:stretch>
                            <a:fillRect/>
                          </a:stretch>
                        </pic:blipFill>
                        <pic:spPr>
                          <a:xfrm>
                            <a:off x="0" y="0"/>
                            <a:ext cx="1350645" cy="491490"/>
                          </a:xfrm>
                          <a:prstGeom prst="rect">
                            <a:avLst/>
                          </a:prstGeom>
                          <a:noFill/>
                          <a:ln>
                            <a:noFill/>
                          </a:ln>
                        </pic:spPr>
                      </pic:pic>
                    </a:graphicData>
                  </a:graphic>
                </wp:inline>
              </w:drawing>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公式2</w:t>
            </w:r>
            <w:r>
              <w:rPr>
                <w:rFonts w:hint="eastAsia"/>
                <w:color w:val="000000" w:themeColor="text1"/>
                <w:highlight w:val="none"/>
                <w:lang w:eastAsia="zh-CN"/>
                <w14:textFill>
                  <w14:solidFill>
                    <w14:schemeClr w14:val="tx1"/>
                  </w14:solidFill>
                </w14:textFill>
              </w:rPr>
              <w:t>）</w:t>
            </w:r>
          </w:p>
          <w:p w14:paraId="73C333C4">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然后</w:t>
            </w:r>
          </w:p>
          <w:p w14:paraId="22451B30">
            <w:pPr>
              <w:ind w:left="0" w:leftChars="0" w:firstLine="0" w:firstLineChars="0"/>
              <w:jc w:val="center"/>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1369060" cy="828675"/>
                  <wp:effectExtent l="0" t="0" r="2540" b="9525"/>
                  <wp:docPr id="5" name="图片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88"/>
                          <pic:cNvPicPr>
                            <a:picLocks noChangeAspect="1"/>
                          </pic:cNvPicPr>
                        </pic:nvPicPr>
                        <pic:blipFill>
                          <a:blip r:embed="rId22"/>
                          <a:stretch>
                            <a:fillRect/>
                          </a:stretch>
                        </pic:blipFill>
                        <pic:spPr>
                          <a:xfrm>
                            <a:off x="0" y="0"/>
                            <a:ext cx="1369060" cy="828675"/>
                          </a:xfrm>
                          <a:prstGeom prst="rect">
                            <a:avLst/>
                          </a:prstGeom>
                          <a:noFill/>
                          <a:ln>
                            <a:noFill/>
                          </a:ln>
                        </pic:spPr>
                      </pic:pic>
                    </a:graphicData>
                  </a:graphic>
                </wp:inline>
              </w:drawing>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公式3</w:t>
            </w:r>
            <w:r>
              <w:rPr>
                <w:rFonts w:hint="eastAsia"/>
                <w:color w:val="000000" w:themeColor="text1"/>
                <w:highlight w:val="none"/>
                <w:lang w:eastAsia="zh-CN"/>
                <w14:textFill>
                  <w14:solidFill>
                    <w14:schemeClr w14:val="tx1"/>
                  </w14:solidFill>
                </w14:textFill>
              </w:rPr>
              <w:t>）</w:t>
            </w:r>
          </w:p>
          <w:p w14:paraId="3C9B19A7">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当</w:t>
            </w:r>
          </w:p>
          <w:p w14:paraId="3EAD8B6B">
            <w:pPr>
              <w:ind w:left="0" w:leftChars="0" w:firstLine="0" w:firstLineChars="0"/>
              <w:jc w:val="center"/>
              <w:rPr>
                <w:rFonts w:hint="eastAsia"/>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1370965" cy="501015"/>
                  <wp:effectExtent l="0" t="0" r="635" b="13335"/>
                  <wp:docPr id="6" name="图片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89"/>
                          <pic:cNvPicPr>
                            <a:picLocks noChangeAspect="1"/>
                          </pic:cNvPicPr>
                        </pic:nvPicPr>
                        <pic:blipFill>
                          <a:blip r:embed="rId23"/>
                          <a:stretch>
                            <a:fillRect/>
                          </a:stretch>
                        </pic:blipFill>
                        <pic:spPr>
                          <a:xfrm>
                            <a:off x="0" y="0"/>
                            <a:ext cx="1370965" cy="501015"/>
                          </a:xfrm>
                          <a:prstGeom prst="rect">
                            <a:avLst/>
                          </a:prstGeom>
                          <a:noFill/>
                          <a:ln>
                            <a:noFill/>
                          </a:ln>
                        </pic:spPr>
                      </pic:pic>
                    </a:graphicData>
                  </a:graphic>
                </wp:inline>
              </w:drawing>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公式4</w:t>
            </w:r>
            <w:r>
              <w:rPr>
                <w:rFonts w:hint="eastAsia"/>
                <w:color w:val="000000" w:themeColor="text1"/>
                <w:highlight w:val="none"/>
                <w:lang w:eastAsia="zh-CN"/>
                <w14:textFill>
                  <w14:solidFill>
                    <w14:schemeClr w14:val="tx1"/>
                  </w14:solidFill>
                </w14:textFill>
              </w:rPr>
              <w:t>）</w:t>
            </w:r>
          </w:p>
          <w:p w14:paraId="48C51AC2">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然后</w:t>
            </w:r>
          </w:p>
          <w:p w14:paraId="4AD6897B">
            <w:pPr>
              <w:ind w:left="0" w:leftChars="0" w:firstLine="0" w:firstLineChars="0"/>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K</w:t>
            </w:r>
            <w:r>
              <w:rPr>
                <w:rFonts w:hint="eastAsia"/>
                <w:color w:val="000000" w:themeColor="text1"/>
                <w:highlight w:val="none"/>
                <w:vertAlign w:val="subscript"/>
                <w:lang w:val="en-US" w:eastAsia="zh-CN"/>
                <w14:textFill>
                  <w14:solidFill>
                    <w14:schemeClr w14:val="tx1"/>
                  </w14:solidFill>
                </w14:textFill>
              </w:rPr>
              <w:t>B</w:t>
            </w:r>
            <w:r>
              <w:rPr>
                <w:rFonts w:hint="eastAsia"/>
                <w:color w:val="000000" w:themeColor="text1"/>
                <w:highlight w:val="none"/>
                <w:lang w:val="en-US" w:eastAsia="zh-CN"/>
                <w14:textFill>
                  <w14:solidFill>
                    <w14:schemeClr w14:val="tx1"/>
                  </w14:solidFill>
                </w14:textFill>
              </w:rPr>
              <w:t>=1</w:t>
            </w:r>
          </w:p>
          <w:p w14:paraId="2BC53CD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其中：</w:t>
            </w:r>
          </w:p>
          <w:p w14:paraId="1FE2F1C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K</w:t>
            </w:r>
            <w:r>
              <w:rPr>
                <w:rFonts w:hint="eastAsia"/>
                <w:color w:val="000000" w:themeColor="text1"/>
                <w:highlight w:val="none"/>
                <w:vertAlign w:val="subscript"/>
                <w14:textFill>
                  <w14:solidFill>
                    <w14:schemeClr w14:val="tx1"/>
                  </w14:solidFill>
                </w14:textFill>
              </w:rPr>
              <w:t>B</w:t>
            </w:r>
            <w:r>
              <w:rPr>
                <w:rFonts w:hint="eastAsia"/>
                <w:color w:val="000000" w:themeColor="text1"/>
                <w:highlight w:val="none"/>
                <w14:textFill>
                  <w14:solidFill>
                    <w14:schemeClr w14:val="tx1"/>
                  </w14:solidFill>
                </w14:textFill>
              </w:rPr>
              <w:t>—呼吸阀校正因子，无量纲量；</w:t>
            </w:r>
          </w:p>
          <w:p w14:paraId="75500DC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P</w:t>
            </w:r>
            <w:r>
              <w:rPr>
                <w:rFonts w:hint="eastAsia"/>
                <w:color w:val="000000" w:themeColor="text1"/>
                <w:highlight w:val="none"/>
                <w:vertAlign w:val="subscript"/>
                <w14:textFill>
                  <w14:solidFill>
                    <w14:schemeClr w14:val="tx1"/>
                  </w14:solidFill>
                </w14:textFill>
              </w:rPr>
              <w:t>I</w:t>
            </w:r>
            <w:r>
              <w:rPr>
                <w:rFonts w:hint="eastAsia"/>
                <w:color w:val="000000" w:themeColor="text1"/>
                <w:highlight w:val="none"/>
                <w14:textFill>
                  <w14:solidFill>
                    <w14:schemeClr w14:val="tx1"/>
                  </w14:solidFill>
                </w14:textFill>
              </w:rPr>
              <w:t>—正常工况条件下气相空间压力，psig；P</w:t>
            </w:r>
            <w:r>
              <w:rPr>
                <w:rFonts w:hint="eastAsia"/>
                <w:color w:val="000000" w:themeColor="text1"/>
                <w:highlight w:val="none"/>
                <w:vertAlign w:val="subscript"/>
                <w14:textFill>
                  <w14:solidFill>
                    <w14:schemeClr w14:val="tx1"/>
                  </w14:solidFill>
                </w14:textFill>
              </w:rPr>
              <w:t>I</w:t>
            </w:r>
            <w:r>
              <w:rPr>
                <w:rFonts w:hint="eastAsia"/>
                <w:color w:val="000000" w:themeColor="text1"/>
                <w:highlight w:val="none"/>
                <w14:textFill>
                  <w14:solidFill>
                    <w14:schemeClr w14:val="tx1"/>
                  </w14:solidFill>
                </w14:textFill>
              </w:rPr>
              <w:t>—是一个实际压力（表压），如果处在大气压下（不是真空或处在稳定压力下），P</w:t>
            </w:r>
            <w:r>
              <w:rPr>
                <w:rFonts w:hint="eastAsia"/>
                <w:color w:val="000000" w:themeColor="text1"/>
                <w:highlight w:val="none"/>
                <w:vertAlign w:val="subscript"/>
                <w14:textFill>
                  <w14:solidFill>
                    <w14:schemeClr w14:val="tx1"/>
                  </w14:solidFill>
                </w14:textFill>
              </w:rPr>
              <w:t>I</w:t>
            </w:r>
            <w:r>
              <w:rPr>
                <w:rFonts w:hint="eastAsia"/>
                <w:color w:val="000000" w:themeColor="text1"/>
                <w:highlight w:val="none"/>
                <w14:textFill>
                  <w14:solidFill>
                    <w14:schemeClr w14:val="tx1"/>
                  </w14:solidFill>
                </w14:textFill>
              </w:rPr>
              <w:t>为0；</w:t>
            </w:r>
          </w:p>
          <w:p w14:paraId="49C1D33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P</w:t>
            </w:r>
            <w:r>
              <w:rPr>
                <w:rFonts w:hint="eastAsia"/>
                <w:color w:val="000000" w:themeColor="text1"/>
                <w:highlight w:val="none"/>
                <w:vertAlign w:val="subscript"/>
                <w14:textFill>
                  <w14:solidFill>
                    <w14:schemeClr w14:val="tx1"/>
                  </w14:solidFill>
                </w14:textFill>
              </w:rPr>
              <w:t>A</w:t>
            </w:r>
            <w:r>
              <w:rPr>
                <w:rFonts w:hint="eastAsia"/>
                <w:color w:val="000000" w:themeColor="text1"/>
                <w:highlight w:val="none"/>
                <w14:textFill>
                  <w14:solidFill>
                    <w14:schemeClr w14:val="tx1"/>
                  </w14:solidFill>
                </w14:textFill>
              </w:rPr>
              <w:t>—大气压，psia；</w:t>
            </w:r>
          </w:p>
          <w:p w14:paraId="4B04FC4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K</w:t>
            </w:r>
            <w:r>
              <w:rPr>
                <w:rFonts w:hint="eastAsia"/>
                <w:color w:val="000000" w:themeColor="text1"/>
                <w:highlight w:val="none"/>
                <w:vertAlign w:val="subscript"/>
                <w14:textFill>
                  <w14:solidFill>
                    <w14:schemeClr w14:val="tx1"/>
                  </w14:solidFill>
                </w14:textFill>
              </w:rPr>
              <w:t>N</w:t>
            </w:r>
            <w:r>
              <w:rPr>
                <w:rFonts w:hint="eastAsia"/>
                <w:color w:val="000000" w:themeColor="text1"/>
                <w:highlight w:val="none"/>
                <w14:textFill>
                  <w14:solidFill>
                    <w14:schemeClr w14:val="tx1"/>
                  </w14:solidFill>
                </w14:textFill>
              </w:rPr>
              <w:t>—工作排放周转（饱和）因子，无量纲量；</w:t>
            </w:r>
          </w:p>
          <w:p w14:paraId="07B540D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P</w:t>
            </w:r>
            <w:r>
              <w:rPr>
                <w:rFonts w:hint="eastAsia"/>
                <w:color w:val="000000" w:themeColor="text1"/>
                <w:highlight w:val="none"/>
                <w:vertAlign w:val="subscript"/>
                <w14:textFill>
                  <w14:solidFill>
                    <w14:schemeClr w14:val="tx1"/>
                  </w14:solidFill>
                </w14:textFill>
              </w:rPr>
              <w:t>VA</w:t>
            </w:r>
            <w:r>
              <w:rPr>
                <w:rFonts w:hint="eastAsia"/>
                <w:color w:val="000000" w:themeColor="text1"/>
                <w:highlight w:val="none"/>
                <w14:textFill>
                  <w14:solidFill>
                    <w14:schemeClr w14:val="tx1"/>
                  </w14:solidFill>
                </w14:textFill>
              </w:rPr>
              <w:t>—日平均液面温度下的蒸汽压，psia；</w:t>
            </w:r>
          </w:p>
          <w:p w14:paraId="702D782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P</w:t>
            </w:r>
            <w:r>
              <w:rPr>
                <w:rFonts w:hint="eastAsia"/>
                <w:color w:val="000000" w:themeColor="text1"/>
                <w:highlight w:val="none"/>
                <w:vertAlign w:val="subscript"/>
                <w14:textFill>
                  <w14:solidFill>
                    <w14:schemeClr w14:val="tx1"/>
                  </w14:solidFill>
                </w14:textFill>
              </w:rPr>
              <w:t>BP</w:t>
            </w:r>
            <w:r>
              <w:rPr>
                <w:rFonts w:hint="eastAsia"/>
                <w:color w:val="000000" w:themeColor="text1"/>
                <w:highlight w:val="none"/>
                <w14:textFill>
                  <w14:solidFill>
                    <w14:schemeClr w14:val="tx1"/>
                  </w14:solidFill>
                </w14:textFill>
              </w:rPr>
              <w:t>—呼吸阀压力设定，psig。</w:t>
            </w:r>
          </w:p>
          <w:p w14:paraId="3442B032">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根据上述公式计算乙醇工作</w:t>
            </w:r>
            <w:r>
              <w:rPr>
                <w:rFonts w:hint="default"/>
                <w:color w:val="000000" w:themeColor="text1"/>
                <w:highlight w:val="none"/>
                <w:lang w:val="en-US" w:eastAsia="zh-CN"/>
                <w14:textFill>
                  <w14:solidFill>
                    <w14:schemeClr w14:val="tx1"/>
                  </w14:solidFill>
                </w14:textFill>
              </w:rPr>
              <w:t>损失</w:t>
            </w:r>
            <w:r>
              <w:rPr>
                <w:rFonts w:hint="eastAsia"/>
                <w:color w:val="000000" w:themeColor="text1"/>
                <w:highlight w:val="none"/>
                <w:lang w:val="en-US" w:eastAsia="zh-CN"/>
                <w14:textFill>
                  <w14:solidFill>
                    <w14:schemeClr w14:val="tx1"/>
                  </w14:solidFill>
                </w14:textFill>
              </w:rPr>
              <w:t>，计算参数和计算结果详见</w:t>
            </w:r>
            <w:r>
              <w:rPr>
                <w:rFonts w:hint="eastAsia"/>
                <w:color w:val="000000" w:themeColor="text1"/>
                <w:highlight w:val="none"/>
                <w:lang w:val="en-US" w:eastAsia="zh-CN"/>
                <w14:textFill>
                  <w14:solidFill>
                    <w14:schemeClr w14:val="tx1"/>
                  </w14:solidFill>
                </w14:textFill>
              </w:rPr>
              <w:fldChar w:fldCharType="begin"/>
            </w:r>
            <w:r>
              <w:rPr>
                <w:rFonts w:hint="eastAsia"/>
                <w:color w:val="000000" w:themeColor="text1"/>
                <w:highlight w:val="none"/>
                <w:lang w:val="en-US" w:eastAsia="zh-CN"/>
                <w14:textFill>
                  <w14:solidFill>
                    <w14:schemeClr w14:val="tx1"/>
                  </w14:solidFill>
                </w14:textFill>
              </w:rPr>
              <w:instrText xml:space="preserve"> REF _Ref19993 \n \h </w:instrText>
            </w:r>
            <w:r>
              <w:rPr>
                <w:rFonts w:hint="eastAsia"/>
                <w:color w:val="000000" w:themeColor="text1"/>
                <w:highlight w:val="none"/>
                <w:lang w:val="en-US" w:eastAsia="zh-CN"/>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表4.1-9</w:t>
            </w:r>
            <w:r>
              <w:rPr>
                <w:rFonts w:hint="eastAsia"/>
                <w:color w:val="000000" w:themeColor="text1"/>
                <w:highlight w:val="none"/>
                <w:lang w:val="en-US" w:eastAsia="zh-CN"/>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w:t>
            </w:r>
          </w:p>
          <w:p w14:paraId="62C84956">
            <w:pPr>
              <w:pStyle w:val="30"/>
              <w:bidi w:val="0"/>
              <w:rPr>
                <w:rFonts w:hint="eastAsia"/>
                <w:color w:val="000000" w:themeColor="text1"/>
                <w:highlight w:val="none"/>
                <w14:textFill>
                  <w14:solidFill>
                    <w14:schemeClr w14:val="tx1"/>
                  </w14:solidFill>
                </w14:textFill>
              </w:rPr>
            </w:pPr>
            <w:bookmarkStart w:id="177" w:name="_Ref19993"/>
            <w:r>
              <w:rPr>
                <w:rFonts w:hint="default"/>
                <w:color w:val="000000" w:themeColor="text1"/>
                <w:highlight w:val="none"/>
                <w:lang w:val="en-US" w:eastAsia="zh-CN"/>
                <w14:textFill>
                  <w14:solidFill>
                    <w14:schemeClr w14:val="tx1"/>
                  </w14:solidFill>
                </w14:textFill>
              </w:rPr>
              <w:t>乙醇储罐</w:t>
            </w:r>
            <w:r>
              <w:rPr>
                <w:rFonts w:hint="eastAsia"/>
                <w:color w:val="000000" w:themeColor="text1"/>
                <w:highlight w:val="none"/>
                <w:lang w:val="en-US" w:eastAsia="zh-CN"/>
                <w14:textFill>
                  <w14:solidFill>
                    <w14:schemeClr w14:val="tx1"/>
                  </w14:solidFill>
                </w14:textFill>
              </w:rPr>
              <w:t>工作</w:t>
            </w:r>
            <w:r>
              <w:rPr>
                <w:rFonts w:hint="default"/>
                <w:color w:val="000000" w:themeColor="text1"/>
                <w:highlight w:val="none"/>
                <w:lang w:val="en-US" w:eastAsia="zh-CN"/>
                <w14:textFill>
                  <w14:solidFill>
                    <w14:schemeClr w14:val="tx1"/>
                  </w14:solidFill>
                </w14:textFill>
              </w:rPr>
              <w:t>损失计算参数和计算结果</w:t>
            </w:r>
            <w:r>
              <w:rPr>
                <w:rFonts w:hint="eastAsia"/>
                <w:color w:val="000000" w:themeColor="text1"/>
                <w:highlight w:val="none"/>
                <w:lang w:val="en-US" w:eastAsia="zh-CN"/>
                <w14:textFill>
                  <w14:solidFill>
                    <w14:schemeClr w14:val="tx1"/>
                  </w14:solidFill>
                </w14:textFill>
              </w:rPr>
              <w:t>（一期工程）</w:t>
            </w:r>
            <w:bookmarkEnd w:id="177"/>
          </w:p>
          <w:tbl>
            <w:tblPr>
              <w:tblStyle w:val="1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698"/>
              <w:gridCol w:w="5778"/>
            </w:tblGrid>
            <w:tr w14:paraId="1948A8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9" w:type="pct"/>
                  <w:tcBorders>
                    <w:tl2br w:val="nil"/>
                    <w:tr2bl w:val="nil"/>
                  </w:tcBorders>
                  <w:noWrap w:val="0"/>
                  <w:vAlign w:val="center"/>
                </w:tcPr>
                <w:p w14:paraId="0D3E299C">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序号</w:t>
                  </w:r>
                </w:p>
              </w:tc>
              <w:tc>
                <w:tcPr>
                  <w:tcW w:w="4500" w:type="pct"/>
                  <w:gridSpan w:val="2"/>
                  <w:tcBorders>
                    <w:tl2br w:val="nil"/>
                    <w:tr2bl w:val="nil"/>
                  </w:tcBorders>
                  <w:noWrap w:val="0"/>
                  <w:vAlign w:val="center"/>
                </w:tcPr>
                <w:p w14:paraId="4AC00766">
                  <w:pPr>
                    <w:pStyle w:val="26"/>
                    <w:bidi w:val="0"/>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工作损失</w:t>
                  </w:r>
                </w:p>
              </w:tc>
            </w:tr>
            <w:tr w14:paraId="0826A6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9" w:type="pct"/>
                  <w:tcBorders>
                    <w:tl2br w:val="nil"/>
                    <w:tr2bl w:val="nil"/>
                  </w:tcBorders>
                  <w:noWrap w:val="0"/>
                  <w:vAlign w:val="center"/>
                </w:tcPr>
                <w:p w14:paraId="3E792397">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w:t>
                  </w:r>
                </w:p>
              </w:tc>
              <w:tc>
                <w:tcPr>
                  <w:tcW w:w="1022" w:type="pct"/>
                  <w:tcBorders>
                    <w:tl2br w:val="nil"/>
                    <w:tr2bl w:val="nil"/>
                  </w:tcBorders>
                  <w:noWrap w:val="0"/>
                  <w:vAlign w:val="center"/>
                </w:tcPr>
                <w:p w14:paraId="781FF40F">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储罐规格</w:t>
                  </w:r>
                </w:p>
              </w:tc>
              <w:tc>
                <w:tcPr>
                  <w:tcW w:w="3477" w:type="pct"/>
                  <w:tcBorders>
                    <w:tl2br w:val="nil"/>
                    <w:tr2bl w:val="nil"/>
                  </w:tcBorders>
                  <w:noWrap w:val="0"/>
                  <w:vAlign w:val="center"/>
                </w:tcPr>
                <w:p w14:paraId="4EC7119B">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1.5 m</w:t>
                  </w:r>
                  <w:r>
                    <w:rPr>
                      <w:rFonts w:hint="eastAsia"/>
                      <w:color w:val="000000" w:themeColor="text1"/>
                      <w:highlight w:val="none"/>
                      <w:vertAlign w:val="superscript"/>
                      <w:lang w:val="en-US" w:eastAsia="zh-CN" w:bidi="ar-SA"/>
                      <w14:textFill>
                        <w14:solidFill>
                          <w14:schemeClr w14:val="tx1"/>
                        </w14:solidFill>
                      </w14:textFill>
                    </w:rPr>
                    <w:t>3</w:t>
                  </w:r>
                  <w:r>
                    <w:rPr>
                      <w:rFonts w:hint="eastAsia"/>
                      <w:color w:val="000000" w:themeColor="text1"/>
                      <w:highlight w:val="none"/>
                      <w:lang w:val="en-US" w:eastAsia="zh-CN" w:bidi="ar-SA"/>
                      <w14:textFill>
                        <w14:solidFill>
                          <w14:schemeClr w14:val="tx1"/>
                        </w14:solidFill>
                      </w14:textFill>
                    </w:rPr>
                    <w:t>乙醇储罐</w:t>
                  </w:r>
                </w:p>
              </w:tc>
            </w:tr>
            <w:tr w14:paraId="6F45E7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9" w:type="pct"/>
                  <w:tcBorders>
                    <w:tl2br w:val="nil"/>
                    <w:tr2bl w:val="nil"/>
                  </w:tcBorders>
                  <w:noWrap w:val="0"/>
                  <w:vAlign w:val="center"/>
                </w:tcPr>
                <w:p w14:paraId="6B51C4D0">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2</w:t>
                  </w:r>
                </w:p>
              </w:tc>
              <w:tc>
                <w:tcPr>
                  <w:tcW w:w="1022" w:type="pct"/>
                  <w:tcBorders>
                    <w:tl2br w:val="nil"/>
                    <w:tr2bl w:val="nil"/>
                  </w:tcBorders>
                  <w:noWrap w:val="0"/>
                  <w:vAlign w:val="center"/>
                </w:tcPr>
                <w:p w14:paraId="572E94ED">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储罐类型</w:t>
                  </w:r>
                </w:p>
              </w:tc>
              <w:tc>
                <w:tcPr>
                  <w:tcW w:w="3477" w:type="pct"/>
                  <w:tcBorders>
                    <w:tl2br w:val="nil"/>
                    <w:tr2bl w:val="nil"/>
                  </w:tcBorders>
                  <w:noWrap w:val="0"/>
                  <w:vAlign w:val="center"/>
                </w:tcPr>
                <w:p w14:paraId="0E350974">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固定顶罐</w:t>
                  </w:r>
                </w:p>
              </w:tc>
            </w:tr>
            <w:tr w14:paraId="7C0EA8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9" w:type="pct"/>
                  <w:tcBorders>
                    <w:tl2br w:val="nil"/>
                    <w:tr2bl w:val="nil"/>
                  </w:tcBorders>
                  <w:noWrap w:val="0"/>
                  <w:vAlign w:val="center"/>
                </w:tcPr>
                <w:p w14:paraId="38292A2E">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3</w:t>
                  </w:r>
                </w:p>
              </w:tc>
              <w:tc>
                <w:tcPr>
                  <w:tcW w:w="1022" w:type="pct"/>
                  <w:tcBorders>
                    <w:tl2br w:val="nil"/>
                    <w:tr2bl w:val="nil"/>
                  </w:tcBorders>
                  <w:noWrap w:val="0"/>
                  <w:vAlign w:val="center"/>
                </w:tcPr>
                <w:p w14:paraId="46A3A8FB">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数量（个）</w:t>
                  </w:r>
                </w:p>
              </w:tc>
              <w:tc>
                <w:tcPr>
                  <w:tcW w:w="3477" w:type="pct"/>
                  <w:tcBorders>
                    <w:tl2br w:val="nil"/>
                    <w:tr2bl w:val="nil"/>
                  </w:tcBorders>
                  <w:noWrap w:val="0"/>
                  <w:vAlign w:val="center"/>
                </w:tcPr>
                <w:p w14:paraId="274E9987">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2</w:t>
                  </w:r>
                </w:p>
              </w:tc>
            </w:tr>
            <w:tr w14:paraId="3F0166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9" w:type="pct"/>
                  <w:tcBorders>
                    <w:tl2br w:val="nil"/>
                    <w:tr2bl w:val="nil"/>
                  </w:tcBorders>
                  <w:noWrap w:val="0"/>
                  <w:vAlign w:val="center"/>
                </w:tcPr>
                <w:p w14:paraId="47D0CBBC">
                  <w:pPr>
                    <w:pStyle w:val="26"/>
                    <w:bidi w:val="0"/>
                    <w:ind w:firstLine="0" w:firstLineChars="0"/>
                    <w:jc w:val="center"/>
                    <w:rPr>
                      <w:rFonts w:hint="eastAsia"/>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4</w:t>
                  </w:r>
                </w:p>
              </w:tc>
              <w:tc>
                <w:tcPr>
                  <w:tcW w:w="1022" w:type="pct"/>
                  <w:tcBorders>
                    <w:tl2br w:val="nil"/>
                    <w:tr2bl w:val="nil"/>
                  </w:tcBorders>
                  <w:noWrap w:val="0"/>
                  <w:vAlign w:val="center"/>
                </w:tcPr>
                <w:p w14:paraId="65C193EE">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储罐尺寸</w:t>
                  </w:r>
                </w:p>
              </w:tc>
              <w:tc>
                <w:tcPr>
                  <w:tcW w:w="3477" w:type="pct"/>
                  <w:tcBorders>
                    <w:tl2br w:val="nil"/>
                    <w:tr2bl w:val="nil"/>
                  </w:tcBorders>
                  <w:noWrap w:val="0"/>
                  <w:vAlign w:val="center"/>
                </w:tcPr>
                <w:p w14:paraId="4A903C45">
                  <w:pPr>
                    <w:pStyle w:val="26"/>
                    <w:bidi w:val="0"/>
                    <w:ind w:firstLine="0" w:firstLineChars="0"/>
                    <w:jc w:val="center"/>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直径×高：1.20×1.50 m</w:t>
                  </w:r>
                </w:p>
              </w:tc>
            </w:tr>
            <w:tr w14:paraId="73CDE5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9" w:type="pct"/>
                  <w:tcBorders>
                    <w:tl2br w:val="nil"/>
                    <w:tr2bl w:val="nil"/>
                  </w:tcBorders>
                  <w:noWrap w:val="0"/>
                  <w:vAlign w:val="center"/>
                </w:tcPr>
                <w:p w14:paraId="6CC30804">
                  <w:pPr>
                    <w:pStyle w:val="26"/>
                    <w:bidi w:val="0"/>
                    <w:ind w:firstLine="0" w:firstLineChars="0"/>
                    <w:jc w:val="center"/>
                    <w:rPr>
                      <w:rFonts w:hint="default" w:eastAsia="宋体"/>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5</w:t>
                  </w:r>
                </w:p>
              </w:tc>
              <w:tc>
                <w:tcPr>
                  <w:tcW w:w="1022" w:type="pct"/>
                  <w:tcBorders>
                    <w:tl2br w:val="nil"/>
                    <w:tr2bl w:val="nil"/>
                  </w:tcBorders>
                  <w:noWrap w:val="0"/>
                  <w:vAlign w:val="center"/>
                </w:tcPr>
                <w:p w14:paraId="0F0CDCDB">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M</w:t>
                  </w:r>
                  <w:r>
                    <w:rPr>
                      <w:rFonts w:hint="eastAsia"/>
                      <w:color w:val="000000" w:themeColor="text1"/>
                      <w:highlight w:val="none"/>
                      <w:vertAlign w:val="subscript"/>
                      <w:lang w:val="en-US" w:eastAsia="zh-CN" w:bidi="ar-SA"/>
                      <w14:textFill>
                        <w14:solidFill>
                          <w14:schemeClr w14:val="tx1"/>
                        </w14:solidFill>
                      </w14:textFill>
                    </w:rPr>
                    <w:t>V</w:t>
                  </w:r>
                  <w:r>
                    <w:rPr>
                      <w:rFonts w:hint="eastAsia"/>
                      <w:color w:val="000000" w:themeColor="text1"/>
                      <w:highlight w:val="none"/>
                      <w:vertAlign w:val="baseline"/>
                      <w:lang w:val="en-US" w:eastAsia="zh-CN" w:bidi="ar-SA"/>
                      <w14:textFill>
                        <w14:solidFill>
                          <w14:schemeClr w14:val="tx1"/>
                        </w14:solidFill>
                      </w14:textFill>
                    </w:rPr>
                    <w:t>（lb/lb-mol）</w:t>
                  </w:r>
                </w:p>
              </w:tc>
              <w:tc>
                <w:tcPr>
                  <w:tcW w:w="3477" w:type="pct"/>
                  <w:tcBorders>
                    <w:tl2br w:val="nil"/>
                    <w:tr2bl w:val="nil"/>
                  </w:tcBorders>
                  <w:noWrap w:val="0"/>
                  <w:vAlign w:val="center"/>
                </w:tcPr>
                <w:p w14:paraId="4CDB2632">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0.1（乙醇摩尔质量为46.07 g/mol，1b=453.592g）</w:t>
                  </w:r>
                </w:p>
              </w:tc>
            </w:tr>
            <w:tr w14:paraId="63CE5F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9" w:type="pct"/>
                  <w:tcBorders>
                    <w:tl2br w:val="nil"/>
                    <w:tr2bl w:val="nil"/>
                  </w:tcBorders>
                  <w:noWrap w:val="0"/>
                  <w:vAlign w:val="center"/>
                </w:tcPr>
                <w:p w14:paraId="207DA978">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6</w:t>
                  </w:r>
                </w:p>
              </w:tc>
              <w:tc>
                <w:tcPr>
                  <w:tcW w:w="1022" w:type="pct"/>
                  <w:tcBorders>
                    <w:tl2br w:val="nil"/>
                    <w:tr2bl w:val="nil"/>
                  </w:tcBorders>
                  <w:noWrap w:val="0"/>
                  <w:vAlign w:val="center"/>
                </w:tcPr>
                <w:p w14:paraId="054F340D">
                  <w:pPr>
                    <w:pStyle w:val="26"/>
                    <w:bidi w:val="0"/>
                    <w:ind w:firstLine="0" w:firstLineChars="0"/>
                    <w:jc w:val="center"/>
                    <w:rPr>
                      <w:rFonts w:hint="default" w:eastAsia="宋体"/>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T</w:t>
                  </w:r>
                  <w:r>
                    <w:rPr>
                      <w:rFonts w:hint="eastAsia"/>
                      <w:color w:val="000000" w:themeColor="text1"/>
                      <w:highlight w:val="none"/>
                      <w:vertAlign w:val="subscript"/>
                      <w:lang w:val="en-US" w:eastAsia="zh-CN" w:bidi="ar-SA"/>
                      <w14:textFill>
                        <w14:solidFill>
                          <w14:schemeClr w14:val="tx1"/>
                        </w14:solidFill>
                      </w14:textFill>
                    </w:rPr>
                    <w:t>LA</w:t>
                  </w:r>
                  <w:r>
                    <w:rPr>
                      <w:rFonts w:hint="eastAsia"/>
                      <w:color w:val="000000" w:themeColor="text1"/>
                      <w:highlight w:val="none"/>
                      <w:vertAlign w:val="baseline"/>
                      <w:lang w:val="en-US" w:eastAsia="zh-CN" w:bidi="ar-SA"/>
                      <w14:textFill>
                        <w14:solidFill>
                          <w14:schemeClr w14:val="tx1"/>
                        </w14:solidFill>
                      </w14:textFill>
                    </w:rPr>
                    <w:t>（</w:t>
                  </w:r>
                  <w:r>
                    <w:rPr>
                      <w:rFonts w:hint="default" w:ascii="Times New Roman" w:hAnsi="Times New Roman" w:eastAsia="Helvetica" w:cs="Times New Roman"/>
                      <w:i w:val="0"/>
                      <w:iCs w:val="0"/>
                      <w:caps w:val="0"/>
                      <w:color w:val="000000" w:themeColor="text1"/>
                      <w:spacing w:val="0"/>
                      <w:sz w:val="24"/>
                      <w:szCs w:val="24"/>
                      <w:highlight w:val="none"/>
                      <w:shd w:val="clear" w:color="auto" w:fill="FFFFFF"/>
                      <w:vertAlign w:val="baseline"/>
                      <w:lang w:val="en-US" w:eastAsia="zh-CN" w:bidi="ar-SA"/>
                      <w14:textFill>
                        <w14:solidFill>
                          <w14:schemeClr w14:val="tx1"/>
                        </w14:solidFill>
                      </w14:textFill>
                    </w:rPr>
                    <w:t>°R</w:t>
                  </w:r>
                  <w:r>
                    <w:rPr>
                      <w:rFonts w:hint="eastAsia"/>
                      <w:color w:val="000000" w:themeColor="text1"/>
                      <w:highlight w:val="none"/>
                      <w:vertAlign w:val="baseline"/>
                      <w:lang w:val="en-US" w:eastAsia="zh-CN" w:bidi="ar-SA"/>
                      <w14:textFill>
                        <w14:solidFill>
                          <w14:schemeClr w14:val="tx1"/>
                        </w14:solidFill>
                      </w14:textFill>
                    </w:rPr>
                    <w:t>）</w:t>
                  </w:r>
                </w:p>
              </w:tc>
              <w:tc>
                <w:tcPr>
                  <w:tcW w:w="3477" w:type="pct"/>
                  <w:tcBorders>
                    <w:tl2br w:val="nil"/>
                    <w:tr2bl w:val="nil"/>
                  </w:tcBorders>
                  <w:noWrap w:val="0"/>
                  <w:vAlign w:val="center"/>
                </w:tcPr>
                <w:p w14:paraId="45601765">
                  <w:pPr>
                    <w:pStyle w:val="26"/>
                    <w:bidi w:val="0"/>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536.67</w:t>
                  </w:r>
                  <w:r>
                    <w:rPr>
                      <w:rFonts w:hint="eastAsia"/>
                      <w:color w:val="000000" w:themeColor="text1"/>
                      <w:highlight w:val="none"/>
                      <w:lang w:val="en-US" w:eastAsia="zh-CN" w:bidi="ar-SA"/>
                      <w14:textFill>
                        <w14:solidFill>
                          <w14:schemeClr w14:val="tx1"/>
                        </w14:solidFill>
                      </w14:textFill>
                    </w:rPr>
                    <w:t>（</w:t>
                  </w:r>
                  <w:r>
                    <w:rPr>
                      <w:rFonts w:hint="default"/>
                      <w:color w:val="000000" w:themeColor="text1"/>
                      <w:highlight w:val="none"/>
                      <w:lang w:val="en-US" w:eastAsia="zh-CN" w:bidi="ar-SA"/>
                      <w14:textFill>
                        <w14:solidFill>
                          <w14:schemeClr w14:val="tx1"/>
                        </w14:solidFill>
                      </w14:textFill>
                    </w:rPr>
                    <w:t>25</w:t>
                  </w:r>
                  <w:r>
                    <w:rPr>
                      <w:rFonts w:hint="eastAsia"/>
                      <w:color w:val="000000" w:themeColor="text1"/>
                      <w:highlight w:val="none"/>
                      <w:lang w:val="en-US" w:eastAsia="zh-CN" w:bidi="ar-SA"/>
                      <w14:textFill>
                        <w14:solidFill>
                          <w14:schemeClr w14:val="tx1"/>
                        </w14:solidFill>
                      </w14:textFill>
                    </w:rPr>
                    <w:t>℃</w:t>
                  </w:r>
                  <w:r>
                    <w:rPr>
                      <w:rFonts w:hint="default"/>
                      <w:color w:val="000000" w:themeColor="text1"/>
                      <w:highlight w:val="none"/>
                      <w:lang w:val="en-US" w:eastAsia="zh-CN" w:bidi="ar-SA"/>
                      <w14:textFill>
                        <w14:solidFill>
                          <w14:schemeClr w14:val="tx1"/>
                        </w14:solidFill>
                      </w14:textFill>
                    </w:rPr>
                    <w:t>=536.67°R</w:t>
                  </w:r>
                  <w:r>
                    <w:rPr>
                      <w:rFonts w:hint="eastAsia"/>
                      <w:color w:val="000000" w:themeColor="text1"/>
                      <w:highlight w:val="none"/>
                      <w:lang w:val="en-US" w:eastAsia="zh-CN" w:bidi="ar-SA"/>
                      <w14:textFill>
                        <w14:solidFill>
                          <w14:schemeClr w14:val="tx1"/>
                        </w14:solidFill>
                      </w14:textFill>
                    </w:rPr>
                    <w:t>）</w:t>
                  </w:r>
                </w:p>
              </w:tc>
            </w:tr>
            <w:tr w14:paraId="23F435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9" w:type="pct"/>
                  <w:tcBorders>
                    <w:tl2br w:val="nil"/>
                    <w:tr2bl w:val="nil"/>
                  </w:tcBorders>
                  <w:noWrap w:val="0"/>
                  <w:vAlign w:val="center"/>
                </w:tcPr>
                <w:p w14:paraId="56E153FD">
                  <w:pPr>
                    <w:pStyle w:val="26"/>
                    <w:bidi w:val="0"/>
                    <w:ind w:firstLine="0" w:firstLineChars="0"/>
                    <w:jc w:val="center"/>
                    <w:rPr>
                      <w:rFonts w:hint="default" w:eastAsia="宋体"/>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7</w:t>
                  </w:r>
                </w:p>
              </w:tc>
              <w:tc>
                <w:tcPr>
                  <w:tcW w:w="1022" w:type="pct"/>
                  <w:tcBorders>
                    <w:tl2br w:val="nil"/>
                    <w:tr2bl w:val="nil"/>
                  </w:tcBorders>
                  <w:noWrap w:val="0"/>
                  <w:vAlign w:val="center"/>
                </w:tcPr>
                <w:p w14:paraId="025BC6EF">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P</w:t>
                  </w:r>
                  <w:r>
                    <w:rPr>
                      <w:rFonts w:hint="eastAsia"/>
                      <w:color w:val="000000" w:themeColor="text1"/>
                      <w:highlight w:val="none"/>
                      <w:vertAlign w:val="subscript"/>
                      <w:lang w:val="en-US" w:eastAsia="zh-CN" w:bidi="ar-SA"/>
                      <w14:textFill>
                        <w14:solidFill>
                          <w14:schemeClr w14:val="tx1"/>
                        </w14:solidFill>
                      </w14:textFill>
                    </w:rPr>
                    <w:t>VA</w:t>
                  </w:r>
                  <w:r>
                    <w:rPr>
                      <w:rFonts w:hint="eastAsia"/>
                      <w:color w:val="000000" w:themeColor="text1"/>
                      <w:highlight w:val="none"/>
                      <w:vertAlign w:val="baseline"/>
                      <w:lang w:val="en-US" w:eastAsia="zh-CN" w:bidi="ar-SA"/>
                      <w14:textFill>
                        <w14:solidFill>
                          <w14:schemeClr w14:val="tx1"/>
                        </w14:solidFill>
                      </w14:textFill>
                    </w:rPr>
                    <w:t>（</w:t>
                  </w:r>
                  <w:r>
                    <w:rPr>
                      <w:rFonts w:hint="eastAsia"/>
                      <w:color w:val="000000" w:themeColor="text1"/>
                      <w:highlight w:val="none"/>
                      <w:lang w:val="en-US" w:eastAsia="zh-CN" w:bidi="ar-SA"/>
                      <w14:textFill>
                        <w14:solidFill>
                          <w14:schemeClr w14:val="tx1"/>
                        </w14:solidFill>
                      </w14:textFill>
                    </w:rPr>
                    <w:t>lb/ft</w:t>
                  </w:r>
                  <w:r>
                    <w:rPr>
                      <w:rFonts w:hint="eastAsia"/>
                      <w:color w:val="000000" w:themeColor="text1"/>
                      <w:highlight w:val="none"/>
                      <w:vertAlign w:val="superscript"/>
                      <w:lang w:val="en-US" w:eastAsia="zh-CN" w:bidi="ar-SA"/>
                      <w14:textFill>
                        <w14:solidFill>
                          <w14:schemeClr w14:val="tx1"/>
                        </w14:solidFill>
                      </w14:textFill>
                    </w:rPr>
                    <w:t>2</w:t>
                  </w:r>
                  <w:r>
                    <w:rPr>
                      <w:rFonts w:hint="eastAsia"/>
                      <w:color w:val="000000" w:themeColor="text1"/>
                      <w:highlight w:val="none"/>
                      <w:vertAlign w:val="baseline"/>
                      <w:lang w:val="en-US" w:eastAsia="zh-CN" w:bidi="ar-SA"/>
                      <w14:textFill>
                        <w14:solidFill>
                          <w14:schemeClr w14:val="tx1"/>
                        </w14:solidFill>
                      </w14:textFill>
                    </w:rPr>
                    <w:t>）</w:t>
                  </w:r>
                </w:p>
              </w:tc>
              <w:tc>
                <w:tcPr>
                  <w:tcW w:w="3477" w:type="pct"/>
                  <w:tcBorders>
                    <w:tl2br w:val="nil"/>
                    <w:tr2bl w:val="nil"/>
                  </w:tcBorders>
                  <w:noWrap w:val="0"/>
                  <w:vAlign w:val="center"/>
                </w:tcPr>
                <w:p w14:paraId="5841E972">
                  <w:pPr>
                    <w:pStyle w:val="26"/>
                    <w:bidi w:val="0"/>
                    <w:jc w:val="center"/>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121.136</w:t>
                  </w:r>
                </w:p>
                <w:p w14:paraId="0A5FBEA4">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（乙醇常温下</w:t>
                  </w:r>
                  <w:r>
                    <w:rPr>
                      <w:rFonts w:hint="eastAsia"/>
                      <w:color w:val="000000" w:themeColor="text1"/>
                      <w:highlight w:val="none"/>
                      <w:lang w:val="en-US" w:eastAsia="zh-CN" w:bidi="ar-SA"/>
                      <w14:textFill>
                        <w14:solidFill>
                          <w14:schemeClr w14:val="tx1"/>
                        </w14:solidFill>
                      </w14:textFill>
                    </w:rPr>
                    <w:t>饱和蒸汽</w:t>
                  </w:r>
                  <w:r>
                    <w:rPr>
                      <w:rFonts w:hint="default"/>
                      <w:color w:val="000000" w:themeColor="text1"/>
                      <w:highlight w:val="none"/>
                      <w:lang w:val="en-US" w:eastAsia="zh-CN" w:bidi="ar-SA"/>
                      <w14:textFill>
                        <w14:solidFill>
                          <w14:schemeClr w14:val="tx1"/>
                        </w14:solidFill>
                      </w14:textFill>
                    </w:rPr>
                    <w:t>压为5.8kpa，1lb/ft</w:t>
                  </w:r>
                  <w:r>
                    <w:rPr>
                      <w:rFonts w:hint="default"/>
                      <w:color w:val="000000" w:themeColor="text1"/>
                      <w:highlight w:val="none"/>
                      <w:vertAlign w:val="superscript"/>
                      <w:lang w:val="en-US" w:eastAsia="zh-CN" w:bidi="ar-SA"/>
                      <w14:textFill>
                        <w14:solidFill>
                          <w14:schemeClr w14:val="tx1"/>
                        </w14:solidFill>
                      </w14:textFill>
                    </w:rPr>
                    <w:t>2</w:t>
                  </w:r>
                  <w:r>
                    <w:rPr>
                      <w:rFonts w:hint="default"/>
                      <w:color w:val="000000" w:themeColor="text1"/>
                      <w:highlight w:val="none"/>
                      <w:lang w:val="en-US" w:eastAsia="zh-CN" w:bidi="ar-SA"/>
                      <w14:textFill>
                        <w14:solidFill>
                          <w14:schemeClr w14:val="tx1"/>
                        </w14:solidFill>
                      </w14:textFill>
                    </w:rPr>
                    <w:t>=</w:t>
                  </w:r>
                  <w:r>
                    <w:rPr>
                      <w:rFonts w:hint="eastAsia"/>
                      <w:color w:val="000000" w:themeColor="text1"/>
                      <w:highlight w:val="none"/>
                      <w:lang w:val="en-US" w:eastAsia="zh-CN" w:bidi="ar-SA"/>
                      <w14:textFill>
                        <w14:solidFill>
                          <w14:schemeClr w14:val="tx1"/>
                        </w14:solidFill>
                      </w14:textFill>
                    </w:rPr>
                    <w:t>0.04788</w:t>
                  </w:r>
                  <w:r>
                    <w:rPr>
                      <w:rFonts w:hint="default"/>
                      <w:color w:val="000000" w:themeColor="text1"/>
                      <w:highlight w:val="none"/>
                      <w:lang w:val="en-US" w:eastAsia="zh-CN" w:bidi="ar-SA"/>
                      <w14:textFill>
                        <w14:solidFill>
                          <w14:schemeClr w14:val="tx1"/>
                        </w14:solidFill>
                      </w14:textFill>
                    </w:rPr>
                    <w:t xml:space="preserve"> kPa）</w:t>
                  </w:r>
                </w:p>
              </w:tc>
            </w:tr>
            <w:tr w14:paraId="741D21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9" w:type="pct"/>
                  <w:tcBorders>
                    <w:tl2br w:val="nil"/>
                    <w:tr2bl w:val="nil"/>
                  </w:tcBorders>
                  <w:noWrap w:val="0"/>
                  <w:vAlign w:val="center"/>
                </w:tcPr>
                <w:p w14:paraId="67B4E644">
                  <w:pPr>
                    <w:pStyle w:val="26"/>
                    <w:bidi w:val="0"/>
                    <w:ind w:firstLine="0" w:firstLineChars="0"/>
                    <w:jc w:val="center"/>
                    <w:rPr>
                      <w:rFonts w:hint="default" w:eastAsia="宋体"/>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8</w:t>
                  </w:r>
                </w:p>
              </w:tc>
              <w:tc>
                <w:tcPr>
                  <w:tcW w:w="1022" w:type="pct"/>
                  <w:tcBorders>
                    <w:tl2br w:val="nil"/>
                    <w:tr2bl w:val="nil"/>
                  </w:tcBorders>
                  <w:noWrap w:val="0"/>
                  <w:vAlign w:val="center"/>
                </w:tcPr>
                <w:p w14:paraId="6C5A8735">
                  <w:pPr>
                    <w:pStyle w:val="26"/>
                    <w:bidi w:val="0"/>
                    <w:ind w:firstLine="0" w:firstLineChars="0"/>
                    <w:jc w:val="center"/>
                    <w:rPr>
                      <w:rFonts w:hint="default" w:eastAsia="宋体"/>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Q（bbl/a）</w:t>
                  </w:r>
                </w:p>
              </w:tc>
              <w:tc>
                <w:tcPr>
                  <w:tcW w:w="3477" w:type="pct"/>
                  <w:tcBorders>
                    <w:tl2br w:val="nil"/>
                    <w:tr2bl w:val="nil"/>
                  </w:tcBorders>
                  <w:noWrap w:val="0"/>
                  <w:vAlign w:val="center"/>
                </w:tcPr>
                <w:p w14:paraId="3889CD5E">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36.05</w:t>
                  </w:r>
                </w:p>
                <w:p w14:paraId="26394163">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（乙醇使用量为</w:t>
                  </w:r>
                  <w:r>
                    <w:rPr>
                      <w:rFonts w:hint="eastAsia"/>
                      <w:color w:val="000000" w:themeColor="text1"/>
                      <w:highlight w:val="none"/>
                      <w:lang w:val="en-US" w:eastAsia="zh-CN" w:bidi="ar-SA"/>
                      <w14:textFill>
                        <w14:solidFill>
                          <w14:schemeClr w14:val="tx1"/>
                        </w14:solidFill>
                      </w14:textFill>
                    </w:rPr>
                    <w:t xml:space="preserve">4.5 </w:t>
                  </w:r>
                  <w:r>
                    <w:rPr>
                      <w:rFonts w:hint="default"/>
                      <w:color w:val="000000" w:themeColor="text1"/>
                      <w:highlight w:val="none"/>
                      <w:lang w:val="en-US" w:eastAsia="zh-CN" w:bidi="ar-SA"/>
                      <w14:textFill>
                        <w14:solidFill>
                          <w14:schemeClr w14:val="tx1"/>
                        </w14:solidFill>
                      </w14:textFill>
                    </w:rPr>
                    <w:t>t/a，乙醇密度为</w:t>
                  </w:r>
                  <w:r>
                    <w:rPr>
                      <w:rFonts w:hint="eastAsia"/>
                      <w:color w:val="000000" w:themeColor="text1"/>
                      <w:highlight w:val="none"/>
                      <w:lang w:val="en-US" w:eastAsia="zh-CN" w:bidi="ar-SA"/>
                      <w14:textFill>
                        <w14:solidFill>
                          <w14:schemeClr w14:val="tx1"/>
                        </w14:solidFill>
                      </w14:textFill>
                    </w:rPr>
                    <w:t xml:space="preserve">785 </w:t>
                  </w:r>
                  <w:r>
                    <w:rPr>
                      <w:rFonts w:hint="default"/>
                      <w:color w:val="000000" w:themeColor="text1"/>
                      <w:highlight w:val="none"/>
                      <w:lang w:val="en-US" w:eastAsia="zh-CN" w:bidi="ar-SA"/>
                      <w14:textFill>
                        <w14:solidFill>
                          <w14:schemeClr w14:val="tx1"/>
                        </w14:solidFill>
                      </w14:textFill>
                    </w:rPr>
                    <w:t>kg/m</w:t>
                  </w:r>
                  <w:r>
                    <w:rPr>
                      <w:rFonts w:hint="default"/>
                      <w:color w:val="000000" w:themeColor="text1"/>
                      <w:highlight w:val="none"/>
                      <w:vertAlign w:val="superscript"/>
                      <w:lang w:val="en-US" w:eastAsia="zh-CN" w:bidi="ar-SA"/>
                      <w14:textFill>
                        <w14:solidFill>
                          <w14:schemeClr w14:val="tx1"/>
                        </w14:solidFill>
                      </w14:textFill>
                    </w:rPr>
                    <w:t>3</w:t>
                  </w:r>
                  <w:r>
                    <w:rPr>
                      <w:rFonts w:hint="default"/>
                      <w:color w:val="000000" w:themeColor="text1"/>
                      <w:highlight w:val="none"/>
                      <w:lang w:val="en-US" w:eastAsia="zh-CN" w:bidi="ar-SA"/>
                      <w14:textFill>
                        <w14:solidFill>
                          <w14:schemeClr w14:val="tx1"/>
                        </w14:solidFill>
                      </w14:textFill>
                    </w:rPr>
                    <w:t>，1bbl=0.159</w:t>
                  </w:r>
                  <w:r>
                    <w:rPr>
                      <w:rFonts w:hint="eastAsia"/>
                      <w:color w:val="000000" w:themeColor="text1"/>
                      <w:highlight w:val="none"/>
                      <w:lang w:val="en-US" w:eastAsia="zh-CN" w:bidi="ar-SA"/>
                      <w14:textFill>
                        <w14:solidFill>
                          <w14:schemeClr w14:val="tx1"/>
                        </w14:solidFill>
                      </w14:textFill>
                    </w:rPr>
                    <w:t xml:space="preserve"> </w:t>
                  </w:r>
                  <w:r>
                    <w:rPr>
                      <w:rFonts w:hint="default"/>
                      <w:color w:val="000000" w:themeColor="text1"/>
                      <w:highlight w:val="none"/>
                      <w:lang w:val="en-US" w:eastAsia="zh-CN" w:bidi="ar-SA"/>
                      <w14:textFill>
                        <w14:solidFill>
                          <w14:schemeClr w14:val="tx1"/>
                        </w14:solidFill>
                      </w14:textFill>
                    </w:rPr>
                    <w:t>m</w:t>
                  </w:r>
                  <w:r>
                    <w:rPr>
                      <w:rFonts w:hint="default"/>
                      <w:color w:val="000000" w:themeColor="text1"/>
                      <w:highlight w:val="none"/>
                      <w:vertAlign w:val="superscript"/>
                      <w:lang w:val="en-US" w:eastAsia="zh-CN" w:bidi="ar-SA"/>
                      <w14:textFill>
                        <w14:solidFill>
                          <w14:schemeClr w14:val="tx1"/>
                        </w14:solidFill>
                      </w14:textFill>
                    </w:rPr>
                    <w:t>3</w:t>
                  </w:r>
                  <w:r>
                    <w:rPr>
                      <w:rFonts w:hint="default"/>
                      <w:color w:val="000000" w:themeColor="text1"/>
                      <w:highlight w:val="none"/>
                      <w:lang w:val="en-US" w:eastAsia="zh-CN" w:bidi="ar-SA"/>
                      <w14:textFill>
                        <w14:solidFill>
                          <w14:schemeClr w14:val="tx1"/>
                        </w14:solidFill>
                      </w14:textFill>
                    </w:rPr>
                    <w:t>）</w:t>
                  </w:r>
                </w:p>
              </w:tc>
            </w:tr>
            <w:tr w14:paraId="7A5FA8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9" w:type="pct"/>
                  <w:tcBorders>
                    <w:tl2br w:val="nil"/>
                    <w:tr2bl w:val="nil"/>
                  </w:tcBorders>
                  <w:noWrap w:val="0"/>
                  <w:vAlign w:val="center"/>
                </w:tcPr>
                <w:p w14:paraId="3972E519">
                  <w:pPr>
                    <w:pStyle w:val="26"/>
                    <w:bidi w:val="0"/>
                    <w:ind w:firstLine="0" w:firstLineChars="0"/>
                    <w:jc w:val="center"/>
                    <w:rPr>
                      <w:rFonts w:hint="eastAsia" w:eastAsia="宋体"/>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9</w:t>
                  </w:r>
                </w:p>
              </w:tc>
              <w:tc>
                <w:tcPr>
                  <w:tcW w:w="1022" w:type="pct"/>
                  <w:tcBorders>
                    <w:tl2br w:val="nil"/>
                    <w:tr2bl w:val="nil"/>
                  </w:tcBorders>
                  <w:noWrap w:val="0"/>
                  <w:vAlign w:val="center"/>
                </w:tcPr>
                <w:p w14:paraId="56CCC9D2">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K</w:t>
                  </w:r>
                  <w:r>
                    <w:rPr>
                      <w:rFonts w:hint="eastAsia"/>
                      <w:color w:val="000000" w:themeColor="text1"/>
                      <w:highlight w:val="none"/>
                      <w:vertAlign w:val="subscript"/>
                      <w:lang w:val="en-US" w:eastAsia="zh-CN" w:bidi="ar-SA"/>
                      <w14:textFill>
                        <w14:solidFill>
                          <w14:schemeClr w14:val="tx1"/>
                        </w14:solidFill>
                      </w14:textFill>
                    </w:rPr>
                    <w:t>P</w:t>
                  </w:r>
                </w:p>
              </w:tc>
              <w:tc>
                <w:tcPr>
                  <w:tcW w:w="3477" w:type="pct"/>
                  <w:tcBorders>
                    <w:tl2br w:val="nil"/>
                    <w:tr2bl w:val="nil"/>
                  </w:tcBorders>
                  <w:noWrap w:val="0"/>
                  <w:vAlign w:val="center"/>
                </w:tcPr>
                <w:p w14:paraId="1735832E">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w:t>
                  </w:r>
                </w:p>
              </w:tc>
            </w:tr>
            <w:tr w14:paraId="0E4EAD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9" w:type="pct"/>
                  <w:tcBorders>
                    <w:tl2br w:val="nil"/>
                    <w:tr2bl w:val="nil"/>
                  </w:tcBorders>
                  <w:noWrap w:val="0"/>
                  <w:vAlign w:val="center"/>
                </w:tcPr>
                <w:p w14:paraId="77DB8A3E">
                  <w:pPr>
                    <w:pStyle w:val="26"/>
                    <w:bidi w:val="0"/>
                    <w:ind w:firstLine="0" w:firstLineChars="0"/>
                    <w:jc w:val="center"/>
                    <w:rPr>
                      <w:rFonts w:hint="eastAsia" w:eastAsia="宋体"/>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10</w:t>
                  </w:r>
                </w:p>
              </w:tc>
              <w:tc>
                <w:tcPr>
                  <w:tcW w:w="1022" w:type="pct"/>
                  <w:tcBorders>
                    <w:tl2br w:val="nil"/>
                    <w:tr2bl w:val="nil"/>
                  </w:tcBorders>
                  <w:noWrap w:val="0"/>
                  <w:vAlign w:val="center"/>
                </w:tcPr>
                <w:p w14:paraId="10BF0466">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K</w:t>
                  </w:r>
                  <w:r>
                    <w:rPr>
                      <w:rFonts w:hint="eastAsia"/>
                      <w:color w:val="000000" w:themeColor="text1"/>
                      <w:highlight w:val="none"/>
                      <w:vertAlign w:val="subscript"/>
                      <w:lang w:val="en-US" w:eastAsia="zh-CN" w:bidi="ar-SA"/>
                      <w14:textFill>
                        <w14:solidFill>
                          <w14:schemeClr w14:val="tx1"/>
                        </w14:solidFill>
                      </w14:textFill>
                    </w:rPr>
                    <w:t>N</w:t>
                  </w:r>
                </w:p>
              </w:tc>
              <w:tc>
                <w:tcPr>
                  <w:tcW w:w="3477" w:type="pct"/>
                  <w:tcBorders>
                    <w:tl2br w:val="nil"/>
                    <w:tr2bl w:val="nil"/>
                  </w:tcBorders>
                  <w:noWrap w:val="0"/>
                  <w:vAlign w:val="center"/>
                </w:tcPr>
                <w:p w14:paraId="733774A6">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w:t>
                  </w:r>
                </w:p>
              </w:tc>
            </w:tr>
            <w:tr w14:paraId="66F8DB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9" w:type="pct"/>
                  <w:tcBorders>
                    <w:tl2br w:val="nil"/>
                    <w:tr2bl w:val="nil"/>
                  </w:tcBorders>
                  <w:noWrap w:val="0"/>
                  <w:vAlign w:val="center"/>
                </w:tcPr>
                <w:p w14:paraId="5BD192BC">
                  <w:pPr>
                    <w:pStyle w:val="26"/>
                    <w:bidi w:val="0"/>
                    <w:ind w:firstLine="0" w:firstLineChars="0"/>
                    <w:jc w:val="center"/>
                    <w:rPr>
                      <w:rFonts w:hint="default" w:eastAsia="宋体"/>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11</w:t>
                  </w:r>
                </w:p>
              </w:tc>
              <w:tc>
                <w:tcPr>
                  <w:tcW w:w="1022" w:type="pct"/>
                  <w:tcBorders>
                    <w:tl2br w:val="nil"/>
                    <w:tr2bl w:val="nil"/>
                  </w:tcBorders>
                  <w:noWrap w:val="0"/>
                  <w:vAlign w:val="center"/>
                </w:tcPr>
                <w:p w14:paraId="64B1AF70">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R</w:t>
                  </w:r>
                </w:p>
              </w:tc>
              <w:tc>
                <w:tcPr>
                  <w:tcW w:w="3477" w:type="pct"/>
                  <w:tcBorders>
                    <w:tl2br w:val="nil"/>
                    <w:tr2bl w:val="nil"/>
                  </w:tcBorders>
                  <w:noWrap w:val="0"/>
                  <w:vAlign w:val="center"/>
                </w:tcPr>
                <w:p w14:paraId="4FEF5448">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10.741</w:t>
                  </w:r>
                </w:p>
              </w:tc>
            </w:tr>
            <w:tr w14:paraId="42BB60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9" w:type="pct"/>
                  <w:tcBorders>
                    <w:tl2br w:val="nil"/>
                    <w:tr2bl w:val="nil"/>
                  </w:tcBorders>
                  <w:noWrap w:val="0"/>
                  <w:vAlign w:val="center"/>
                </w:tcPr>
                <w:p w14:paraId="51392C2F">
                  <w:pPr>
                    <w:pStyle w:val="26"/>
                    <w:bidi w:val="0"/>
                    <w:ind w:firstLine="0" w:firstLineChars="0"/>
                    <w:jc w:val="center"/>
                    <w:rPr>
                      <w:rFonts w:hint="default" w:eastAsia="宋体"/>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12</w:t>
                  </w:r>
                </w:p>
              </w:tc>
              <w:tc>
                <w:tcPr>
                  <w:tcW w:w="1022" w:type="pct"/>
                  <w:tcBorders>
                    <w:tl2br w:val="nil"/>
                    <w:tr2bl w:val="nil"/>
                  </w:tcBorders>
                  <w:noWrap w:val="0"/>
                  <w:vAlign w:val="center"/>
                </w:tcPr>
                <w:p w14:paraId="216DD96A">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K</w:t>
                  </w:r>
                  <w:r>
                    <w:rPr>
                      <w:rFonts w:hint="eastAsia"/>
                      <w:color w:val="000000" w:themeColor="text1"/>
                      <w:highlight w:val="none"/>
                      <w:vertAlign w:val="subscript"/>
                      <w:lang w:val="en-US" w:eastAsia="zh-CN" w:bidi="ar-SA"/>
                      <w14:textFill>
                        <w14:solidFill>
                          <w14:schemeClr w14:val="tx1"/>
                        </w14:solidFill>
                      </w14:textFill>
                    </w:rPr>
                    <w:t>B</w:t>
                  </w:r>
                </w:p>
              </w:tc>
              <w:tc>
                <w:tcPr>
                  <w:tcW w:w="3477" w:type="pct"/>
                  <w:tcBorders>
                    <w:tl2br w:val="nil"/>
                    <w:tr2bl w:val="nil"/>
                  </w:tcBorders>
                  <w:noWrap w:val="0"/>
                  <w:vAlign w:val="center"/>
                </w:tcPr>
                <w:p w14:paraId="4F93AC48">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w:t>
                  </w:r>
                </w:p>
              </w:tc>
            </w:tr>
            <w:tr w14:paraId="66374B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9" w:type="pct"/>
                  <w:tcBorders>
                    <w:tl2br w:val="nil"/>
                    <w:tr2bl w:val="nil"/>
                  </w:tcBorders>
                  <w:noWrap w:val="0"/>
                  <w:vAlign w:val="center"/>
                </w:tcPr>
                <w:p w14:paraId="0E974C2D">
                  <w:pPr>
                    <w:pStyle w:val="26"/>
                    <w:bidi w:val="0"/>
                    <w:ind w:firstLine="0" w:firstLineChars="0"/>
                    <w:jc w:val="center"/>
                    <w:rPr>
                      <w:rFonts w:hint="default" w:eastAsia="宋体"/>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13</w:t>
                  </w:r>
                </w:p>
              </w:tc>
              <w:tc>
                <w:tcPr>
                  <w:tcW w:w="1022" w:type="pct"/>
                  <w:tcBorders>
                    <w:tl2br w:val="nil"/>
                    <w:tr2bl w:val="nil"/>
                  </w:tcBorders>
                  <w:noWrap w:val="0"/>
                  <w:vAlign w:val="center"/>
                </w:tcPr>
                <w:p w14:paraId="4CD63F55">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单罐L</w:t>
                  </w:r>
                  <w:r>
                    <w:rPr>
                      <w:rFonts w:hint="eastAsia"/>
                      <w:color w:val="000000" w:themeColor="text1"/>
                      <w:highlight w:val="none"/>
                      <w:vertAlign w:val="subscript"/>
                      <w:lang w:val="en-US" w:eastAsia="zh-CN" w:bidi="ar-SA"/>
                      <w14:textFill>
                        <w14:solidFill>
                          <w14:schemeClr w14:val="tx1"/>
                        </w14:solidFill>
                      </w14:textFill>
                    </w:rPr>
                    <w:t>W</w:t>
                  </w:r>
                  <w:r>
                    <w:rPr>
                      <w:rFonts w:hint="eastAsia"/>
                      <w:color w:val="000000" w:themeColor="text1"/>
                      <w:highlight w:val="none"/>
                      <w:lang w:val="en-US" w:eastAsia="zh-CN" w:bidi="ar-SA"/>
                      <w14:textFill>
                        <w14:solidFill>
                          <w14:schemeClr w14:val="tx1"/>
                        </w14:solidFill>
                      </w14:textFill>
                    </w:rPr>
                    <w:t>（1b/a）</w:t>
                  </w:r>
                </w:p>
              </w:tc>
              <w:tc>
                <w:tcPr>
                  <w:tcW w:w="3477" w:type="pct"/>
                  <w:tcBorders>
                    <w:tl2br w:val="nil"/>
                    <w:tr2bl w:val="nil"/>
                  </w:tcBorders>
                  <w:noWrap w:val="0"/>
                  <w:vAlign w:val="center"/>
                </w:tcPr>
                <w:p w14:paraId="39C45A92">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0.4320</w:t>
                  </w:r>
                </w:p>
              </w:tc>
            </w:tr>
            <w:tr w14:paraId="37FCE9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9" w:type="pct"/>
                  <w:tcBorders>
                    <w:tl2br w:val="nil"/>
                    <w:tr2bl w:val="nil"/>
                  </w:tcBorders>
                  <w:noWrap w:val="0"/>
                  <w:vAlign w:val="center"/>
                </w:tcPr>
                <w:p w14:paraId="4E2028DB">
                  <w:pPr>
                    <w:pStyle w:val="26"/>
                    <w:bidi w:val="0"/>
                    <w:jc w:val="center"/>
                    <w:rPr>
                      <w:rFonts w:hint="default" w:eastAsia="宋体"/>
                      <w:color w:val="000000" w:themeColor="text1"/>
                      <w:highlight w:val="none"/>
                      <w:lang w:val="en-US" w:eastAsia="zh-CN" w:bidi="ar-SA"/>
                      <w14:textFill>
                        <w14:solidFill>
                          <w14:schemeClr w14:val="tx1"/>
                        </w14:solidFill>
                      </w14:textFill>
                    </w:rPr>
                  </w:pPr>
                  <w:r>
                    <w:rPr>
                      <w:rFonts w:hint="eastAsia" w:eastAsia="宋体"/>
                      <w:color w:val="000000" w:themeColor="text1"/>
                      <w:highlight w:val="none"/>
                      <w:lang w:val="en-US" w:eastAsia="zh-CN" w:bidi="ar-SA"/>
                      <w14:textFill>
                        <w14:solidFill>
                          <w14:schemeClr w14:val="tx1"/>
                        </w14:solidFill>
                      </w14:textFill>
                    </w:rPr>
                    <w:t>14</w:t>
                  </w:r>
                </w:p>
              </w:tc>
              <w:tc>
                <w:tcPr>
                  <w:tcW w:w="1022" w:type="pct"/>
                  <w:tcBorders>
                    <w:tl2br w:val="nil"/>
                    <w:tr2bl w:val="nil"/>
                  </w:tcBorders>
                  <w:noWrap w:val="0"/>
                  <w:vAlign w:val="center"/>
                </w:tcPr>
                <w:p w14:paraId="1E53D6D3">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总L</w:t>
                  </w:r>
                  <w:r>
                    <w:rPr>
                      <w:rFonts w:hint="eastAsia"/>
                      <w:color w:val="000000" w:themeColor="text1"/>
                      <w:highlight w:val="none"/>
                      <w:vertAlign w:val="subscript"/>
                      <w:lang w:val="en-US" w:eastAsia="zh-CN" w:bidi="ar-SA"/>
                      <w14:textFill>
                        <w14:solidFill>
                          <w14:schemeClr w14:val="tx1"/>
                        </w14:solidFill>
                      </w14:textFill>
                    </w:rPr>
                    <w:t>W</w:t>
                  </w:r>
                  <w:r>
                    <w:rPr>
                      <w:rFonts w:hint="eastAsia"/>
                      <w:color w:val="000000" w:themeColor="text1"/>
                      <w:highlight w:val="none"/>
                      <w:lang w:val="en-US" w:eastAsia="zh-CN" w:bidi="ar-SA"/>
                      <w14:textFill>
                        <w14:solidFill>
                          <w14:schemeClr w14:val="tx1"/>
                        </w14:solidFill>
                      </w14:textFill>
                    </w:rPr>
                    <w:t>（t/a）</w:t>
                  </w:r>
                </w:p>
              </w:tc>
              <w:tc>
                <w:tcPr>
                  <w:tcW w:w="3477" w:type="pct"/>
                  <w:tcBorders>
                    <w:tl2br w:val="nil"/>
                    <w:tr2bl w:val="nil"/>
                  </w:tcBorders>
                  <w:noWrap w:val="0"/>
                  <w:vAlign w:val="center"/>
                </w:tcPr>
                <w:p w14:paraId="1DDDB712">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0.00039</w:t>
                  </w:r>
                </w:p>
              </w:tc>
            </w:tr>
          </w:tbl>
          <w:p w14:paraId="2305F522">
            <w:pPr>
              <w:bidi w:val="0"/>
              <w:rPr>
                <w:rFonts w:hint="default"/>
                <w:color w:val="000000" w:themeColor="text1"/>
                <w:highlight w:val="none"/>
                <w:u w:val="single"/>
                <w:lang w:val="en-US" w:eastAsia="zh-CN"/>
                <w14:textFill>
                  <w14:solidFill>
                    <w14:schemeClr w14:val="tx1"/>
                  </w14:solidFill>
                </w14:textFill>
              </w:rPr>
            </w:pPr>
            <w:r>
              <w:rPr>
                <w:rFonts w:hint="eastAsia"/>
                <w:color w:val="000000" w:themeColor="text1"/>
                <w:highlight w:val="none"/>
                <w:u w:val="single"/>
                <w:lang w:val="en-US" w:eastAsia="zh-CN"/>
                <w14:textFill>
                  <w14:solidFill>
                    <w14:schemeClr w14:val="tx1"/>
                  </w14:solidFill>
                </w14:textFill>
              </w:rPr>
              <w:t>B.静置储藏损失（小呼吸）</w:t>
            </w:r>
          </w:p>
          <w:p w14:paraId="7C34FCF1">
            <w:pPr>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乙醇储罐</w:t>
            </w:r>
            <w:r>
              <w:rPr>
                <w:rFonts w:hint="eastAsia"/>
                <w:color w:val="000000" w:themeColor="text1"/>
                <w:highlight w:val="none"/>
                <w:u w:val="none"/>
                <w:lang w:val="en-US" w:eastAsia="zh-CN"/>
                <w14:textFill>
                  <w14:solidFill>
                    <w14:schemeClr w14:val="tx1"/>
                  </w14:solidFill>
                </w14:textFill>
              </w:rPr>
              <w:t>的静置储藏损失计</w:t>
            </w:r>
            <w:r>
              <w:rPr>
                <w:rFonts w:hint="eastAsia"/>
                <w:color w:val="000000" w:themeColor="text1"/>
                <w:highlight w:val="none"/>
                <w:lang w:val="en-US" w:eastAsia="zh-CN"/>
                <w14:textFill>
                  <w14:solidFill>
                    <w14:schemeClr w14:val="tx1"/>
                  </w14:solidFill>
                </w14:textFill>
              </w:rPr>
              <w:t>算公式如下：</w:t>
            </w:r>
          </w:p>
          <w:p w14:paraId="06B13EFD">
            <w:pPr>
              <w:ind w:left="0" w:leftChars="0" w:firstLine="0" w:firstLineChars="0"/>
              <w:jc w:val="center"/>
              <w:rPr>
                <w:rFonts w:hint="default"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1476375" cy="328930"/>
                  <wp:effectExtent l="0" t="0" r="9525" b="13970"/>
                  <wp:docPr id="7" name="图片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90"/>
                          <pic:cNvPicPr>
                            <a:picLocks noChangeAspect="1"/>
                          </pic:cNvPicPr>
                        </pic:nvPicPr>
                        <pic:blipFill>
                          <a:blip r:embed="rId24"/>
                          <a:stretch>
                            <a:fillRect/>
                          </a:stretch>
                        </pic:blipFill>
                        <pic:spPr>
                          <a:xfrm>
                            <a:off x="0" y="0"/>
                            <a:ext cx="1476375" cy="328930"/>
                          </a:xfrm>
                          <a:prstGeom prst="rect">
                            <a:avLst/>
                          </a:prstGeom>
                          <a:noFill/>
                          <a:ln>
                            <a:noFill/>
                          </a:ln>
                        </pic:spPr>
                      </pic:pic>
                    </a:graphicData>
                  </a:graphic>
                </wp:inline>
              </w:drawing>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公式5</w:t>
            </w:r>
            <w:r>
              <w:rPr>
                <w:rFonts w:hint="eastAsia"/>
                <w:color w:val="000000" w:themeColor="text1"/>
                <w:highlight w:val="none"/>
                <w:lang w:eastAsia="zh-CN"/>
                <w14:textFill>
                  <w14:solidFill>
                    <w14:schemeClr w14:val="tx1"/>
                  </w14:solidFill>
                </w14:textFill>
              </w:rPr>
              <w:t>）</w:t>
            </w:r>
          </w:p>
          <w:p w14:paraId="798D07CF">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式中：</w:t>
            </w:r>
          </w:p>
          <w:p w14:paraId="22652070">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L</w:t>
            </w:r>
            <w:r>
              <w:rPr>
                <w:rFonts w:hint="default"/>
                <w:color w:val="000000" w:themeColor="text1"/>
                <w:highlight w:val="none"/>
                <w:vertAlign w:val="subscript"/>
                <w:lang w:val="en-US" w:eastAsia="zh-CN"/>
                <w14:textFill>
                  <w14:solidFill>
                    <w14:schemeClr w14:val="tx1"/>
                  </w14:solidFill>
                </w14:textFill>
              </w:rPr>
              <w:t>S</w:t>
            </w:r>
            <w:r>
              <w:rPr>
                <w:rFonts w:hint="eastAsia"/>
                <w:color w:val="000000" w:themeColor="text1"/>
                <w:highlight w:val="none"/>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静置储藏损失（对于地下的</w:t>
            </w:r>
            <w:r>
              <w:rPr>
                <w:rFonts w:hint="eastAsia"/>
                <w:color w:val="000000" w:themeColor="text1"/>
                <w:highlight w:val="none"/>
                <w:lang w:val="en-US" w:eastAsia="zh-CN"/>
                <w14:textFill>
                  <w14:solidFill>
                    <w14:schemeClr w14:val="tx1"/>
                  </w14:solidFill>
                </w14:textFill>
              </w:rPr>
              <w:t>卧式</w:t>
            </w:r>
            <w:r>
              <w:rPr>
                <w:rFonts w:hint="default"/>
                <w:color w:val="000000" w:themeColor="text1"/>
                <w:highlight w:val="none"/>
                <w:lang w:val="en-US" w:eastAsia="zh-CN"/>
                <w14:textFill>
                  <w14:solidFill>
                    <w14:schemeClr w14:val="tx1"/>
                  </w14:solidFill>
                </w14:textFill>
              </w:rPr>
              <w:t>罐，由于地下土层的绝缘作用，昼夜温差的变化对卧式罐没有产生太大影响，一般认为L</w:t>
            </w:r>
            <w:r>
              <w:rPr>
                <w:rFonts w:hint="default"/>
                <w:color w:val="000000" w:themeColor="text1"/>
                <w:highlight w:val="none"/>
                <w:vertAlign w:val="subscript"/>
                <w:lang w:val="en-US" w:eastAsia="zh-CN"/>
                <w14:textFill>
                  <w14:solidFill>
                    <w14:schemeClr w14:val="tx1"/>
                  </w14:solidFill>
                </w14:textFill>
              </w:rPr>
              <w:t>S</w:t>
            </w:r>
            <w:r>
              <w:rPr>
                <w:rFonts w:hint="default"/>
                <w:color w:val="000000" w:themeColor="text1"/>
                <w:highlight w:val="none"/>
                <w:lang w:val="en-US" w:eastAsia="zh-CN"/>
                <w14:textFill>
                  <w14:solidFill>
                    <w14:schemeClr w14:val="tx1"/>
                  </w14:solidFill>
                </w14:textFill>
              </w:rPr>
              <w:t>=0），lb/a；</w:t>
            </w:r>
          </w:p>
          <w:p w14:paraId="3871389C">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V</w:t>
            </w:r>
            <w:r>
              <w:rPr>
                <w:rFonts w:hint="default"/>
                <w:color w:val="000000" w:themeColor="text1"/>
                <w:highlight w:val="none"/>
                <w:vertAlign w:val="subscript"/>
                <w:lang w:val="en-US" w:eastAsia="zh-CN"/>
                <w14:textFill>
                  <w14:solidFill>
                    <w14:schemeClr w14:val="tx1"/>
                  </w14:solidFill>
                </w14:textFill>
              </w:rPr>
              <w:t>V</w:t>
            </w:r>
            <w:r>
              <w:rPr>
                <w:rFonts w:hint="eastAsia"/>
                <w:color w:val="000000" w:themeColor="text1"/>
                <w:highlight w:val="none"/>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气相空间容积，ft</w:t>
            </w:r>
            <w:r>
              <w:rPr>
                <w:rFonts w:hint="default"/>
                <w:color w:val="000000" w:themeColor="text1"/>
                <w:highlight w:val="none"/>
                <w:vertAlign w:val="superscript"/>
                <w:lang w:val="en-US" w:eastAsia="zh-CN"/>
                <w14:textFill>
                  <w14:solidFill>
                    <w14:schemeClr w14:val="tx1"/>
                  </w14:solidFill>
                </w14:textFill>
              </w:rPr>
              <w:t>3</w:t>
            </w:r>
            <w:r>
              <w:rPr>
                <w:rFonts w:hint="default"/>
                <w:color w:val="000000" w:themeColor="text1"/>
                <w:highlight w:val="none"/>
                <w:lang w:val="en-US" w:eastAsia="zh-CN"/>
                <w14:textFill>
                  <w14:solidFill>
                    <w14:schemeClr w14:val="tx1"/>
                  </w14:solidFill>
                </w14:textFill>
              </w:rPr>
              <w:t>；</w:t>
            </w:r>
          </w:p>
          <w:p w14:paraId="129B6FE7">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W</w:t>
            </w:r>
            <w:r>
              <w:rPr>
                <w:rFonts w:hint="default"/>
                <w:color w:val="000000" w:themeColor="text1"/>
                <w:highlight w:val="none"/>
                <w:vertAlign w:val="subscript"/>
                <w:lang w:val="en-US" w:eastAsia="zh-CN"/>
                <w14:textFill>
                  <w14:solidFill>
                    <w14:schemeClr w14:val="tx1"/>
                  </w14:solidFill>
                </w14:textFill>
              </w:rPr>
              <w:t>V</w:t>
            </w:r>
            <w:r>
              <w:rPr>
                <w:rFonts w:hint="eastAsia"/>
                <w:color w:val="000000" w:themeColor="text1"/>
                <w:highlight w:val="none"/>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储藏气相密度，lb/ft</w:t>
            </w:r>
            <w:r>
              <w:rPr>
                <w:rFonts w:hint="default"/>
                <w:color w:val="000000" w:themeColor="text1"/>
                <w:highlight w:val="none"/>
                <w:vertAlign w:val="superscript"/>
                <w:lang w:val="en-US" w:eastAsia="zh-CN"/>
                <w14:textFill>
                  <w14:solidFill>
                    <w14:schemeClr w14:val="tx1"/>
                  </w14:solidFill>
                </w14:textFill>
              </w:rPr>
              <w:t>3</w:t>
            </w:r>
            <w:r>
              <w:rPr>
                <w:rFonts w:hint="default"/>
                <w:color w:val="000000" w:themeColor="text1"/>
                <w:highlight w:val="none"/>
                <w:lang w:val="en-US" w:eastAsia="zh-CN"/>
                <w14:textFill>
                  <w14:solidFill>
                    <w14:schemeClr w14:val="tx1"/>
                  </w14:solidFill>
                </w14:textFill>
              </w:rPr>
              <w:t>；</w:t>
            </w:r>
          </w:p>
          <w:p w14:paraId="2ED15A9E">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K</w:t>
            </w:r>
            <w:r>
              <w:rPr>
                <w:rFonts w:hint="default"/>
                <w:color w:val="000000" w:themeColor="text1"/>
                <w:highlight w:val="none"/>
                <w:vertAlign w:val="subscript"/>
                <w:lang w:val="en-US" w:eastAsia="zh-CN"/>
                <w14:textFill>
                  <w14:solidFill>
                    <w14:schemeClr w14:val="tx1"/>
                  </w14:solidFill>
                </w14:textFill>
              </w:rPr>
              <w:t>E</w:t>
            </w:r>
            <w:r>
              <w:rPr>
                <w:rFonts w:hint="eastAsia"/>
                <w:color w:val="000000" w:themeColor="text1"/>
                <w:highlight w:val="none"/>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气相空间膨胀因子，无量纲量；</w:t>
            </w:r>
          </w:p>
          <w:p w14:paraId="505A3C5C">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K</w:t>
            </w:r>
            <w:r>
              <w:rPr>
                <w:rFonts w:hint="default"/>
                <w:color w:val="000000" w:themeColor="text1"/>
                <w:highlight w:val="none"/>
                <w:vertAlign w:val="subscript"/>
                <w:lang w:val="en-US" w:eastAsia="zh-CN"/>
                <w14:textFill>
                  <w14:solidFill>
                    <w14:schemeClr w14:val="tx1"/>
                  </w14:solidFill>
                </w14:textFill>
              </w:rPr>
              <w:t>S</w:t>
            </w:r>
            <w:r>
              <w:rPr>
                <w:rFonts w:hint="eastAsia"/>
                <w:color w:val="000000" w:themeColor="text1"/>
                <w:highlight w:val="none"/>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排放蒸汽饱和因子，无量纲量。</w:t>
            </w:r>
          </w:p>
          <w:p w14:paraId="4C2DF17D">
            <w:pP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a.</w:t>
            </w:r>
            <w:r>
              <w:rPr>
                <w:rFonts w:hint="default"/>
                <w:color w:val="000000" w:themeColor="text1"/>
                <w:highlight w:val="none"/>
                <w:lang w:val="en-US" w:eastAsia="zh-CN"/>
                <w14:textFill>
                  <w14:solidFill>
                    <w14:schemeClr w14:val="tx1"/>
                  </w14:solidFill>
                </w14:textFill>
              </w:rPr>
              <w:t>立式罐气相空间容积V</w:t>
            </w:r>
            <w:r>
              <w:rPr>
                <w:rFonts w:hint="default"/>
                <w:color w:val="000000" w:themeColor="text1"/>
                <w:highlight w:val="none"/>
                <w:vertAlign w:val="subscript"/>
                <w:lang w:val="en-US" w:eastAsia="zh-CN"/>
                <w14:textFill>
                  <w14:solidFill>
                    <w14:schemeClr w14:val="tx1"/>
                  </w14:solidFill>
                </w14:textFill>
              </w:rPr>
              <w:t>V</w:t>
            </w:r>
            <w:r>
              <w:rPr>
                <w:rFonts w:hint="eastAsia"/>
                <w:color w:val="000000" w:themeColor="text1"/>
                <w:highlight w:val="none"/>
                <w:lang w:val="en-US" w:eastAsia="zh-CN"/>
                <w14:textFill>
                  <w14:solidFill>
                    <w14:schemeClr w14:val="tx1"/>
                  </w14:solidFill>
                </w14:textFill>
              </w:rPr>
              <w:t>：</w:t>
            </w:r>
          </w:p>
          <w:p w14:paraId="2DAA5F50">
            <w:pPr>
              <w:ind w:left="0" w:leftChars="0"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1211580" cy="453390"/>
                  <wp:effectExtent l="0" t="0" r="7620" b="3810"/>
                  <wp:docPr id="8" name="图片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91"/>
                          <pic:cNvPicPr>
                            <a:picLocks noChangeAspect="1"/>
                          </pic:cNvPicPr>
                        </pic:nvPicPr>
                        <pic:blipFill>
                          <a:blip r:embed="rId25"/>
                          <a:stretch>
                            <a:fillRect/>
                          </a:stretch>
                        </pic:blipFill>
                        <pic:spPr>
                          <a:xfrm>
                            <a:off x="0" y="0"/>
                            <a:ext cx="1211580" cy="453390"/>
                          </a:xfrm>
                          <a:prstGeom prst="rect">
                            <a:avLst/>
                          </a:prstGeom>
                          <a:noFill/>
                          <a:ln>
                            <a:noFill/>
                          </a:ln>
                        </pic:spPr>
                      </pic:pic>
                    </a:graphicData>
                  </a:graphic>
                </wp:inline>
              </w:drawing>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公式6</w:t>
            </w:r>
            <w:r>
              <w:rPr>
                <w:rFonts w:hint="eastAsia"/>
                <w:color w:val="000000" w:themeColor="text1"/>
                <w:highlight w:val="none"/>
                <w:lang w:eastAsia="zh-CN"/>
                <w14:textFill>
                  <w14:solidFill>
                    <w14:schemeClr w14:val="tx1"/>
                  </w14:solidFill>
                </w14:textFill>
              </w:rPr>
              <w:t>）</w:t>
            </w:r>
          </w:p>
          <w:p w14:paraId="7761A9BE">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式中：</w:t>
            </w:r>
          </w:p>
          <w:p w14:paraId="493E0D68">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V</w:t>
            </w:r>
            <w:r>
              <w:rPr>
                <w:rFonts w:hint="eastAsia"/>
                <w:color w:val="000000" w:themeColor="text1"/>
                <w:highlight w:val="none"/>
                <w:vertAlign w:val="subscript"/>
                <w:lang w:val="en-US" w:eastAsia="zh-CN"/>
                <w14:textFill>
                  <w14:solidFill>
                    <w14:schemeClr w14:val="tx1"/>
                  </w14:solidFill>
                </w14:textFill>
              </w:rPr>
              <w:t>V</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气相空间容积，ft</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w:t>
            </w:r>
          </w:p>
          <w:p w14:paraId="38A7BBA1">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D</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罐径，ft；</w:t>
            </w:r>
          </w:p>
          <w:p w14:paraId="1CE6091D">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H</w:t>
            </w:r>
            <w:r>
              <w:rPr>
                <w:rFonts w:hint="eastAsia"/>
                <w:color w:val="000000" w:themeColor="text1"/>
                <w:highlight w:val="none"/>
                <w:vertAlign w:val="subscript"/>
                <w:lang w:val="en-US" w:eastAsia="zh-CN"/>
                <w14:textFill>
                  <w14:solidFill>
                    <w14:schemeClr w14:val="tx1"/>
                  </w14:solidFill>
                </w14:textFill>
              </w:rPr>
              <w:t>VO</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气相空间高度，ft。</w:t>
            </w:r>
          </w:p>
          <w:p w14:paraId="24D870E1">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b.气相空间高度H</w:t>
            </w:r>
            <w:r>
              <w:rPr>
                <w:rFonts w:hint="eastAsia"/>
                <w:color w:val="000000" w:themeColor="text1"/>
                <w:highlight w:val="none"/>
                <w:vertAlign w:val="subscript"/>
                <w:lang w:val="en-US" w:eastAsia="zh-CN"/>
                <w14:textFill>
                  <w14:solidFill>
                    <w14:schemeClr w14:val="tx1"/>
                  </w14:solidFill>
                </w14:textFill>
              </w:rPr>
              <w:t>VO</w:t>
            </w:r>
            <w:r>
              <w:rPr>
                <w:rFonts w:hint="default" w:ascii="Times New Roman" w:hAnsi="Times New Roman" w:eastAsia="宋体" w:cs="Times New Roman"/>
                <w:color w:val="000000" w:themeColor="text1"/>
                <w:highlight w:val="none"/>
                <w:u w:val="none"/>
                <w14:textFill>
                  <w14:solidFill>
                    <w14:schemeClr w14:val="tx1"/>
                  </w14:solidFill>
                </w14:textFill>
              </w:rPr>
              <w:t>：</w:t>
            </w:r>
          </w:p>
          <w:p w14:paraId="4BCD8B71">
            <w:pPr>
              <w:bidi w:val="0"/>
              <w:ind w:left="0" w:leftChars="0" w:firstLine="0" w:firstLineChars="0"/>
              <w:jc w:val="center"/>
              <w:rPr>
                <w:rFonts w:hint="eastAsia"/>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1648460" cy="275590"/>
                  <wp:effectExtent l="0" t="0" r="8890" b="10160"/>
                  <wp:docPr id="9" name="图片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92"/>
                          <pic:cNvPicPr>
                            <a:picLocks noChangeAspect="1"/>
                          </pic:cNvPicPr>
                        </pic:nvPicPr>
                        <pic:blipFill>
                          <a:blip r:embed="rId26"/>
                          <a:stretch>
                            <a:fillRect/>
                          </a:stretch>
                        </pic:blipFill>
                        <pic:spPr>
                          <a:xfrm>
                            <a:off x="0" y="0"/>
                            <a:ext cx="1648460" cy="275590"/>
                          </a:xfrm>
                          <a:prstGeom prst="rect">
                            <a:avLst/>
                          </a:prstGeom>
                          <a:noFill/>
                          <a:ln>
                            <a:noFill/>
                          </a:ln>
                        </pic:spPr>
                      </pic:pic>
                    </a:graphicData>
                  </a:graphic>
                </wp:inline>
              </w:drawing>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公式7</w:t>
            </w:r>
            <w:r>
              <w:rPr>
                <w:rFonts w:hint="eastAsia"/>
                <w:color w:val="000000" w:themeColor="text1"/>
                <w:highlight w:val="none"/>
                <w:lang w:eastAsia="zh-CN"/>
                <w14:textFill>
                  <w14:solidFill>
                    <w14:schemeClr w14:val="tx1"/>
                  </w14:solidFill>
                </w14:textFill>
              </w:rPr>
              <w:t>）</w:t>
            </w:r>
          </w:p>
          <w:p w14:paraId="294303EB">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式中：</w:t>
            </w:r>
          </w:p>
          <w:p w14:paraId="09D408F6">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H</w:t>
            </w:r>
            <w:r>
              <w:rPr>
                <w:rFonts w:hint="default"/>
                <w:color w:val="000000" w:themeColor="text1"/>
                <w:highlight w:val="none"/>
                <w:vertAlign w:val="subscript"/>
                <w:lang w:val="en-US" w:eastAsia="zh-CN"/>
                <w14:textFill>
                  <w14:solidFill>
                    <w14:schemeClr w14:val="tx1"/>
                  </w14:solidFill>
                </w14:textFill>
              </w:rPr>
              <w:t>VO</w:t>
            </w:r>
            <w:r>
              <w:rPr>
                <w:rFonts w:hint="eastAsia"/>
                <w:color w:val="000000" w:themeColor="text1"/>
                <w:highlight w:val="none"/>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气相空间高度，ft；</w:t>
            </w:r>
          </w:p>
          <w:p w14:paraId="288E329F">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H</w:t>
            </w:r>
            <w:r>
              <w:rPr>
                <w:rFonts w:hint="default"/>
                <w:color w:val="000000" w:themeColor="text1"/>
                <w:highlight w:val="none"/>
                <w:vertAlign w:val="subscript"/>
                <w:lang w:val="en-US" w:eastAsia="zh-CN"/>
                <w14:textFill>
                  <w14:solidFill>
                    <w14:schemeClr w14:val="tx1"/>
                  </w14:solidFill>
                </w14:textFill>
              </w:rPr>
              <w:t>S</w:t>
            </w:r>
            <w:r>
              <w:rPr>
                <w:rFonts w:hint="eastAsia"/>
                <w:color w:val="000000" w:themeColor="text1"/>
                <w:highlight w:val="none"/>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罐体高度，ft；</w:t>
            </w:r>
          </w:p>
          <w:p w14:paraId="211D6F29">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H</w:t>
            </w:r>
            <w:r>
              <w:rPr>
                <w:rFonts w:hint="default"/>
                <w:color w:val="000000" w:themeColor="text1"/>
                <w:highlight w:val="none"/>
                <w:vertAlign w:val="subscript"/>
                <w:lang w:val="en-US" w:eastAsia="zh-CN"/>
                <w14:textFill>
                  <w14:solidFill>
                    <w14:schemeClr w14:val="tx1"/>
                  </w14:solidFill>
                </w14:textFill>
              </w:rPr>
              <w:t>L</w:t>
            </w:r>
            <w:r>
              <w:rPr>
                <w:rFonts w:hint="eastAsia"/>
                <w:color w:val="000000" w:themeColor="text1"/>
                <w:highlight w:val="none"/>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液体高度，ft；</w:t>
            </w:r>
          </w:p>
          <w:p w14:paraId="7C2782C3">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H</w:t>
            </w:r>
            <w:r>
              <w:rPr>
                <w:rFonts w:hint="default"/>
                <w:color w:val="000000" w:themeColor="text1"/>
                <w:highlight w:val="none"/>
                <w:vertAlign w:val="subscript"/>
                <w:lang w:val="en-US" w:eastAsia="zh-CN"/>
                <w14:textFill>
                  <w14:solidFill>
                    <w14:schemeClr w14:val="tx1"/>
                  </w14:solidFill>
                </w14:textFill>
              </w:rPr>
              <w:t>RO</w:t>
            </w:r>
            <w:r>
              <w:rPr>
                <w:rFonts w:hint="eastAsia"/>
                <w:color w:val="000000" w:themeColor="text1"/>
                <w:highlight w:val="none"/>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罐顶计量高度，ft，穹顶罐见</w:t>
            </w:r>
            <w:r>
              <w:rPr>
                <w:rFonts w:hint="eastAsia"/>
                <w:color w:val="000000" w:themeColor="text1"/>
                <w:highlight w:val="none"/>
                <w:lang w:val="en-US" w:eastAsia="zh-CN"/>
                <w14:textFill>
                  <w14:solidFill>
                    <w14:schemeClr w14:val="tx1"/>
                  </w14:solidFill>
                </w14:textFill>
              </w:rPr>
              <w:t>下方</w:t>
            </w:r>
            <w:r>
              <w:rPr>
                <w:rFonts w:hint="default"/>
                <w:color w:val="000000" w:themeColor="text1"/>
                <w:highlight w:val="none"/>
                <w:lang w:val="en-US" w:eastAsia="zh-CN"/>
                <w14:textFill>
                  <w14:solidFill>
                    <w14:schemeClr w14:val="tx1"/>
                  </w14:solidFill>
                </w14:textFill>
              </w:rPr>
              <w:t>。</w:t>
            </w:r>
          </w:p>
          <w:p w14:paraId="7BD76838">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c.</w:t>
            </w:r>
            <w:r>
              <w:rPr>
                <w:rFonts w:hint="default"/>
                <w:color w:val="000000" w:themeColor="text1"/>
                <w:highlight w:val="none"/>
                <w:lang w:val="en-US" w:eastAsia="zh-CN"/>
                <w14:textFill>
                  <w14:solidFill>
                    <w14:schemeClr w14:val="tx1"/>
                  </w14:solidFill>
                </w14:textFill>
              </w:rPr>
              <w:t>对于穹顶罐，罐顶计量高度H</w:t>
            </w:r>
            <w:r>
              <w:rPr>
                <w:rFonts w:hint="default"/>
                <w:color w:val="000000" w:themeColor="text1"/>
                <w:highlight w:val="none"/>
                <w:vertAlign w:val="subscript"/>
                <w:lang w:val="en-US" w:eastAsia="zh-CN"/>
                <w14:textFill>
                  <w14:solidFill>
                    <w14:schemeClr w14:val="tx1"/>
                  </w14:solidFill>
                </w14:textFill>
              </w:rPr>
              <w:t>RO</w:t>
            </w:r>
            <w:r>
              <w:rPr>
                <w:rFonts w:hint="default"/>
                <w:color w:val="000000" w:themeColor="text1"/>
                <w:highlight w:val="none"/>
                <w:lang w:val="en-US" w:eastAsia="zh-CN"/>
                <w14:textFill>
                  <w14:solidFill>
                    <w14:schemeClr w14:val="tx1"/>
                  </w14:solidFill>
                </w14:textFill>
              </w:rPr>
              <w:t>计算方法如下：</w:t>
            </w:r>
          </w:p>
          <w:p w14:paraId="2E9FA5D7">
            <w:pPr>
              <w:bidi w:val="0"/>
              <w:ind w:left="0" w:leftChars="0" w:firstLine="0" w:firstLineChars="0"/>
              <w:jc w:val="center"/>
              <w:rPr>
                <w:rFonts w:hint="default"/>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1947545" cy="643890"/>
                  <wp:effectExtent l="0" t="0" r="14605" b="3810"/>
                  <wp:docPr id="10" name="图片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93"/>
                          <pic:cNvPicPr>
                            <a:picLocks noChangeAspect="1"/>
                          </pic:cNvPicPr>
                        </pic:nvPicPr>
                        <pic:blipFill>
                          <a:blip r:embed="rId27"/>
                          <a:stretch>
                            <a:fillRect/>
                          </a:stretch>
                        </pic:blipFill>
                        <pic:spPr>
                          <a:xfrm>
                            <a:off x="0" y="0"/>
                            <a:ext cx="1947545" cy="643890"/>
                          </a:xfrm>
                          <a:prstGeom prst="rect">
                            <a:avLst/>
                          </a:prstGeom>
                          <a:noFill/>
                          <a:ln>
                            <a:noFill/>
                          </a:ln>
                        </pic:spPr>
                      </pic:pic>
                    </a:graphicData>
                  </a:graphic>
                </wp:inline>
              </w:drawing>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公式8</w:t>
            </w:r>
            <w:r>
              <w:rPr>
                <w:rFonts w:hint="eastAsia"/>
                <w:color w:val="000000" w:themeColor="text1"/>
                <w:highlight w:val="none"/>
                <w:lang w:eastAsia="zh-CN"/>
                <w14:textFill>
                  <w14:solidFill>
                    <w14:schemeClr w14:val="tx1"/>
                  </w14:solidFill>
                </w14:textFill>
              </w:rPr>
              <w:t>）</w:t>
            </w:r>
          </w:p>
          <w:p w14:paraId="0B85D9C9">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式中：</w:t>
            </w:r>
          </w:p>
          <w:p w14:paraId="25241CCF">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H</w:t>
            </w:r>
            <w:r>
              <w:rPr>
                <w:rFonts w:hint="default"/>
                <w:color w:val="000000" w:themeColor="text1"/>
                <w:highlight w:val="none"/>
                <w:vertAlign w:val="subscript"/>
                <w:lang w:val="en-US" w:eastAsia="zh-CN"/>
                <w14:textFill>
                  <w14:solidFill>
                    <w14:schemeClr w14:val="tx1"/>
                  </w14:solidFill>
                </w14:textFill>
              </w:rPr>
              <w:t>RO</w:t>
            </w:r>
            <w:r>
              <w:rPr>
                <w:rFonts w:hint="eastAsia"/>
                <w:color w:val="000000" w:themeColor="text1"/>
                <w:highlight w:val="none"/>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罐顶计量高度，ft；</w:t>
            </w:r>
          </w:p>
          <w:p w14:paraId="643A671B">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R</w:t>
            </w:r>
            <w:r>
              <w:rPr>
                <w:rFonts w:hint="default"/>
                <w:color w:val="000000" w:themeColor="text1"/>
                <w:highlight w:val="none"/>
                <w:vertAlign w:val="subscript"/>
                <w:lang w:val="en-US" w:eastAsia="zh-CN"/>
                <w14:textFill>
                  <w14:solidFill>
                    <w14:schemeClr w14:val="tx1"/>
                  </w14:solidFill>
                </w14:textFill>
              </w:rPr>
              <w:t>S</w:t>
            </w:r>
            <w:r>
              <w:rPr>
                <w:rFonts w:hint="eastAsia"/>
                <w:color w:val="000000" w:themeColor="text1"/>
                <w:highlight w:val="none"/>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罐壳半径，ft；</w:t>
            </w:r>
          </w:p>
          <w:p w14:paraId="2313B615">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H</w:t>
            </w:r>
            <w:r>
              <w:rPr>
                <w:rFonts w:hint="default"/>
                <w:color w:val="000000" w:themeColor="text1"/>
                <w:highlight w:val="none"/>
                <w:vertAlign w:val="subscript"/>
                <w:lang w:val="en-US" w:eastAsia="zh-CN"/>
                <w14:textFill>
                  <w14:solidFill>
                    <w14:schemeClr w14:val="tx1"/>
                  </w14:solidFill>
                </w14:textFill>
              </w:rPr>
              <w:t>R</w:t>
            </w:r>
            <w:r>
              <w:rPr>
                <w:rFonts w:hint="eastAsia"/>
                <w:color w:val="000000" w:themeColor="text1"/>
                <w:highlight w:val="none"/>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罐顶高度，ft；</w:t>
            </w:r>
          </w:p>
          <w:p w14:paraId="77AFB839">
            <w:pPr>
              <w:bidi w:val="0"/>
              <w:ind w:left="0" w:leftChars="0" w:firstLine="0" w:firstLineChars="0"/>
              <w:jc w:val="center"/>
              <w:rPr>
                <w:rFonts w:hint="default"/>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1743075" cy="349885"/>
                  <wp:effectExtent l="0" t="0" r="9525" b="12065"/>
                  <wp:docPr id="11" name="图片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94"/>
                          <pic:cNvPicPr>
                            <a:picLocks noChangeAspect="1"/>
                          </pic:cNvPicPr>
                        </pic:nvPicPr>
                        <pic:blipFill>
                          <a:blip r:embed="rId28"/>
                          <a:stretch>
                            <a:fillRect/>
                          </a:stretch>
                        </pic:blipFill>
                        <pic:spPr>
                          <a:xfrm>
                            <a:off x="0" y="0"/>
                            <a:ext cx="1743075" cy="349885"/>
                          </a:xfrm>
                          <a:prstGeom prst="rect">
                            <a:avLst/>
                          </a:prstGeom>
                          <a:noFill/>
                          <a:ln>
                            <a:noFill/>
                          </a:ln>
                        </pic:spPr>
                      </pic:pic>
                    </a:graphicData>
                  </a:graphic>
                </wp:inline>
              </w:drawing>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公式9</w:t>
            </w:r>
            <w:r>
              <w:rPr>
                <w:rFonts w:hint="eastAsia"/>
                <w:color w:val="000000" w:themeColor="text1"/>
                <w:highlight w:val="none"/>
                <w:lang w:eastAsia="zh-CN"/>
                <w14:textFill>
                  <w14:solidFill>
                    <w14:schemeClr w14:val="tx1"/>
                  </w14:solidFill>
                </w14:textFill>
              </w:rPr>
              <w:t>）</w:t>
            </w:r>
          </w:p>
          <w:p w14:paraId="114852D4">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式中：</w:t>
            </w:r>
          </w:p>
          <w:p w14:paraId="7F6866B5">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R</w:t>
            </w:r>
            <w:r>
              <w:rPr>
                <w:rFonts w:hint="default"/>
                <w:color w:val="000000" w:themeColor="text1"/>
                <w:highlight w:val="none"/>
                <w:vertAlign w:val="subscript"/>
                <w:lang w:val="en-US" w:eastAsia="zh-CN"/>
                <w14:textFill>
                  <w14:solidFill>
                    <w14:schemeClr w14:val="tx1"/>
                  </w14:solidFill>
                </w14:textFill>
              </w:rPr>
              <w:t>R</w:t>
            </w:r>
            <w:r>
              <w:rPr>
                <w:rFonts w:hint="eastAsia"/>
                <w:color w:val="000000" w:themeColor="text1"/>
                <w:highlight w:val="none"/>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罐穹顶半径，ft；</w:t>
            </w:r>
          </w:p>
          <w:p w14:paraId="4F3706AD">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R</w:t>
            </w:r>
            <w:r>
              <w:rPr>
                <w:rFonts w:hint="default"/>
                <w:color w:val="000000" w:themeColor="text1"/>
                <w:highlight w:val="none"/>
                <w:vertAlign w:val="subscript"/>
                <w:lang w:val="en-US" w:eastAsia="zh-CN"/>
                <w14:textFill>
                  <w14:solidFill>
                    <w14:schemeClr w14:val="tx1"/>
                  </w14:solidFill>
                </w14:textFill>
              </w:rPr>
              <w:t>S</w:t>
            </w:r>
            <w:r>
              <w:rPr>
                <w:rFonts w:hint="eastAsia"/>
                <w:color w:val="000000" w:themeColor="text1"/>
                <w:highlight w:val="none"/>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罐壳半径，ft；</w:t>
            </w:r>
          </w:p>
          <w:p w14:paraId="326EF1ED">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R</w:t>
            </w:r>
            <w:r>
              <w:rPr>
                <w:rFonts w:hint="default"/>
                <w:color w:val="000000" w:themeColor="text1"/>
                <w:highlight w:val="none"/>
                <w:vertAlign w:val="subscript"/>
                <w:lang w:val="en-US" w:eastAsia="zh-CN"/>
                <w14:textFill>
                  <w14:solidFill>
                    <w14:schemeClr w14:val="tx1"/>
                  </w14:solidFill>
                </w14:textFill>
              </w:rPr>
              <w:t>R</w:t>
            </w:r>
            <w:r>
              <w:rPr>
                <w:rFonts w:hint="default"/>
                <w:color w:val="000000" w:themeColor="text1"/>
                <w:highlight w:val="none"/>
                <w:lang w:val="en-US" w:eastAsia="zh-CN"/>
                <w14:textFill>
                  <w14:solidFill>
                    <w14:schemeClr w14:val="tx1"/>
                  </w14:solidFill>
                </w14:textFill>
              </w:rPr>
              <w:t>的值一般介于0.8D-1.2D之间，其中D=2R</w:t>
            </w:r>
            <w:r>
              <w:rPr>
                <w:rFonts w:hint="default"/>
                <w:color w:val="000000" w:themeColor="text1"/>
                <w:highlight w:val="none"/>
                <w:vertAlign w:val="subscript"/>
                <w:lang w:val="en-US" w:eastAsia="zh-CN"/>
                <w14:textFill>
                  <w14:solidFill>
                    <w14:schemeClr w14:val="tx1"/>
                  </w14:solidFill>
                </w14:textFill>
              </w:rPr>
              <w:t>S</w:t>
            </w:r>
            <w:r>
              <w:rPr>
                <w:rFonts w:hint="default"/>
                <w:color w:val="000000" w:themeColor="text1"/>
                <w:highlight w:val="none"/>
                <w:lang w:val="en-US" w:eastAsia="zh-CN"/>
                <w14:textFill>
                  <w14:solidFill>
                    <w14:schemeClr w14:val="tx1"/>
                  </w14:solidFill>
                </w14:textFill>
              </w:rPr>
              <w:t>。如果R</w:t>
            </w:r>
            <w:r>
              <w:rPr>
                <w:rFonts w:hint="default"/>
                <w:color w:val="000000" w:themeColor="text1"/>
                <w:highlight w:val="none"/>
                <w:vertAlign w:val="subscript"/>
                <w:lang w:val="en-US" w:eastAsia="zh-CN"/>
                <w14:textFill>
                  <w14:solidFill>
                    <w14:schemeClr w14:val="tx1"/>
                  </w14:solidFill>
                </w14:textFill>
              </w:rPr>
              <w:t>R</w:t>
            </w:r>
            <w:r>
              <w:rPr>
                <w:rFonts w:hint="default"/>
                <w:color w:val="000000" w:themeColor="text1"/>
                <w:highlight w:val="none"/>
                <w:lang w:val="en-US" w:eastAsia="zh-CN"/>
                <w14:textFill>
                  <w14:solidFill>
                    <w14:schemeClr w14:val="tx1"/>
                  </w14:solidFill>
                </w14:textFill>
              </w:rPr>
              <w:t>未知，则用罐体直径代替。</w:t>
            </w:r>
          </w:p>
          <w:p w14:paraId="3D2F578A">
            <w:pPr>
              <w:rPr>
                <w:rFonts w:hint="default" w:ascii="Times New Roman" w:hAnsi="Times New Roman" w:eastAsia="宋体" w:cs="Times New Roman"/>
                <w:color w:val="000000" w:themeColor="text1"/>
                <w:highlight w:val="none"/>
                <w:u w:val="none"/>
                <w14:textFill>
                  <w14:solidFill>
                    <w14:schemeClr w14:val="tx1"/>
                  </w14:solidFill>
                </w14:textFill>
              </w:rPr>
            </w:pP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d.</w:t>
            </w:r>
            <w:r>
              <w:rPr>
                <w:rFonts w:hint="default" w:ascii="Times New Roman" w:hAnsi="Times New Roman" w:eastAsia="宋体" w:cs="Times New Roman"/>
                <w:color w:val="000000" w:themeColor="text1"/>
                <w:highlight w:val="none"/>
                <w:u w:val="none"/>
                <w14:textFill>
                  <w14:solidFill>
                    <w14:schemeClr w14:val="tx1"/>
                  </w14:solidFill>
                </w14:textFill>
              </w:rPr>
              <w:t>气相空间膨胀因子K</w:t>
            </w:r>
            <w:r>
              <w:rPr>
                <w:rFonts w:hint="default" w:ascii="Times New Roman" w:hAnsi="Times New Roman" w:eastAsia="宋体" w:cs="Times New Roman"/>
                <w:color w:val="000000" w:themeColor="text1"/>
                <w:highlight w:val="none"/>
                <w:u w:val="none"/>
                <w:vertAlign w:val="subscript"/>
                <w14:textFill>
                  <w14:solidFill>
                    <w14:schemeClr w14:val="tx1"/>
                  </w14:solidFill>
                </w14:textFill>
              </w:rPr>
              <w:t>E</w:t>
            </w:r>
            <w:r>
              <w:rPr>
                <w:rFonts w:hint="default" w:ascii="Times New Roman" w:hAnsi="Times New Roman" w:eastAsia="宋体" w:cs="Times New Roman"/>
                <w:color w:val="000000" w:themeColor="text1"/>
                <w:highlight w:val="none"/>
                <w:u w:val="none"/>
                <w14:textFill>
                  <w14:solidFill>
                    <w14:schemeClr w14:val="tx1"/>
                  </w14:solidFill>
                </w14:textFill>
              </w:rPr>
              <w:t>：</w:t>
            </w:r>
          </w:p>
          <w:p w14:paraId="4C67753F">
            <w:pPr>
              <w:ind w:left="0" w:leftChars="0" w:firstLine="0" w:firstLineChars="0"/>
              <w:jc w:val="center"/>
              <w:rPr>
                <w:rFonts w:hint="default" w:ascii="Times New Roman" w:hAnsi="Times New Roman" w:eastAsia="宋体" w:cs="Times New Roman"/>
                <w:color w:val="000000" w:themeColor="text1"/>
                <w:highlight w:val="none"/>
                <w:u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3562985" cy="293370"/>
                  <wp:effectExtent l="0" t="0" r="18415" b="11430"/>
                  <wp:docPr id="12" name="图片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95"/>
                          <pic:cNvPicPr>
                            <a:picLocks noChangeAspect="1"/>
                          </pic:cNvPicPr>
                        </pic:nvPicPr>
                        <pic:blipFill>
                          <a:blip r:embed="rId29"/>
                          <a:stretch>
                            <a:fillRect/>
                          </a:stretch>
                        </pic:blipFill>
                        <pic:spPr>
                          <a:xfrm>
                            <a:off x="0" y="0"/>
                            <a:ext cx="3562985" cy="293370"/>
                          </a:xfrm>
                          <a:prstGeom prst="rect">
                            <a:avLst/>
                          </a:prstGeom>
                          <a:noFill/>
                          <a:ln>
                            <a:noFill/>
                          </a:ln>
                        </pic:spPr>
                      </pic:pic>
                    </a:graphicData>
                  </a:graphic>
                </wp:inline>
              </w:drawing>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公式10</w:t>
            </w:r>
            <w:r>
              <w:rPr>
                <w:rFonts w:hint="eastAsia"/>
                <w:color w:val="000000" w:themeColor="text1"/>
                <w:highlight w:val="none"/>
                <w:lang w:eastAsia="zh-CN"/>
                <w14:textFill>
                  <w14:solidFill>
                    <w14:schemeClr w14:val="tx1"/>
                  </w14:solidFill>
                </w14:textFill>
              </w:rPr>
              <w:t>）</w:t>
            </w:r>
          </w:p>
          <w:p w14:paraId="08151F91">
            <w:pP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式中：</w:t>
            </w:r>
          </w:p>
          <w:p w14:paraId="06190867">
            <w:pPr>
              <w:rPr>
                <w:rFonts w:hint="default" w:ascii="Times New Roman" w:hAnsi="Times New Roman" w:eastAsia="宋体" w:cs="Times New Roman"/>
                <w:color w:val="000000" w:themeColor="text1"/>
                <w:highlight w:val="none"/>
                <w:u w:val="none"/>
                <w14:textFill>
                  <w14:solidFill>
                    <w14:schemeClr w14:val="tx1"/>
                  </w14:solidFill>
                </w14:textFill>
              </w:rPr>
            </w:pPr>
            <w:r>
              <w:rPr>
                <w:rFonts w:hint="default" w:ascii="Times New Roman" w:hAnsi="Times New Roman" w:eastAsia="宋体" w:cs="Times New Roman"/>
                <w:color w:val="000000" w:themeColor="text1"/>
                <w:highlight w:val="none"/>
                <w:u w:val="none"/>
                <w14:textFill>
                  <w14:solidFill>
                    <w14:schemeClr w14:val="tx1"/>
                  </w14:solidFill>
                </w14:textFill>
              </w:rPr>
              <w:t>K</w:t>
            </w:r>
            <w:r>
              <w:rPr>
                <w:rFonts w:hint="default" w:ascii="Times New Roman" w:hAnsi="Times New Roman" w:eastAsia="宋体" w:cs="Times New Roman"/>
                <w:color w:val="000000" w:themeColor="text1"/>
                <w:highlight w:val="none"/>
                <w:u w:val="none"/>
                <w:vertAlign w:val="subscript"/>
                <w14:textFill>
                  <w14:solidFill>
                    <w14:schemeClr w14:val="tx1"/>
                  </w14:solidFill>
                </w14:textFill>
              </w:rPr>
              <w:t>E</w:t>
            </w:r>
            <w:r>
              <w:rPr>
                <w:rFonts w:hint="eastAsia"/>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highlight w:val="none"/>
                <w:u w:val="none"/>
                <w14:textFill>
                  <w14:solidFill>
                    <w14:schemeClr w14:val="tx1"/>
                  </w14:solidFill>
                </w14:textFill>
              </w:rPr>
              <w:t>气相空间膨胀因子，无量纲量；</w:t>
            </w:r>
          </w:p>
          <w:p w14:paraId="5013262E">
            <w:pPr>
              <w:rPr>
                <w:rFonts w:hint="default" w:ascii="Times New Roman" w:hAnsi="Times New Roman" w:eastAsia="宋体" w:cs="Times New Roman"/>
                <w:color w:val="000000" w:themeColor="text1"/>
                <w:highlight w:val="none"/>
                <w:u w:val="none"/>
                <w14:textFill>
                  <w14:solidFill>
                    <w14:schemeClr w14:val="tx1"/>
                  </w14:solidFill>
                </w14:textFill>
              </w:rPr>
            </w:pPr>
            <w:r>
              <w:rPr>
                <w:rFonts w:hint="default" w:ascii="Times New Roman" w:hAnsi="Times New Roman" w:eastAsia="宋体" w:cs="Times New Roman"/>
                <w:color w:val="000000" w:themeColor="text1"/>
                <w:highlight w:val="none"/>
                <w:u w:val="none"/>
                <w14:textFill>
                  <w14:solidFill>
                    <w14:schemeClr w14:val="tx1"/>
                  </w14:solidFill>
                </w14:textFill>
              </w:rPr>
              <w:t>ΔT</w:t>
            </w:r>
            <w:r>
              <w:rPr>
                <w:rFonts w:hint="default" w:ascii="Times New Roman" w:hAnsi="Times New Roman" w:eastAsia="宋体" w:cs="Times New Roman"/>
                <w:color w:val="000000" w:themeColor="text1"/>
                <w:highlight w:val="none"/>
                <w:u w:val="none"/>
                <w:vertAlign w:val="subscript"/>
                <w14:textFill>
                  <w14:solidFill>
                    <w14:schemeClr w14:val="tx1"/>
                  </w14:solidFill>
                </w14:textFill>
              </w:rPr>
              <w:t>V</w:t>
            </w:r>
            <w:r>
              <w:rPr>
                <w:rFonts w:hint="eastAsia"/>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highlight w:val="none"/>
                <w:u w:val="none"/>
                <w14:textFill>
                  <w14:solidFill>
                    <w14:schemeClr w14:val="tx1"/>
                  </w14:solidFill>
                </w14:textFill>
              </w:rPr>
              <w:t>日蒸汽温度范围，°R；</w:t>
            </w:r>
          </w:p>
          <w:p w14:paraId="43D2D092">
            <w:pPr>
              <w:rPr>
                <w:rFonts w:hint="default" w:ascii="Times New Roman" w:hAnsi="Times New Roman" w:eastAsia="宋体" w:cs="Times New Roman"/>
                <w:color w:val="000000" w:themeColor="text1"/>
                <w:highlight w:val="none"/>
                <w:u w:val="none"/>
                <w14:textFill>
                  <w14:solidFill>
                    <w14:schemeClr w14:val="tx1"/>
                  </w14:solidFill>
                </w14:textFill>
              </w:rPr>
            </w:pPr>
            <w:r>
              <w:rPr>
                <w:rFonts w:hint="default" w:ascii="Times New Roman" w:hAnsi="Times New Roman" w:eastAsia="宋体" w:cs="Times New Roman"/>
                <w:color w:val="000000" w:themeColor="text1"/>
                <w:highlight w:val="none"/>
                <w:u w:val="none"/>
                <w14:textFill>
                  <w14:solidFill>
                    <w14:schemeClr w14:val="tx1"/>
                  </w14:solidFill>
                </w14:textFill>
              </w:rPr>
              <w:t>T</w:t>
            </w:r>
            <w:r>
              <w:rPr>
                <w:rFonts w:hint="default" w:ascii="Times New Roman" w:hAnsi="Times New Roman" w:eastAsia="宋体" w:cs="Times New Roman"/>
                <w:color w:val="000000" w:themeColor="text1"/>
                <w:highlight w:val="none"/>
                <w:u w:val="none"/>
                <w:vertAlign w:val="subscript"/>
                <w14:textFill>
                  <w14:solidFill>
                    <w14:schemeClr w14:val="tx1"/>
                  </w14:solidFill>
                </w14:textFill>
              </w:rPr>
              <w:t>AX</w:t>
            </w:r>
            <w:r>
              <w:rPr>
                <w:rFonts w:hint="eastAsia"/>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highlight w:val="none"/>
                <w:u w:val="none"/>
                <w14:textFill>
                  <w14:solidFill>
                    <w14:schemeClr w14:val="tx1"/>
                  </w14:solidFill>
                </w14:textFill>
              </w:rPr>
              <w:t>日最高环境温度，°R；</w:t>
            </w:r>
          </w:p>
          <w:p w14:paraId="48468556">
            <w:pPr>
              <w:rPr>
                <w:rFonts w:hint="default" w:ascii="Times New Roman" w:hAnsi="Times New Roman" w:eastAsia="宋体" w:cs="Times New Roman"/>
                <w:color w:val="000000" w:themeColor="text1"/>
                <w:highlight w:val="none"/>
                <w:u w:val="none"/>
                <w14:textFill>
                  <w14:solidFill>
                    <w14:schemeClr w14:val="tx1"/>
                  </w14:solidFill>
                </w14:textFill>
              </w:rPr>
            </w:pPr>
            <w:r>
              <w:rPr>
                <w:rFonts w:hint="default" w:ascii="Times New Roman" w:hAnsi="Times New Roman" w:eastAsia="宋体" w:cs="Times New Roman"/>
                <w:color w:val="000000" w:themeColor="text1"/>
                <w:highlight w:val="none"/>
                <w:u w:val="none"/>
                <w14:textFill>
                  <w14:solidFill>
                    <w14:schemeClr w14:val="tx1"/>
                  </w14:solidFill>
                </w14:textFill>
              </w:rPr>
              <w:t>T</w:t>
            </w:r>
            <w:r>
              <w:rPr>
                <w:rFonts w:hint="default" w:ascii="Times New Roman" w:hAnsi="Times New Roman" w:eastAsia="宋体" w:cs="Times New Roman"/>
                <w:color w:val="000000" w:themeColor="text1"/>
                <w:highlight w:val="none"/>
                <w:u w:val="none"/>
                <w:vertAlign w:val="subscript"/>
                <w14:textFill>
                  <w14:solidFill>
                    <w14:schemeClr w14:val="tx1"/>
                  </w14:solidFill>
                </w14:textFill>
              </w:rPr>
              <w:t>AN</w:t>
            </w:r>
            <w:r>
              <w:rPr>
                <w:rFonts w:hint="eastAsia"/>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highlight w:val="none"/>
                <w:u w:val="none"/>
                <w14:textFill>
                  <w14:solidFill>
                    <w14:schemeClr w14:val="tx1"/>
                  </w14:solidFill>
                </w14:textFill>
              </w:rPr>
              <w:t>日最低环境温度，°R；</w:t>
            </w:r>
          </w:p>
          <w:p w14:paraId="23CAE734">
            <w:pPr>
              <w:rPr>
                <w:rFonts w:hint="default" w:ascii="Times New Roman" w:hAnsi="Times New Roman" w:eastAsia="宋体" w:cs="Times New Roman"/>
                <w:color w:val="000000" w:themeColor="text1"/>
                <w:highlight w:val="none"/>
                <w:u w:val="none"/>
                <w14:textFill>
                  <w14:solidFill>
                    <w14:schemeClr w14:val="tx1"/>
                  </w14:solidFill>
                </w14:textFill>
              </w:rPr>
            </w:pPr>
            <w:r>
              <w:rPr>
                <w:rFonts w:hint="default" w:ascii="Times New Roman" w:hAnsi="Times New Roman" w:eastAsia="宋体" w:cs="Times New Roman"/>
                <w:color w:val="000000" w:themeColor="text1"/>
                <w:highlight w:val="none"/>
                <w:u w:val="none"/>
                <w14:textFill>
                  <w14:solidFill>
                    <w14:schemeClr w14:val="tx1"/>
                  </w14:solidFill>
                </w14:textFill>
              </w:rPr>
              <w:t>α</w:t>
            </w:r>
            <w:r>
              <w:rPr>
                <w:rFonts w:hint="eastAsia"/>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highlight w:val="none"/>
                <w:u w:val="none"/>
                <w14:textFill>
                  <w14:solidFill>
                    <w14:schemeClr w14:val="tx1"/>
                  </w14:solidFill>
                </w14:textFill>
              </w:rPr>
              <w:t>罐漆太阳能吸收率，无量纲量，见</w:t>
            </w:r>
            <w:r>
              <w:rPr>
                <w:rFonts w:hint="default" w:ascii="Times New Roman" w:hAnsi="Times New Roman" w:eastAsia="宋体" w:cs="Times New Roman"/>
                <w:color w:val="000000" w:themeColor="text1"/>
                <w:highlight w:val="none"/>
                <w:u w:val="none"/>
                <w:lang w:val="en-US"/>
                <w14:textFill>
                  <w14:solidFill>
                    <w14:schemeClr w14:val="tx1"/>
                  </w14:solidFill>
                </w14:textFill>
              </w:rPr>
              <w:fldChar w:fldCharType="begin"/>
            </w:r>
            <w:r>
              <w:rPr>
                <w:rFonts w:hint="default" w:ascii="Times New Roman" w:hAnsi="Times New Roman" w:eastAsia="宋体" w:cs="Times New Roman"/>
                <w:color w:val="000000" w:themeColor="text1"/>
                <w:highlight w:val="none"/>
                <w:u w:val="none"/>
                <w:lang w:val="en-US"/>
                <w14:textFill>
                  <w14:solidFill>
                    <w14:schemeClr w14:val="tx1"/>
                  </w14:solidFill>
                </w14:textFill>
              </w:rPr>
              <w:instrText xml:space="preserve"> REF _Ref20058 \n \h </w:instrText>
            </w:r>
            <w:r>
              <w:rPr>
                <w:rFonts w:hint="default" w:ascii="Times New Roman" w:hAnsi="Times New Roman" w:eastAsia="宋体" w:cs="Times New Roman"/>
                <w:color w:val="000000" w:themeColor="text1"/>
                <w:highlight w:val="none"/>
                <w:u w:val="none"/>
                <w:lang w:val="en-US"/>
                <w14:textFill>
                  <w14:solidFill>
                    <w14:schemeClr w14:val="tx1"/>
                  </w14:solidFill>
                </w14:textFill>
              </w:rPr>
              <w:fldChar w:fldCharType="separate"/>
            </w:r>
            <w:r>
              <w:rPr>
                <w:rFonts w:hint="default" w:ascii="Times New Roman" w:hAnsi="Times New Roman" w:eastAsia="宋体" w:cs="Times New Roman"/>
                <w:color w:val="000000" w:themeColor="text1"/>
                <w:highlight w:val="none"/>
                <w:u w:val="none"/>
                <w:lang w:val="en-US"/>
                <w14:textFill>
                  <w14:solidFill>
                    <w14:schemeClr w14:val="tx1"/>
                  </w14:solidFill>
                </w14:textFill>
              </w:rPr>
              <w:t>表4.1-10</w:t>
            </w:r>
            <w:r>
              <w:rPr>
                <w:rFonts w:hint="default" w:ascii="Times New Roman" w:hAnsi="Times New Roman" w:eastAsia="宋体" w:cs="Times New Roman"/>
                <w:color w:val="000000" w:themeColor="text1"/>
                <w:highlight w:val="none"/>
                <w:u w:val="none"/>
                <w:lang w:val="en-US"/>
                <w14:textFill>
                  <w14:solidFill>
                    <w14:schemeClr w14:val="tx1"/>
                  </w14:solidFill>
                </w14:textFill>
              </w:rPr>
              <w:fldChar w:fldCharType="end"/>
            </w:r>
            <w:r>
              <w:rPr>
                <w:rFonts w:hint="default" w:ascii="Times New Roman" w:hAnsi="Times New Roman" w:eastAsia="宋体" w:cs="Times New Roman"/>
                <w:color w:val="000000" w:themeColor="text1"/>
                <w:highlight w:val="none"/>
                <w:u w:val="none"/>
                <w14:textFill>
                  <w14:solidFill>
                    <w14:schemeClr w14:val="tx1"/>
                  </w14:solidFill>
                </w14:textFill>
              </w:rPr>
              <w:t>；</w:t>
            </w:r>
          </w:p>
          <w:p w14:paraId="593AE194">
            <w:pPr>
              <w:rPr>
                <w:rFonts w:hint="default" w:ascii="Times New Roman" w:hAnsi="Times New Roman" w:eastAsia="宋体" w:cs="Times New Roman"/>
                <w:color w:val="000000" w:themeColor="text1"/>
                <w:highlight w:val="none"/>
                <w:u w:val="none"/>
                <w14:textFill>
                  <w14:solidFill>
                    <w14:schemeClr w14:val="tx1"/>
                  </w14:solidFill>
                </w14:textFill>
              </w:rPr>
            </w:pPr>
            <w:r>
              <w:rPr>
                <w:rFonts w:hint="default" w:ascii="Times New Roman" w:hAnsi="Times New Roman" w:eastAsia="宋体" w:cs="Times New Roman"/>
                <w:color w:val="000000" w:themeColor="text1"/>
                <w:highlight w:val="none"/>
                <w:u w:val="none"/>
                <w14:textFill>
                  <w14:solidFill>
                    <w14:schemeClr w14:val="tx1"/>
                  </w14:solidFill>
                </w14:textFill>
              </w:rPr>
              <w:t>I</w:t>
            </w:r>
            <w:r>
              <w:rPr>
                <w:rFonts w:hint="eastAsia"/>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highlight w:val="none"/>
                <w:u w:val="none"/>
                <w14:textFill>
                  <w14:solidFill>
                    <w14:schemeClr w14:val="tx1"/>
                  </w14:solidFill>
                </w14:textFill>
              </w:rPr>
              <w:t>太阳辐射强度，Btu/ft</w:t>
            </w:r>
            <w:r>
              <w:rPr>
                <w:rFonts w:hint="default" w:ascii="Times New Roman" w:hAnsi="Times New Roman" w:eastAsia="宋体" w:cs="Times New Roman"/>
                <w:color w:val="000000" w:themeColor="text1"/>
                <w:highlight w:val="none"/>
                <w:u w:val="none"/>
                <w:vertAlign w:val="superscript"/>
                <w14:textFill>
                  <w14:solidFill>
                    <w14:schemeClr w14:val="tx1"/>
                  </w14:solidFill>
                </w14:textFill>
              </w:rPr>
              <w:t>2</w:t>
            </w:r>
            <w:r>
              <w:rPr>
                <w:rFonts w:hint="default" w:ascii="Times New Roman" w:hAnsi="Times New Roman" w:eastAsia="宋体" w:cs="Times New Roman"/>
                <w:color w:val="000000" w:themeColor="text1"/>
                <w:highlight w:val="none"/>
                <w:u w:val="none"/>
                <w14:textFill>
                  <w14:solidFill>
                    <w14:schemeClr w14:val="tx1"/>
                  </w14:solidFill>
                </w14:textFill>
              </w:rPr>
              <w:t>·day；</w:t>
            </w:r>
          </w:p>
          <w:p w14:paraId="73AAD91F">
            <w:pPr>
              <w:rPr>
                <w:rFonts w:hint="default" w:ascii="Times New Roman" w:hAnsi="Times New Roman" w:eastAsia="宋体" w:cs="Times New Roman"/>
                <w:color w:val="000000" w:themeColor="text1"/>
                <w:highlight w:val="none"/>
                <w:u w:val="none"/>
                <w14:textFill>
                  <w14:solidFill>
                    <w14:schemeClr w14:val="tx1"/>
                  </w14:solidFill>
                </w14:textFill>
              </w:rPr>
            </w:pPr>
            <w:r>
              <w:rPr>
                <w:rFonts w:hint="default" w:ascii="Times New Roman" w:hAnsi="Times New Roman" w:eastAsia="宋体" w:cs="Times New Roman"/>
                <w:color w:val="000000" w:themeColor="text1"/>
                <w:highlight w:val="none"/>
                <w:u w:val="none"/>
                <w14:textFill>
                  <w14:solidFill>
                    <w14:schemeClr w14:val="tx1"/>
                  </w14:solidFill>
                </w14:textFill>
              </w:rPr>
              <w:t>0.0018</w:t>
            </w:r>
            <w:r>
              <w:rPr>
                <w:rFonts w:hint="eastAsia"/>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highlight w:val="none"/>
                <w:u w:val="none"/>
                <w14:textFill>
                  <w14:solidFill>
                    <w14:schemeClr w14:val="tx1"/>
                  </w14:solidFill>
                </w14:textFill>
              </w:rPr>
              <w:t>常数，（°R）</w:t>
            </w:r>
            <w:r>
              <w:rPr>
                <w:rFonts w:hint="default" w:ascii="Times New Roman" w:hAnsi="Times New Roman" w:eastAsia="宋体" w:cs="Times New Roman"/>
                <w:color w:val="000000" w:themeColor="text1"/>
                <w:highlight w:val="none"/>
                <w:u w:val="none"/>
                <w:vertAlign w:val="superscript"/>
                <w14:textFill>
                  <w14:solidFill>
                    <w14:schemeClr w14:val="tx1"/>
                  </w14:solidFill>
                </w14:textFill>
              </w:rPr>
              <w:t>-1</w:t>
            </w:r>
            <w:r>
              <w:rPr>
                <w:rFonts w:hint="default" w:ascii="Times New Roman" w:hAnsi="Times New Roman" w:eastAsia="宋体" w:cs="Times New Roman"/>
                <w:color w:val="000000" w:themeColor="text1"/>
                <w:highlight w:val="none"/>
                <w:u w:val="none"/>
                <w14:textFill>
                  <w14:solidFill>
                    <w14:schemeClr w14:val="tx1"/>
                  </w14:solidFill>
                </w14:textFill>
              </w:rPr>
              <w:t>；</w:t>
            </w:r>
          </w:p>
          <w:p w14:paraId="4696E61E">
            <w:pPr>
              <w:rPr>
                <w:rFonts w:hint="default" w:ascii="Times New Roman" w:hAnsi="Times New Roman" w:eastAsia="宋体" w:cs="Times New Roman"/>
                <w:color w:val="000000" w:themeColor="text1"/>
                <w:highlight w:val="none"/>
                <w:u w:val="none"/>
                <w14:textFill>
                  <w14:solidFill>
                    <w14:schemeClr w14:val="tx1"/>
                  </w14:solidFill>
                </w14:textFill>
              </w:rPr>
            </w:pPr>
            <w:r>
              <w:rPr>
                <w:rFonts w:hint="default" w:ascii="Times New Roman" w:hAnsi="Times New Roman" w:eastAsia="宋体" w:cs="Times New Roman"/>
                <w:color w:val="000000" w:themeColor="text1"/>
                <w:highlight w:val="none"/>
                <w:u w:val="none"/>
                <w14:textFill>
                  <w14:solidFill>
                    <w14:schemeClr w14:val="tx1"/>
                  </w14:solidFill>
                </w14:textFill>
              </w:rPr>
              <w:t>0.72</w:t>
            </w:r>
            <w:r>
              <w:rPr>
                <w:rFonts w:hint="eastAsia"/>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highlight w:val="none"/>
                <w:u w:val="none"/>
                <w14:textFill>
                  <w14:solidFill>
                    <w14:schemeClr w14:val="tx1"/>
                  </w14:solidFill>
                </w14:textFill>
              </w:rPr>
              <w:t>常数，无量纲量；</w:t>
            </w:r>
          </w:p>
          <w:p w14:paraId="35684FC1">
            <w:pPr>
              <w:rPr>
                <w:rFonts w:hint="default" w:ascii="Times New Roman" w:hAnsi="Times New Roman" w:eastAsia="宋体" w:cs="Times New Roman"/>
                <w:color w:val="000000" w:themeColor="text1"/>
                <w:highlight w:val="none"/>
                <w:u w:val="none"/>
                <w14:textFill>
                  <w14:solidFill>
                    <w14:schemeClr w14:val="tx1"/>
                  </w14:solidFill>
                </w14:textFill>
              </w:rPr>
            </w:pPr>
            <w:r>
              <w:rPr>
                <w:rFonts w:hint="default" w:ascii="Times New Roman" w:hAnsi="Times New Roman" w:eastAsia="宋体" w:cs="Times New Roman"/>
                <w:color w:val="000000" w:themeColor="text1"/>
                <w:highlight w:val="none"/>
                <w:u w:val="none"/>
                <w14:textFill>
                  <w14:solidFill>
                    <w14:schemeClr w14:val="tx1"/>
                  </w14:solidFill>
                </w14:textFill>
              </w:rPr>
              <w:t>0.028</w:t>
            </w:r>
            <w:r>
              <w:rPr>
                <w:rFonts w:hint="eastAsia"/>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highlight w:val="none"/>
                <w:u w:val="none"/>
                <w14:textFill>
                  <w14:solidFill>
                    <w14:schemeClr w14:val="tx1"/>
                  </w14:solidFill>
                </w14:textFill>
              </w:rPr>
              <w:t>常数，°R·ft</w:t>
            </w:r>
            <w:r>
              <w:rPr>
                <w:rFonts w:hint="default" w:ascii="Times New Roman" w:hAnsi="Times New Roman" w:eastAsia="宋体" w:cs="Times New Roman"/>
                <w:color w:val="000000" w:themeColor="text1"/>
                <w:highlight w:val="none"/>
                <w:u w:val="none"/>
                <w:vertAlign w:val="superscript"/>
                <w14:textFill>
                  <w14:solidFill>
                    <w14:schemeClr w14:val="tx1"/>
                  </w14:solidFill>
                </w14:textFill>
              </w:rPr>
              <w:t>2</w:t>
            </w:r>
            <w:r>
              <w:rPr>
                <w:rFonts w:hint="default" w:ascii="Times New Roman" w:hAnsi="Times New Roman" w:eastAsia="宋体" w:cs="Times New Roman"/>
                <w:color w:val="000000" w:themeColor="text1"/>
                <w:highlight w:val="none"/>
                <w:u w:val="none"/>
                <w14:textFill>
                  <w14:solidFill>
                    <w14:schemeClr w14:val="tx1"/>
                  </w14:solidFill>
                </w14:textFill>
              </w:rPr>
              <w:t>·day/Btu。</w:t>
            </w:r>
          </w:p>
          <w:p w14:paraId="1ACD3DD2">
            <w:pPr>
              <w:pStyle w:val="30"/>
              <w:bidi w:val="0"/>
              <w:rPr>
                <w:rFonts w:hint="default"/>
                <w:color w:val="000000" w:themeColor="text1"/>
                <w:highlight w:val="none"/>
                <w14:textFill>
                  <w14:solidFill>
                    <w14:schemeClr w14:val="tx1"/>
                  </w14:solidFill>
                </w14:textFill>
              </w:rPr>
            </w:pPr>
            <w:bookmarkStart w:id="178" w:name="_Ref20058"/>
            <w:r>
              <w:rPr>
                <w:rFonts w:hint="default"/>
                <w:color w:val="000000" w:themeColor="text1"/>
                <w:highlight w:val="none"/>
                <w14:textFill>
                  <w14:solidFill>
                    <w14:schemeClr w14:val="tx1"/>
                  </w14:solidFill>
                </w14:textFill>
              </w:rPr>
              <w:t>罐漆太阳能吸收率（α）</w:t>
            </w:r>
            <w:bookmarkEnd w:id="178"/>
          </w:p>
          <w:tbl>
            <w:tblPr>
              <w:tblStyle w:val="18"/>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2076"/>
              <w:gridCol w:w="2076"/>
              <w:gridCol w:w="2076"/>
            </w:tblGrid>
            <w:tr w14:paraId="17DC9C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2074" w:type="dxa"/>
                  <w:vMerge w:val="restart"/>
                  <w:tcBorders>
                    <w:tl2br w:val="nil"/>
                    <w:tr2bl w:val="nil"/>
                  </w:tcBorders>
                  <w:noWrap w:val="0"/>
                  <w:vAlign w:val="center"/>
                </w:tcPr>
                <w:p w14:paraId="3FFE4797">
                  <w:pPr>
                    <w:pStyle w:val="26"/>
                    <w:bidi w:val="0"/>
                    <w:jc w:val="center"/>
                    <w:rPr>
                      <w:rFonts w:hint="default" w:eastAsia="宋体"/>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罐漆颜色</w:t>
                  </w:r>
                </w:p>
              </w:tc>
              <w:tc>
                <w:tcPr>
                  <w:tcW w:w="2076" w:type="dxa"/>
                  <w:vMerge w:val="restart"/>
                  <w:tcBorders>
                    <w:tl2br w:val="nil"/>
                    <w:tr2bl w:val="nil"/>
                  </w:tcBorders>
                  <w:noWrap w:val="0"/>
                  <w:vAlign w:val="center"/>
                </w:tcPr>
                <w:p w14:paraId="01A777DA">
                  <w:pPr>
                    <w:pStyle w:val="26"/>
                    <w:bidi w:val="0"/>
                    <w:jc w:val="center"/>
                    <w:rPr>
                      <w:rFonts w:hint="default" w:eastAsia="宋体"/>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喷漆色光</w:t>
                  </w:r>
                </w:p>
              </w:tc>
              <w:tc>
                <w:tcPr>
                  <w:tcW w:w="4152" w:type="dxa"/>
                  <w:gridSpan w:val="2"/>
                  <w:tcBorders>
                    <w:tl2br w:val="nil"/>
                    <w:tr2bl w:val="nil"/>
                  </w:tcBorders>
                  <w:noWrap w:val="0"/>
                  <w:vAlign w:val="center"/>
                </w:tcPr>
                <w:p w14:paraId="5B2F6366">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罐漆吸收率（</w:t>
                  </w:r>
                  <w:r>
                    <w:rPr>
                      <w:rFonts w:hint="default"/>
                      <w:color w:val="000000" w:themeColor="text1"/>
                      <w:highlight w:val="none"/>
                      <w:lang w:val="en-US" w:eastAsia="zh-CN" w:bidi="ar-SA"/>
                      <w14:textFill>
                        <w14:solidFill>
                          <w14:schemeClr w14:val="tx1"/>
                        </w14:solidFill>
                      </w14:textFill>
                    </w:rPr>
                    <w:t>α</w:t>
                  </w:r>
                  <w:r>
                    <w:rPr>
                      <w:rFonts w:hint="eastAsia"/>
                      <w:color w:val="000000" w:themeColor="text1"/>
                      <w:highlight w:val="none"/>
                      <w:lang w:val="en-US" w:eastAsia="zh-CN" w:bidi="ar-SA"/>
                      <w14:textFill>
                        <w14:solidFill>
                          <w14:schemeClr w14:val="tx1"/>
                        </w14:solidFill>
                      </w14:textFill>
                    </w:rPr>
                    <w:t>）</w:t>
                  </w:r>
                </w:p>
              </w:tc>
            </w:tr>
            <w:tr w14:paraId="2FA9D5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74" w:type="dxa"/>
                  <w:vMerge w:val="continue"/>
                  <w:tcBorders>
                    <w:tl2br w:val="nil"/>
                    <w:tr2bl w:val="nil"/>
                  </w:tcBorders>
                  <w:noWrap w:val="0"/>
                  <w:vAlign w:val="center"/>
                </w:tcPr>
                <w:p w14:paraId="1FB136DB">
                  <w:pPr>
                    <w:pStyle w:val="26"/>
                    <w:bidi w:val="0"/>
                    <w:jc w:val="center"/>
                    <w:rPr>
                      <w:rFonts w:hint="default"/>
                      <w:color w:val="000000" w:themeColor="text1"/>
                      <w:highlight w:val="none"/>
                      <w:lang w:val="en-US" w:eastAsia="zh-CN" w:bidi="ar-SA"/>
                      <w14:textFill>
                        <w14:solidFill>
                          <w14:schemeClr w14:val="tx1"/>
                        </w14:solidFill>
                      </w14:textFill>
                    </w:rPr>
                  </w:pPr>
                </w:p>
              </w:tc>
              <w:tc>
                <w:tcPr>
                  <w:tcW w:w="2076" w:type="dxa"/>
                  <w:vMerge w:val="continue"/>
                  <w:tcBorders>
                    <w:tl2br w:val="nil"/>
                    <w:tr2bl w:val="nil"/>
                  </w:tcBorders>
                  <w:noWrap w:val="0"/>
                  <w:vAlign w:val="center"/>
                </w:tcPr>
                <w:p w14:paraId="34559958">
                  <w:pPr>
                    <w:pStyle w:val="26"/>
                    <w:bidi w:val="0"/>
                    <w:jc w:val="center"/>
                    <w:rPr>
                      <w:rFonts w:hint="default"/>
                      <w:color w:val="000000" w:themeColor="text1"/>
                      <w:highlight w:val="none"/>
                      <w:lang w:val="en-US" w:eastAsia="zh-CN" w:bidi="ar-SA"/>
                      <w14:textFill>
                        <w14:solidFill>
                          <w14:schemeClr w14:val="tx1"/>
                        </w14:solidFill>
                      </w14:textFill>
                    </w:rPr>
                  </w:pPr>
                </w:p>
              </w:tc>
              <w:tc>
                <w:tcPr>
                  <w:tcW w:w="4152" w:type="dxa"/>
                  <w:gridSpan w:val="2"/>
                  <w:tcBorders>
                    <w:tl2br w:val="nil"/>
                    <w:tr2bl w:val="nil"/>
                  </w:tcBorders>
                  <w:noWrap w:val="0"/>
                  <w:vAlign w:val="center"/>
                </w:tcPr>
                <w:p w14:paraId="6CFA2B42">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罐漆状况</w:t>
                  </w:r>
                </w:p>
              </w:tc>
            </w:tr>
            <w:tr w14:paraId="29895F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74" w:type="dxa"/>
                  <w:vMerge w:val="continue"/>
                  <w:tcBorders>
                    <w:tl2br w:val="nil"/>
                    <w:tr2bl w:val="nil"/>
                  </w:tcBorders>
                  <w:noWrap w:val="0"/>
                  <w:vAlign w:val="center"/>
                </w:tcPr>
                <w:p w14:paraId="682A4A5E">
                  <w:pPr>
                    <w:pStyle w:val="26"/>
                    <w:bidi w:val="0"/>
                    <w:jc w:val="center"/>
                    <w:rPr>
                      <w:rFonts w:hint="default"/>
                      <w:color w:val="000000" w:themeColor="text1"/>
                      <w:highlight w:val="none"/>
                      <w:lang w:val="en-US" w:eastAsia="zh-CN" w:bidi="ar-SA"/>
                      <w14:textFill>
                        <w14:solidFill>
                          <w14:schemeClr w14:val="tx1"/>
                        </w14:solidFill>
                      </w14:textFill>
                    </w:rPr>
                  </w:pPr>
                </w:p>
              </w:tc>
              <w:tc>
                <w:tcPr>
                  <w:tcW w:w="2076" w:type="dxa"/>
                  <w:vMerge w:val="continue"/>
                  <w:tcBorders>
                    <w:tl2br w:val="nil"/>
                    <w:tr2bl w:val="nil"/>
                  </w:tcBorders>
                  <w:noWrap w:val="0"/>
                  <w:vAlign w:val="center"/>
                </w:tcPr>
                <w:p w14:paraId="4B13326F">
                  <w:pPr>
                    <w:pStyle w:val="26"/>
                    <w:bidi w:val="0"/>
                    <w:jc w:val="center"/>
                    <w:rPr>
                      <w:rFonts w:hint="default"/>
                      <w:color w:val="000000" w:themeColor="text1"/>
                      <w:highlight w:val="none"/>
                      <w:lang w:val="en-US" w:eastAsia="zh-CN" w:bidi="ar-SA"/>
                      <w14:textFill>
                        <w14:solidFill>
                          <w14:schemeClr w14:val="tx1"/>
                        </w14:solidFill>
                      </w14:textFill>
                    </w:rPr>
                  </w:pPr>
                </w:p>
              </w:tc>
              <w:tc>
                <w:tcPr>
                  <w:tcW w:w="2076" w:type="dxa"/>
                  <w:tcBorders>
                    <w:tl2br w:val="nil"/>
                    <w:tr2bl w:val="nil"/>
                  </w:tcBorders>
                  <w:noWrap w:val="0"/>
                  <w:vAlign w:val="center"/>
                </w:tcPr>
                <w:p w14:paraId="2348FC2A">
                  <w:pPr>
                    <w:pStyle w:val="26"/>
                    <w:bidi w:val="0"/>
                    <w:jc w:val="center"/>
                    <w:rPr>
                      <w:rFonts w:hint="eastAsia" w:eastAsia="宋体"/>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好</w:t>
                  </w:r>
                </w:p>
              </w:tc>
              <w:tc>
                <w:tcPr>
                  <w:tcW w:w="2076" w:type="dxa"/>
                  <w:tcBorders>
                    <w:tl2br w:val="nil"/>
                    <w:tr2bl w:val="nil"/>
                  </w:tcBorders>
                  <w:noWrap w:val="0"/>
                  <w:vAlign w:val="center"/>
                </w:tcPr>
                <w:p w14:paraId="2725D99D">
                  <w:pPr>
                    <w:pStyle w:val="26"/>
                    <w:bidi w:val="0"/>
                    <w:jc w:val="center"/>
                    <w:rPr>
                      <w:rFonts w:hint="eastAsia" w:eastAsia="宋体"/>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差</w:t>
                  </w:r>
                </w:p>
              </w:tc>
            </w:tr>
            <w:tr w14:paraId="4FE2C5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74" w:type="dxa"/>
                  <w:tcBorders>
                    <w:tl2br w:val="nil"/>
                    <w:tr2bl w:val="nil"/>
                  </w:tcBorders>
                  <w:noWrap w:val="0"/>
                  <w:vAlign w:val="center"/>
                </w:tcPr>
                <w:p w14:paraId="3F1B01F7">
                  <w:pPr>
                    <w:pStyle w:val="26"/>
                    <w:bidi w:val="0"/>
                    <w:jc w:val="center"/>
                    <w:rPr>
                      <w:rFonts w:hint="eastAsia" w:eastAsia="宋体"/>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银白色</w:t>
                  </w:r>
                </w:p>
              </w:tc>
              <w:tc>
                <w:tcPr>
                  <w:tcW w:w="2076" w:type="dxa"/>
                  <w:tcBorders>
                    <w:tl2br w:val="nil"/>
                    <w:tr2bl w:val="nil"/>
                  </w:tcBorders>
                  <w:noWrap w:val="0"/>
                  <w:vAlign w:val="center"/>
                </w:tcPr>
                <w:p w14:paraId="3FEE22A3">
                  <w:pPr>
                    <w:pStyle w:val="26"/>
                    <w:bidi w:val="0"/>
                    <w:jc w:val="center"/>
                    <w:rPr>
                      <w:rFonts w:hint="eastAsia" w:eastAsia="宋体"/>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高光</w:t>
                  </w:r>
                </w:p>
              </w:tc>
              <w:tc>
                <w:tcPr>
                  <w:tcW w:w="2076" w:type="dxa"/>
                  <w:tcBorders>
                    <w:tl2br w:val="nil"/>
                    <w:tr2bl w:val="nil"/>
                  </w:tcBorders>
                  <w:noWrap w:val="0"/>
                  <w:vAlign w:val="center"/>
                </w:tcPr>
                <w:p w14:paraId="6A82D33E">
                  <w:pPr>
                    <w:pStyle w:val="26"/>
                    <w:bidi w:val="0"/>
                    <w:jc w:val="center"/>
                    <w:rPr>
                      <w:rFonts w:hint="default" w:eastAsia="宋体"/>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0.39</w:t>
                  </w:r>
                </w:p>
              </w:tc>
              <w:tc>
                <w:tcPr>
                  <w:tcW w:w="2076" w:type="dxa"/>
                  <w:tcBorders>
                    <w:tl2br w:val="nil"/>
                    <w:tr2bl w:val="nil"/>
                  </w:tcBorders>
                  <w:noWrap w:val="0"/>
                  <w:vAlign w:val="center"/>
                </w:tcPr>
                <w:p w14:paraId="4CEF66F8">
                  <w:pPr>
                    <w:pStyle w:val="26"/>
                    <w:bidi w:val="0"/>
                    <w:jc w:val="center"/>
                    <w:rPr>
                      <w:rFonts w:hint="default" w:eastAsia="宋体"/>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0.49</w:t>
                  </w:r>
                </w:p>
              </w:tc>
            </w:tr>
            <w:tr w14:paraId="56CCDC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74" w:type="dxa"/>
                  <w:tcBorders>
                    <w:tl2br w:val="nil"/>
                    <w:tr2bl w:val="nil"/>
                  </w:tcBorders>
                  <w:noWrap w:val="0"/>
                  <w:vAlign w:val="center"/>
                </w:tcPr>
                <w:p w14:paraId="40825159">
                  <w:pPr>
                    <w:pStyle w:val="26"/>
                    <w:bidi w:val="0"/>
                    <w:jc w:val="center"/>
                    <w:rPr>
                      <w:rFonts w:hint="eastAsia" w:eastAsia="宋体"/>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银白色</w:t>
                  </w:r>
                </w:p>
              </w:tc>
              <w:tc>
                <w:tcPr>
                  <w:tcW w:w="2076" w:type="dxa"/>
                  <w:tcBorders>
                    <w:tl2br w:val="nil"/>
                    <w:tr2bl w:val="nil"/>
                  </w:tcBorders>
                  <w:noWrap w:val="0"/>
                  <w:vAlign w:val="center"/>
                </w:tcPr>
                <w:p w14:paraId="1D9CA5B0">
                  <w:pPr>
                    <w:pStyle w:val="26"/>
                    <w:bidi w:val="0"/>
                    <w:jc w:val="center"/>
                    <w:rPr>
                      <w:rFonts w:hint="default" w:eastAsia="宋体"/>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散射</w:t>
                  </w:r>
                </w:p>
              </w:tc>
              <w:tc>
                <w:tcPr>
                  <w:tcW w:w="2076" w:type="dxa"/>
                  <w:tcBorders>
                    <w:tl2br w:val="nil"/>
                    <w:tr2bl w:val="nil"/>
                  </w:tcBorders>
                  <w:noWrap w:val="0"/>
                  <w:vAlign w:val="center"/>
                </w:tcPr>
                <w:p w14:paraId="36509485">
                  <w:pPr>
                    <w:pStyle w:val="26"/>
                    <w:bidi w:val="0"/>
                    <w:jc w:val="center"/>
                    <w:rPr>
                      <w:rFonts w:hint="default" w:eastAsia="宋体"/>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0.60</w:t>
                  </w:r>
                </w:p>
              </w:tc>
              <w:tc>
                <w:tcPr>
                  <w:tcW w:w="2076" w:type="dxa"/>
                  <w:tcBorders>
                    <w:tl2br w:val="nil"/>
                    <w:tr2bl w:val="nil"/>
                  </w:tcBorders>
                  <w:noWrap w:val="0"/>
                  <w:vAlign w:val="center"/>
                </w:tcPr>
                <w:p w14:paraId="2C62B4C8">
                  <w:pPr>
                    <w:pStyle w:val="26"/>
                    <w:bidi w:val="0"/>
                    <w:jc w:val="center"/>
                    <w:rPr>
                      <w:rFonts w:hint="default" w:eastAsia="宋体"/>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0.68</w:t>
                  </w:r>
                </w:p>
              </w:tc>
            </w:tr>
            <w:tr w14:paraId="53CB59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74" w:type="dxa"/>
                  <w:tcBorders>
                    <w:tl2br w:val="nil"/>
                    <w:tr2bl w:val="nil"/>
                  </w:tcBorders>
                  <w:noWrap w:val="0"/>
                  <w:vAlign w:val="center"/>
                </w:tcPr>
                <w:p w14:paraId="571B2511">
                  <w:pPr>
                    <w:pStyle w:val="26"/>
                    <w:bidi w:val="0"/>
                    <w:jc w:val="center"/>
                    <w:rPr>
                      <w:rFonts w:hint="eastAsia" w:eastAsia="宋体"/>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铝罐</w:t>
                  </w:r>
                </w:p>
              </w:tc>
              <w:tc>
                <w:tcPr>
                  <w:tcW w:w="2076" w:type="dxa"/>
                  <w:tcBorders>
                    <w:tl2br w:val="nil"/>
                    <w:tr2bl w:val="nil"/>
                  </w:tcBorders>
                  <w:noWrap w:val="0"/>
                  <w:vAlign w:val="center"/>
                </w:tcPr>
                <w:p w14:paraId="1A4D9152">
                  <w:pPr>
                    <w:pStyle w:val="26"/>
                    <w:bidi w:val="0"/>
                    <w:jc w:val="center"/>
                    <w:rPr>
                      <w:rFonts w:hint="default" w:eastAsia="宋体"/>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光面，不涂漆</w:t>
                  </w:r>
                </w:p>
              </w:tc>
              <w:tc>
                <w:tcPr>
                  <w:tcW w:w="2076" w:type="dxa"/>
                  <w:tcBorders>
                    <w:tl2br w:val="nil"/>
                    <w:tr2bl w:val="nil"/>
                  </w:tcBorders>
                  <w:noWrap w:val="0"/>
                  <w:vAlign w:val="center"/>
                </w:tcPr>
                <w:p w14:paraId="55E4FA2C">
                  <w:pPr>
                    <w:pStyle w:val="26"/>
                    <w:bidi w:val="0"/>
                    <w:jc w:val="center"/>
                    <w:rPr>
                      <w:rFonts w:hint="default" w:eastAsia="宋体"/>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0.10</w:t>
                  </w:r>
                </w:p>
              </w:tc>
              <w:tc>
                <w:tcPr>
                  <w:tcW w:w="2076" w:type="dxa"/>
                  <w:tcBorders>
                    <w:tl2br w:val="nil"/>
                    <w:tr2bl w:val="nil"/>
                  </w:tcBorders>
                  <w:noWrap w:val="0"/>
                  <w:vAlign w:val="center"/>
                </w:tcPr>
                <w:p w14:paraId="654494F8">
                  <w:pPr>
                    <w:pStyle w:val="26"/>
                    <w:bidi w:val="0"/>
                    <w:jc w:val="center"/>
                    <w:rPr>
                      <w:rFonts w:hint="default" w:eastAsia="宋体"/>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0.15</w:t>
                  </w:r>
                </w:p>
              </w:tc>
            </w:tr>
            <w:tr w14:paraId="2D94D2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74" w:type="dxa"/>
                  <w:tcBorders>
                    <w:tl2br w:val="nil"/>
                    <w:tr2bl w:val="nil"/>
                  </w:tcBorders>
                  <w:noWrap w:val="0"/>
                  <w:vAlign w:val="center"/>
                </w:tcPr>
                <w:p w14:paraId="489D6801">
                  <w:pPr>
                    <w:pStyle w:val="26"/>
                    <w:bidi w:val="0"/>
                    <w:jc w:val="center"/>
                    <w:rPr>
                      <w:rFonts w:hint="default" w:eastAsia="宋体"/>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米黄/乳色</w:t>
                  </w:r>
                </w:p>
              </w:tc>
              <w:tc>
                <w:tcPr>
                  <w:tcW w:w="2076" w:type="dxa"/>
                  <w:tcBorders>
                    <w:tl2br w:val="nil"/>
                    <w:tr2bl w:val="nil"/>
                  </w:tcBorders>
                  <w:noWrap w:val="0"/>
                  <w:vAlign w:val="center"/>
                </w:tcPr>
                <w:p w14:paraId="328F8FCF">
                  <w:pPr>
                    <w:pStyle w:val="26"/>
                    <w:bidi w:val="0"/>
                    <w:jc w:val="center"/>
                    <w:rPr>
                      <w:rFonts w:hint="eastAsia" w:eastAsia="宋体"/>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w:t>
                  </w:r>
                </w:p>
              </w:tc>
              <w:tc>
                <w:tcPr>
                  <w:tcW w:w="2076" w:type="dxa"/>
                  <w:tcBorders>
                    <w:tl2br w:val="nil"/>
                    <w:tr2bl w:val="nil"/>
                  </w:tcBorders>
                  <w:noWrap w:val="0"/>
                  <w:vAlign w:val="center"/>
                </w:tcPr>
                <w:p w14:paraId="1A3313E0">
                  <w:pPr>
                    <w:pStyle w:val="26"/>
                    <w:bidi w:val="0"/>
                    <w:jc w:val="center"/>
                    <w:rPr>
                      <w:rFonts w:hint="default" w:eastAsia="宋体"/>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0.35</w:t>
                  </w:r>
                </w:p>
              </w:tc>
              <w:tc>
                <w:tcPr>
                  <w:tcW w:w="2076" w:type="dxa"/>
                  <w:tcBorders>
                    <w:tl2br w:val="nil"/>
                    <w:tr2bl w:val="nil"/>
                  </w:tcBorders>
                  <w:noWrap w:val="0"/>
                  <w:vAlign w:val="center"/>
                </w:tcPr>
                <w:p w14:paraId="1F0FDB38">
                  <w:pPr>
                    <w:pStyle w:val="26"/>
                    <w:bidi w:val="0"/>
                    <w:jc w:val="center"/>
                    <w:rPr>
                      <w:rFonts w:hint="default" w:eastAsia="宋体"/>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0.49</w:t>
                  </w:r>
                </w:p>
              </w:tc>
            </w:tr>
            <w:tr w14:paraId="2813A2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74" w:type="dxa"/>
                  <w:tcBorders>
                    <w:tl2br w:val="nil"/>
                    <w:tr2bl w:val="nil"/>
                  </w:tcBorders>
                  <w:noWrap w:val="0"/>
                  <w:vAlign w:val="center"/>
                </w:tcPr>
                <w:p w14:paraId="3500B7B2">
                  <w:pPr>
                    <w:pStyle w:val="26"/>
                    <w:bidi w:val="0"/>
                    <w:jc w:val="center"/>
                    <w:rPr>
                      <w:rFonts w:hint="eastAsia" w:eastAsia="宋体"/>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黑色</w:t>
                  </w:r>
                </w:p>
              </w:tc>
              <w:tc>
                <w:tcPr>
                  <w:tcW w:w="2076" w:type="dxa"/>
                  <w:tcBorders>
                    <w:tl2br w:val="nil"/>
                    <w:tr2bl w:val="nil"/>
                  </w:tcBorders>
                  <w:noWrap w:val="0"/>
                  <w:vAlign w:val="center"/>
                </w:tcPr>
                <w:p w14:paraId="27435084">
                  <w:pPr>
                    <w:pStyle w:val="26"/>
                    <w:bidi w:val="0"/>
                    <w:jc w:val="center"/>
                    <w:rPr>
                      <w:rFonts w:hint="eastAsia" w:eastAsia="宋体"/>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w:t>
                  </w:r>
                </w:p>
              </w:tc>
              <w:tc>
                <w:tcPr>
                  <w:tcW w:w="2076" w:type="dxa"/>
                  <w:tcBorders>
                    <w:tl2br w:val="nil"/>
                    <w:tr2bl w:val="nil"/>
                  </w:tcBorders>
                  <w:noWrap w:val="0"/>
                  <w:vAlign w:val="center"/>
                </w:tcPr>
                <w:p w14:paraId="32D54F76">
                  <w:pPr>
                    <w:pStyle w:val="26"/>
                    <w:bidi w:val="0"/>
                    <w:jc w:val="center"/>
                    <w:rPr>
                      <w:rFonts w:hint="default" w:eastAsia="宋体"/>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0.97</w:t>
                  </w:r>
                </w:p>
              </w:tc>
              <w:tc>
                <w:tcPr>
                  <w:tcW w:w="2076" w:type="dxa"/>
                  <w:tcBorders>
                    <w:tl2br w:val="nil"/>
                    <w:tr2bl w:val="nil"/>
                  </w:tcBorders>
                  <w:noWrap w:val="0"/>
                  <w:vAlign w:val="center"/>
                </w:tcPr>
                <w:p w14:paraId="4158B052">
                  <w:pPr>
                    <w:pStyle w:val="26"/>
                    <w:bidi w:val="0"/>
                    <w:jc w:val="center"/>
                    <w:rPr>
                      <w:rFonts w:hint="default" w:eastAsia="宋体"/>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0.97</w:t>
                  </w:r>
                </w:p>
              </w:tc>
            </w:tr>
            <w:tr w14:paraId="598A95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74" w:type="dxa"/>
                  <w:tcBorders>
                    <w:tl2br w:val="nil"/>
                    <w:tr2bl w:val="nil"/>
                  </w:tcBorders>
                  <w:noWrap w:val="0"/>
                  <w:vAlign w:val="center"/>
                </w:tcPr>
                <w:p w14:paraId="7025F570">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棕色</w:t>
                  </w:r>
                </w:p>
              </w:tc>
              <w:tc>
                <w:tcPr>
                  <w:tcW w:w="2076" w:type="dxa"/>
                  <w:tcBorders>
                    <w:tl2br w:val="nil"/>
                    <w:tr2bl w:val="nil"/>
                  </w:tcBorders>
                  <w:noWrap w:val="0"/>
                  <w:vAlign w:val="center"/>
                </w:tcPr>
                <w:p w14:paraId="61F33957">
                  <w:pPr>
                    <w:pStyle w:val="26"/>
                    <w:bidi w:val="0"/>
                    <w:jc w:val="center"/>
                    <w:rPr>
                      <w:rFonts w:hint="eastAsia" w:eastAsia="宋体"/>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w:t>
                  </w:r>
                </w:p>
              </w:tc>
              <w:tc>
                <w:tcPr>
                  <w:tcW w:w="2076" w:type="dxa"/>
                  <w:tcBorders>
                    <w:tl2br w:val="nil"/>
                    <w:tr2bl w:val="nil"/>
                  </w:tcBorders>
                  <w:noWrap w:val="0"/>
                  <w:vAlign w:val="center"/>
                </w:tcPr>
                <w:p w14:paraId="580D10CA">
                  <w:pPr>
                    <w:pStyle w:val="26"/>
                    <w:bidi w:val="0"/>
                    <w:jc w:val="center"/>
                    <w:rPr>
                      <w:rFonts w:hint="default" w:eastAsia="宋体"/>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0.58</w:t>
                  </w:r>
                </w:p>
              </w:tc>
              <w:tc>
                <w:tcPr>
                  <w:tcW w:w="2076" w:type="dxa"/>
                  <w:tcBorders>
                    <w:tl2br w:val="nil"/>
                    <w:tr2bl w:val="nil"/>
                  </w:tcBorders>
                  <w:noWrap w:val="0"/>
                  <w:vAlign w:val="center"/>
                </w:tcPr>
                <w:p w14:paraId="67BFC32B">
                  <w:pPr>
                    <w:pStyle w:val="26"/>
                    <w:bidi w:val="0"/>
                    <w:jc w:val="center"/>
                    <w:rPr>
                      <w:rFonts w:hint="default" w:eastAsia="宋体"/>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0.67</w:t>
                  </w:r>
                </w:p>
              </w:tc>
            </w:tr>
            <w:tr w14:paraId="225190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74" w:type="dxa"/>
                  <w:tcBorders>
                    <w:tl2br w:val="nil"/>
                    <w:tr2bl w:val="nil"/>
                  </w:tcBorders>
                  <w:noWrap w:val="0"/>
                  <w:vAlign w:val="center"/>
                </w:tcPr>
                <w:p w14:paraId="5A8D042E">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灰色</w:t>
                  </w:r>
                </w:p>
              </w:tc>
              <w:tc>
                <w:tcPr>
                  <w:tcW w:w="2076" w:type="dxa"/>
                  <w:tcBorders>
                    <w:tl2br w:val="nil"/>
                    <w:tr2bl w:val="nil"/>
                  </w:tcBorders>
                  <w:noWrap w:val="0"/>
                  <w:vAlign w:val="center"/>
                </w:tcPr>
                <w:p w14:paraId="31DEE8A3">
                  <w:pPr>
                    <w:pStyle w:val="26"/>
                    <w:bidi w:val="0"/>
                    <w:jc w:val="center"/>
                    <w:rPr>
                      <w:rFonts w:hint="eastAsia" w:eastAsia="宋体"/>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淡</w:t>
                  </w:r>
                </w:p>
              </w:tc>
              <w:tc>
                <w:tcPr>
                  <w:tcW w:w="2076" w:type="dxa"/>
                  <w:tcBorders>
                    <w:tl2br w:val="nil"/>
                    <w:tr2bl w:val="nil"/>
                  </w:tcBorders>
                  <w:noWrap w:val="0"/>
                  <w:vAlign w:val="center"/>
                </w:tcPr>
                <w:p w14:paraId="758771CC">
                  <w:pPr>
                    <w:pStyle w:val="26"/>
                    <w:bidi w:val="0"/>
                    <w:jc w:val="center"/>
                    <w:rPr>
                      <w:rFonts w:hint="default" w:eastAsia="宋体"/>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0.54</w:t>
                  </w:r>
                </w:p>
              </w:tc>
              <w:tc>
                <w:tcPr>
                  <w:tcW w:w="2076" w:type="dxa"/>
                  <w:tcBorders>
                    <w:tl2br w:val="nil"/>
                    <w:tr2bl w:val="nil"/>
                  </w:tcBorders>
                  <w:noWrap w:val="0"/>
                  <w:vAlign w:val="center"/>
                </w:tcPr>
                <w:p w14:paraId="280AC221">
                  <w:pPr>
                    <w:pStyle w:val="26"/>
                    <w:bidi w:val="0"/>
                    <w:jc w:val="center"/>
                    <w:rPr>
                      <w:rFonts w:hint="default" w:eastAsia="宋体"/>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0.63</w:t>
                  </w:r>
                </w:p>
              </w:tc>
            </w:tr>
            <w:tr w14:paraId="44BCB5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74" w:type="dxa"/>
                  <w:tcBorders>
                    <w:tl2br w:val="nil"/>
                    <w:tr2bl w:val="nil"/>
                  </w:tcBorders>
                  <w:noWrap w:val="0"/>
                  <w:vAlign w:val="center"/>
                </w:tcPr>
                <w:p w14:paraId="144FF71E">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灰色</w:t>
                  </w:r>
                </w:p>
              </w:tc>
              <w:tc>
                <w:tcPr>
                  <w:tcW w:w="2076" w:type="dxa"/>
                  <w:tcBorders>
                    <w:tl2br w:val="nil"/>
                    <w:tr2bl w:val="nil"/>
                  </w:tcBorders>
                  <w:noWrap w:val="0"/>
                  <w:vAlign w:val="center"/>
                </w:tcPr>
                <w:p w14:paraId="222C0946">
                  <w:pPr>
                    <w:pStyle w:val="26"/>
                    <w:bidi w:val="0"/>
                    <w:jc w:val="center"/>
                    <w:rPr>
                      <w:rFonts w:hint="default" w:eastAsia="宋体"/>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中等</w:t>
                  </w:r>
                </w:p>
              </w:tc>
              <w:tc>
                <w:tcPr>
                  <w:tcW w:w="2076" w:type="dxa"/>
                  <w:tcBorders>
                    <w:tl2br w:val="nil"/>
                    <w:tr2bl w:val="nil"/>
                  </w:tcBorders>
                  <w:noWrap w:val="0"/>
                  <w:vAlign w:val="center"/>
                </w:tcPr>
                <w:p w14:paraId="47E8744D">
                  <w:pPr>
                    <w:pStyle w:val="26"/>
                    <w:bidi w:val="0"/>
                    <w:jc w:val="center"/>
                    <w:rPr>
                      <w:rFonts w:hint="default" w:eastAsia="宋体"/>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0.68</w:t>
                  </w:r>
                </w:p>
              </w:tc>
              <w:tc>
                <w:tcPr>
                  <w:tcW w:w="2076" w:type="dxa"/>
                  <w:tcBorders>
                    <w:tl2br w:val="nil"/>
                    <w:tr2bl w:val="nil"/>
                  </w:tcBorders>
                  <w:noWrap w:val="0"/>
                  <w:vAlign w:val="center"/>
                </w:tcPr>
                <w:p w14:paraId="7622B08E">
                  <w:pPr>
                    <w:pStyle w:val="26"/>
                    <w:bidi w:val="0"/>
                    <w:jc w:val="center"/>
                    <w:rPr>
                      <w:rFonts w:hint="default" w:eastAsia="宋体"/>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0.74</w:t>
                  </w:r>
                </w:p>
              </w:tc>
            </w:tr>
            <w:tr w14:paraId="13E1F5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74" w:type="dxa"/>
                  <w:tcBorders>
                    <w:tl2br w:val="nil"/>
                    <w:tr2bl w:val="nil"/>
                  </w:tcBorders>
                  <w:noWrap w:val="0"/>
                  <w:vAlign w:val="center"/>
                </w:tcPr>
                <w:p w14:paraId="073EE406">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绿色</w:t>
                  </w:r>
                </w:p>
              </w:tc>
              <w:tc>
                <w:tcPr>
                  <w:tcW w:w="2076" w:type="dxa"/>
                  <w:tcBorders>
                    <w:tl2br w:val="nil"/>
                    <w:tr2bl w:val="nil"/>
                  </w:tcBorders>
                  <w:noWrap w:val="0"/>
                  <w:vAlign w:val="center"/>
                </w:tcPr>
                <w:p w14:paraId="217BED5F">
                  <w:pPr>
                    <w:pStyle w:val="26"/>
                    <w:bidi w:val="0"/>
                    <w:jc w:val="center"/>
                    <w:rPr>
                      <w:rFonts w:hint="eastAsia" w:eastAsia="宋体"/>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暗</w:t>
                  </w:r>
                </w:p>
              </w:tc>
              <w:tc>
                <w:tcPr>
                  <w:tcW w:w="2076" w:type="dxa"/>
                  <w:tcBorders>
                    <w:tl2br w:val="nil"/>
                    <w:tr2bl w:val="nil"/>
                  </w:tcBorders>
                  <w:noWrap w:val="0"/>
                  <w:vAlign w:val="center"/>
                </w:tcPr>
                <w:p w14:paraId="43EB842B">
                  <w:pPr>
                    <w:pStyle w:val="26"/>
                    <w:bidi w:val="0"/>
                    <w:jc w:val="center"/>
                    <w:rPr>
                      <w:rFonts w:hint="default" w:eastAsia="宋体"/>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0.89</w:t>
                  </w:r>
                </w:p>
              </w:tc>
              <w:tc>
                <w:tcPr>
                  <w:tcW w:w="2076" w:type="dxa"/>
                  <w:tcBorders>
                    <w:tl2br w:val="nil"/>
                    <w:tr2bl w:val="nil"/>
                  </w:tcBorders>
                  <w:noWrap w:val="0"/>
                  <w:vAlign w:val="center"/>
                </w:tcPr>
                <w:p w14:paraId="2C167965">
                  <w:pPr>
                    <w:pStyle w:val="26"/>
                    <w:bidi w:val="0"/>
                    <w:jc w:val="center"/>
                    <w:rPr>
                      <w:rFonts w:hint="default" w:eastAsia="宋体"/>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0.91</w:t>
                  </w:r>
                </w:p>
              </w:tc>
            </w:tr>
            <w:tr w14:paraId="020CA7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74" w:type="dxa"/>
                  <w:tcBorders>
                    <w:tl2br w:val="nil"/>
                    <w:tr2bl w:val="nil"/>
                  </w:tcBorders>
                  <w:noWrap w:val="0"/>
                  <w:vAlign w:val="center"/>
                </w:tcPr>
                <w:p w14:paraId="0DA05A64">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红色</w:t>
                  </w:r>
                </w:p>
              </w:tc>
              <w:tc>
                <w:tcPr>
                  <w:tcW w:w="2076" w:type="dxa"/>
                  <w:tcBorders>
                    <w:tl2br w:val="nil"/>
                    <w:tr2bl w:val="nil"/>
                  </w:tcBorders>
                  <w:noWrap w:val="0"/>
                  <w:vAlign w:val="center"/>
                </w:tcPr>
                <w:p w14:paraId="770D9194">
                  <w:pPr>
                    <w:pStyle w:val="26"/>
                    <w:bidi w:val="0"/>
                    <w:jc w:val="center"/>
                    <w:rPr>
                      <w:rFonts w:hint="eastAsia" w:eastAsia="宋体"/>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底漆</w:t>
                  </w:r>
                </w:p>
              </w:tc>
              <w:tc>
                <w:tcPr>
                  <w:tcW w:w="2076" w:type="dxa"/>
                  <w:tcBorders>
                    <w:tl2br w:val="nil"/>
                    <w:tr2bl w:val="nil"/>
                  </w:tcBorders>
                  <w:noWrap w:val="0"/>
                  <w:vAlign w:val="center"/>
                </w:tcPr>
                <w:p w14:paraId="079566A0">
                  <w:pPr>
                    <w:pStyle w:val="26"/>
                    <w:bidi w:val="0"/>
                    <w:jc w:val="center"/>
                    <w:rPr>
                      <w:rFonts w:hint="default" w:eastAsia="宋体"/>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0.89</w:t>
                  </w:r>
                </w:p>
              </w:tc>
              <w:tc>
                <w:tcPr>
                  <w:tcW w:w="2076" w:type="dxa"/>
                  <w:tcBorders>
                    <w:tl2br w:val="nil"/>
                    <w:tr2bl w:val="nil"/>
                  </w:tcBorders>
                  <w:noWrap w:val="0"/>
                  <w:vAlign w:val="center"/>
                </w:tcPr>
                <w:p w14:paraId="0B542A4B">
                  <w:pPr>
                    <w:pStyle w:val="26"/>
                    <w:bidi w:val="0"/>
                    <w:jc w:val="center"/>
                    <w:rPr>
                      <w:rFonts w:hint="default" w:eastAsia="宋体"/>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0.91</w:t>
                  </w:r>
                </w:p>
              </w:tc>
            </w:tr>
            <w:tr w14:paraId="76106D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74" w:type="dxa"/>
                  <w:tcBorders>
                    <w:tl2br w:val="nil"/>
                    <w:tr2bl w:val="nil"/>
                  </w:tcBorders>
                  <w:noWrap w:val="0"/>
                  <w:vAlign w:val="center"/>
                </w:tcPr>
                <w:p w14:paraId="3D91E581">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锈色</w:t>
                  </w:r>
                </w:p>
              </w:tc>
              <w:tc>
                <w:tcPr>
                  <w:tcW w:w="2076" w:type="dxa"/>
                  <w:tcBorders>
                    <w:tl2br w:val="nil"/>
                    <w:tr2bl w:val="nil"/>
                  </w:tcBorders>
                  <w:noWrap w:val="0"/>
                  <w:vAlign w:val="center"/>
                </w:tcPr>
                <w:p w14:paraId="5B25BF5C">
                  <w:pPr>
                    <w:pStyle w:val="26"/>
                    <w:bidi w:val="0"/>
                    <w:jc w:val="center"/>
                    <w:rPr>
                      <w:rFonts w:hint="default" w:eastAsia="宋体"/>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红色氧化铁</w:t>
                  </w:r>
                </w:p>
              </w:tc>
              <w:tc>
                <w:tcPr>
                  <w:tcW w:w="2076" w:type="dxa"/>
                  <w:tcBorders>
                    <w:tl2br w:val="nil"/>
                    <w:tr2bl w:val="nil"/>
                  </w:tcBorders>
                  <w:noWrap w:val="0"/>
                  <w:vAlign w:val="center"/>
                </w:tcPr>
                <w:p w14:paraId="6C203E6D">
                  <w:pPr>
                    <w:pStyle w:val="26"/>
                    <w:bidi w:val="0"/>
                    <w:jc w:val="center"/>
                    <w:rPr>
                      <w:rFonts w:hint="default" w:eastAsia="宋体"/>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0.38</w:t>
                  </w:r>
                </w:p>
              </w:tc>
              <w:tc>
                <w:tcPr>
                  <w:tcW w:w="2076" w:type="dxa"/>
                  <w:tcBorders>
                    <w:tl2br w:val="nil"/>
                    <w:tr2bl w:val="nil"/>
                  </w:tcBorders>
                  <w:noWrap w:val="0"/>
                  <w:vAlign w:val="center"/>
                </w:tcPr>
                <w:p w14:paraId="36EA3D5E">
                  <w:pPr>
                    <w:pStyle w:val="26"/>
                    <w:bidi w:val="0"/>
                    <w:jc w:val="center"/>
                    <w:rPr>
                      <w:rFonts w:hint="default" w:eastAsia="宋体"/>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0.50</w:t>
                  </w:r>
                </w:p>
              </w:tc>
            </w:tr>
            <w:tr w14:paraId="516963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74" w:type="dxa"/>
                  <w:tcBorders>
                    <w:tl2br w:val="nil"/>
                    <w:tr2bl w:val="nil"/>
                  </w:tcBorders>
                  <w:noWrap w:val="0"/>
                  <w:vAlign w:val="center"/>
                </w:tcPr>
                <w:p w14:paraId="6A05D7E2">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茶色</w:t>
                  </w:r>
                </w:p>
              </w:tc>
              <w:tc>
                <w:tcPr>
                  <w:tcW w:w="2076" w:type="dxa"/>
                  <w:tcBorders>
                    <w:tl2br w:val="nil"/>
                    <w:tr2bl w:val="nil"/>
                  </w:tcBorders>
                  <w:noWrap w:val="0"/>
                  <w:vAlign w:val="center"/>
                </w:tcPr>
                <w:p w14:paraId="7E348D07">
                  <w:pPr>
                    <w:pStyle w:val="26"/>
                    <w:bidi w:val="0"/>
                    <w:jc w:val="center"/>
                    <w:rPr>
                      <w:rFonts w:hint="eastAsia" w:eastAsia="宋体"/>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w:t>
                  </w:r>
                </w:p>
              </w:tc>
              <w:tc>
                <w:tcPr>
                  <w:tcW w:w="2076" w:type="dxa"/>
                  <w:tcBorders>
                    <w:tl2br w:val="nil"/>
                    <w:tr2bl w:val="nil"/>
                  </w:tcBorders>
                  <w:noWrap w:val="0"/>
                  <w:vAlign w:val="center"/>
                </w:tcPr>
                <w:p w14:paraId="36B88C0D">
                  <w:pPr>
                    <w:pStyle w:val="26"/>
                    <w:bidi w:val="0"/>
                    <w:jc w:val="center"/>
                    <w:rPr>
                      <w:rFonts w:hint="default" w:eastAsia="宋体"/>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0.43</w:t>
                  </w:r>
                </w:p>
              </w:tc>
              <w:tc>
                <w:tcPr>
                  <w:tcW w:w="2076" w:type="dxa"/>
                  <w:tcBorders>
                    <w:tl2br w:val="nil"/>
                    <w:tr2bl w:val="nil"/>
                  </w:tcBorders>
                  <w:noWrap w:val="0"/>
                  <w:vAlign w:val="center"/>
                </w:tcPr>
                <w:p w14:paraId="18D6AD0E">
                  <w:pPr>
                    <w:pStyle w:val="26"/>
                    <w:bidi w:val="0"/>
                    <w:jc w:val="center"/>
                    <w:rPr>
                      <w:rFonts w:hint="default" w:eastAsia="宋体"/>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0.55</w:t>
                  </w:r>
                </w:p>
              </w:tc>
            </w:tr>
            <w:tr w14:paraId="663EB9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74" w:type="dxa"/>
                  <w:tcBorders>
                    <w:tl2br w:val="nil"/>
                    <w:tr2bl w:val="nil"/>
                  </w:tcBorders>
                  <w:noWrap w:val="0"/>
                  <w:vAlign w:val="center"/>
                </w:tcPr>
                <w:p w14:paraId="0BF9672C">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白色</w:t>
                  </w:r>
                </w:p>
              </w:tc>
              <w:tc>
                <w:tcPr>
                  <w:tcW w:w="2076" w:type="dxa"/>
                  <w:tcBorders>
                    <w:tl2br w:val="nil"/>
                    <w:tr2bl w:val="nil"/>
                  </w:tcBorders>
                  <w:noWrap w:val="0"/>
                  <w:vAlign w:val="center"/>
                </w:tcPr>
                <w:p w14:paraId="04AC3C50">
                  <w:pPr>
                    <w:pStyle w:val="26"/>
                    <w:bidi w:val="0"/>
                    <w:jc w:val="center"/>
                    <w:rPr>
                      <w:rFonts w:hint="eastAsia" w:eastAsia="宋体"/>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不适用</w:t>
                  </w:r>
                </w:p>
              </w:tc>
              <w:tc>
                <w:tcPr>
                  <w:tcW w:w="2076" w:type="dxa"/>
                  <w:tcBorders>
                    <w:tl2br w:val="nil"/>
                    <w:tr2bl w:val="nil"/>
                  </w:tcBorders>
                  <w:noWrap w:val="0"/>
                  <w:vAlign w:val="center"/>
                </w:tcPr>
                <w:p w14:paraId="28A82E7F">
                  <w:pPr>
                    <w:pStyle w:val="26"/>
                    <w:bidi w:val="0"/>
                    <w:jc w:val="center"/>
                    <w:rPr>
                      <w:rFonts w:hint="default" w:eastAsia="宋体"/>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0.17</w:t>
                  </w:r>
                </w:p>
              </w:tc>
              <w:tc>
                <w:tcPr>
                  <w:tcW w:w="2076" w:type="dxa"/>
                  <w:tcBorders>
                    <w:tl2br w:val="nil"/>
                    <w:tr2bl w:val="nil"/>
                  </w:tcBorders>
                  <w:noWrap w:val="0"/>
                  <w:vAlign w:val="center"/>
                </w:tcPr>
                <w:p w14:paraId="12F4F05B">
                  <w:pPr>
                    <w:pStyle w:val="26"/>
                    <w:bidi w:val="0"/>
                    <w:jc w:val="center"/>
                    <w:rPr>
                      <w:rFonts w:hint="default" w:eastAsia="宋体"/>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0.34</w:t>
                  </w:r>
                </w:p>
              </w:tc>
            </w:tr>
          </w:tbl>
          <w:p w14:paraId="2E0DDEAC">
            <w:pP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e.气相空间饱和因子，K</w:t>
            </w:r>
            <w:r>
              <w:rPr>
                <w:rFonts w:hint="eastAsia" w:ascii="Times New Roman" w:hAnsi="Times New Roman" w:eastAsia="宋体" w:cs="Times New Roman"/>
                <w:color w:val="000000" w:themeColor="text1"/>
                <w:highlight w:val="none"/>
                <w:u w:val="none"/>
                <w:vertAlign w:val="subscript"/>
                <w:lang w:val="en-US" w:eastAsia="zh-CN"/>
                <w14:textFill>
                  <w14:solidFill>
                    <w14:schemeClr w14:val="tx1"/>
                  </w14:solidFill>
                </w14:textFill>
              </w:rPr>
              <w:t>S</w:t>
            </w:r>
          </w:p>
          <w:p w14:paraId="0346EF32">
            <w:pPr>
              <w:jc w:val="center"/>
              <w:rPr>
                <w:rFonts w:hint="default" w:ascii="Times New Roman" w:hAnsi="Times New Roman" w:eastAsia="宋体" w:cs="Times New Roman"/>
                <w:color w:val="000000" w:themeColor="text1"/>
                <w:highlight w:val="none"/>
                <w:u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1587500" cy="453390"/>
                  <wp:effectExtent l="0" t="0" r="12700" b="3810"/>
                  <wp:docPr id="13" name="图片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96"/>
                          <pic:cNvPicPr>
                            <a:picLocks noChangeAspect="1"/>
                          </pic:cNvPicPr>
                        </pic:nvPicPr>
                        <pic:blipFill>
                          <a:blip r:embed="rId30"/>
                          <a:stretch>
                            <a:fillRect/>
                          </a:stretch>
                        </pic:blipFill>
                        <pic:spPr>
                          <a:xfrm>
                            <a:off x="0" y="0"/>
                            <a:ext cx="1587500" cy="453390"/>
                          </a:xfrm>
                          <a:prstGeom prst="rect">
                            <a:avLst/>
                          </a:prstGeom>
                          <a:noFill/>
                          <a:ln>
                            <a:noFill/>
                          </a:ln>
                        </pic:spPr>
                      </pic:pic>
                    </a:graphicData>
                  </a:graphic>
                </wp:inline>
              </w:drawing>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公式11</w:t>
            </w:r>
            <w:r>
              <w:rPr>
                <w:rFonts w:hint="eastAsia"/>
                <w:color w:val="000000" w:themeColor="text1"/>
                <w:highlight w:val="none"/>
                <w:lang w:eastAsia="zh-CN"/>
                <w14:textFill>
                  <w14:solidFill>
                    <w14:schemeClr w14:val="tx1"/>
                  </w14:solidFill>
                </w14:textFill>
              </w:rPr>
              <w:t>）</w:t>
            </w:r>
          </w:p>
          <w:p w14:paraId="736F29F1">
            <w:pPr>
              <w:rPr>
                <w:rFonts w:hint="default" w:ascii="Times New Roman" w:hAnsi="Times New Roman" w:eastAsia="宋体" w:cs="Times New Roman"/>
                <w:color w:val="000000" w:themeColor="text1"/>
                <w:highlight w:val="none"/>
                <w:u w:val="none"/>
                <w14:textFill>
                  <w14:solidFill>
                    <w14:schemeClr w14:val="tx1"/>
                  </w14:solidFill>
                </w14:textFill>
              </w:rPr>
            </w:pP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式中：</w:t>
            </w:r>
          </w:p>
          <w:p w14:paraId="5A6A1A16">
            <w:pP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K</w:t>
            </w:r>
            <w:r>
              <w:rPr>
                <w:rFonts w:hint="default" w:ascii="Times New Roman" w:hAnsi="Times New Roman" w:eastAsia="宋体" w:cs="Times New Roman"/>
                <w:color w:val="000000" w:themeColor="text1"/>
                <w:highlight w:val="none"/>
                <w:u w:val="none"/>
                <w:vertAlign w:val="subscript"/>
                <w:lang w:val="en-US" w:eastAsia="zh-CN"/>
                <w14:textFill>
                  <w14:solidFill>
                    <w14:schemeClr w14:val="tx1"/>
                  </w14:solidFill>
                </w14:textFill>
              </w:rPr>
              <w:t>S</w:t>
            </w:r>
            <w:r>
              <w:rPr>
                <w:rFonts w:hint="eastAsia"/>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排放蒸汽空间饱和因子，无量纲量；</w:t>
            </w:r>
          </w:p>
          <w:p w14:paraId="2C3C8BD3">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P</w:t>
            </w:r>
            <w:r>
              <w:rPr>
                <w:rFonts w:hint="default"/>
                <w:color w:val="000000" w:themeColor="text1"/>
                <w:highlight w:val="none"/>
                <w:vertAlign w:val="subscript"/>
                <w:lang w:val="en-US" w:eastAsia="zh-CN"/>
                <w14:textFill>
                  <w14:solidFill>
                    <w14:schemeClr w14:val="tx1"/>
                  </w14:solidFill>
                </w14:textFill>
              </w:rPr>
              <w:t>VA</w:t>
            </w:r>
            <w:r>
              <w:rPr>
                <w:rFonts w:hint="eastAsia"/>
                <w:color w:val="000000" w:themeColor="text1"/>
                <w:highlight w:val="none"/>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日平均液面温度下的饱和蒸气压，psia，或参照公式1</w:t>
            </w:r>
            <w:r>
              <w:rPr>
                <w:rFonts w:hint="eastAsia"/>
                <w:color w:val="000000" w:themeColor="text1"/>
                <w:highlight w:val="none"/>
                <w:lang w:val="en-US" w:eastAsia="zh-CN"/>
                <w14:textFill>
                  <w14:solidFill>
                    <w14:schemeClr w14:val="tx1"/>
                  </w14:solidFill>
                </w14:textFill>
              </w:rPr>
              <w:t>6</w:t>
            </w:r>
            <w:r>
              <w:rPr>
                <w:rFonts w:hint="default"/>
                <w:color w:val="000000" w:themeColor="text1"/>
                <w:highlight w:val="none"/>
                <w:lang w:val="en-US" w:eastAsia="zh-CN"/>
                <w14:textFill>
                  <w14:solidFill>
                    <w14:schemeClr w14:val="tx1"/>
                  </w14:solidFill>
                </w14:textFill>
              </w:rPr>
              <w:t>计算；</w:t>
            </w:r>
          </w:p>
          <w:p w14:paraId="2EF64ADD">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H</w:t>
            </w:r>
            <w:r>
              <w:rPr>
                <w:rFonts w:hint="default"/>
                <w:color w:val="000000" w:themeColor="text1"/>
                <w:highlight w:val="none"/>
                <w:vertAlign w:val="subscript"/>
                <w:lang w:val="en-US" w:eastAsia="zh-CN"/>
                <w14:textFill>
                  <w14:solidFill>
                    <w14:schemeClr w14:val="tx1"/>
                  </w14:solidFill>
                </w14:textFill>
              </w:rPr>
              <w:t>VO</w:t>
            </w:r>
            <w:r>
              <w:rPr>
                <w:rFonts w:hint="eastAsia"/>
                <w:color w:val="000000" w:themeColor="text1"/>
                <w:highlight w:val="none"/>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气相空间高度，</w:t>
            </w:r>
            <w:r>
              <w:rPr>
                <w:rFonts w:hint="eastAsia"/>
                <w:color w:val="000000" w:themeColor="text1"/>
                <w:highlight w:val="none"/>
                <w:lang w:val="en-US" w:eastAsia="zh-CN"/>
                <w14:textFill>
                  <w14:solidFill>
                    <w14:schemeClr w14:val="tx1"/>
                  </w14:solidFill>
                </w14:textFill>
              </w:rPr>
              <w:t>ft</w:t>
            </w:r>
            <w:r>
              <w:rPr>
                <w:rFonts w:hint="default"/>
                <w:color w:val="000000" w:themeColor="text1"/>
                <w:highlight w:val="none"/>
                <w:lang w:val="en-US" w:eastAsia="zh-CN"/>
                <w14:textFill>
                  <w14:solidFill>
                    <w14:schemeClr w14:val="tx1"/>
                  </w14:solidFill>
                </w14:textFill>
              </w:rPr>
              <w:t>，见</w:t>
            </w:r>
            <w:r>
              <w:rPr>
                <w:rFonts w:hint="eastAsia"/>
                <w:color w:val="000000" w:themeColor="text1"/>
                <w:highlight w:val="none"/>
                <w:lang w:val="en-US" w:eastAsia="zh-CN"/>
                <w14:textFill>
                  <w14:solidFill>
                    <w14:schemeClr w14:val="tx1"/>
                  </w14:solidFill>
                </w14:textFill>
              </w:rPr>
              <w:t>公式7</w:t>
            </w:r>
            <w:r>
              <w:rPr>
                <w:rFonts w:hint="default"/>
                <w:color w:val="000000" w:themeColor="text1"/>
                <w:highlight w:val="none"/>
                <w:lang w:val="en-US" w:eastAsia="zh-CN"/>
                <w14:textFill>
                  <w14:solidFill>
                    <w14:schemeClr w14:val="tx1"/>
                  </w14:solidFill>
                </w14:textFill>
              </w:rPr>
              <w:t>；</w:t>
            </w:r>
          </w:p>
          <w:p w14:paraId="1E505ABA">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0.053</w:t>
            </w:r>
            <w:r>
              <w:rPr>
                <w:rFonts w:hint="eastAsia"/>
                <w:color w:val="000000" w:themeColor="text1"/>
                <w:highlight w:val="none"/>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常数，（psia-ft）</w:t>
            </w:r>
            <w:r>
              <w:rPr>
                <w:rFonts w:hint="default"/>
                <w:color w:val="000000" w:themeColor="text1"/>
                <w:highlight w:val="none"/>
                <w:vertAlign w:val="superscript"/>
                <w:lang w:val="en-US" w:eastAsia="zh-CN"/>
                <w14:textFill>
                  <w14:solidFill>
                    <w14:schemeClr w14:val="tx1"/>
                  </w14:solidFill>
                </w14:textFill>
              </w:rPr>
              <w:t>-1</w:t>
            </w:r>
            <w:r>
              <w:rPr>
                <w:rFonts w:hint="default"/>
                <w:color w:val="000000" w:themeColor="text1"/>
                <w:highlight w:val="none"/>
                <w:lang w:val="en-US" w:eastAsia="zh-CN"/>
                <w14:textFill>
                  <w14:solidFill>
                    <w14:schemeClr w14:val="tx1"/>
                  </w14:solidFill>
                </w14:textFill>
              </w:rPr>
              <w:t>。</w:t>
            </w:r>
          </w:p>
          <w:p w14:paraId="70F83DF3">
            <w:pPr>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f.</w:t>
            </w:r>
            <w:r>
              <w:rPr>
                <w:rFonts w:hint="default" w:ascii="Times New Roman" w:hAnsi="Times New Roman" w:eastAsia="宋体" w:cs="Times New Roman"/>
                <w:color w:val="000000" w:themeColor="text1"/>
                <w:highlight w:val="none"/>
                <w:u w:val="none"/>
                <w14:textFill>
                  <w14:solidFill>
                    <w14:schemeClr w14:val="tx1"/>
                  </w14:solidFill>
                </w14:textFill>
              </w:rPr>
              <w:t>气相密度，W</w:t>
            </w:r>
            <w:r>
              <w:rPr>
                <w:rFonts w:hint="default" w:ascii="Times New Roman" w:hAnsi="Times New Roman" w:eastAsia="宋体" w:cs="Times New Roman"/>
                <w:color w:val="000000" w:themeColor="text1"/>
                <w:highlight w:val="none"/>
                <w:u w:val="none"/>
                <w:vertAlign w:val="subscript"/>
                <w14:textFill>
                  <w14:solidFill>
                    <w14:schemeClr w14:val="tx1"/>
                  </w14:solidFill>
                </w14:textFill>
              </w:rPr>
              <w:t>V</w:t>
            </w:r>
            <w:r>
              <w:rPr>
                <w:rFonts w:hint="eastAsia" w:ascii="Times New Roman" w:hAnsi="Times New Roman" w:eastAsia="宋体" w:cs="Times New Roman"/>
                <w:color w:val="000000" w:themeColor="text1"/>
                <w:highlight w:val="none"/>
                <w:u w:val="none"/>
                <w:vertAlign w:val="baseline"/>
                <w:lang w:eastAsia="zh-CN"/>
                <w14:textFill>
                  <w14:solidFill>
                    <w14:schemeClr w14:val="tx1"/>
                  </w14:solidFill>
                </w14:textFill>
              </w:rPr>
              <w:t>：</w:t>
            </w:r>
          </w:p>
          <w:p w14:paraId="45F94A20">
            <w:pPr>
              <w:ind w:left="0" w:leftChars="0" w:firstLine="0" w:firstLineChars="0"/>
              <w:jc w:val="center"/>
              <w:rPr>
                <w:rFonts w:hint="default"/>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959485" cy="453390"/>
                  <wp:effectExtent l="0" t="0" r="12065" b="3810"/>
                  <wp:docPr id="14" name="图片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97"/>
                          <pic:cNvPicPr>
                            <a:picLocks noChangeAspect="1"/>
                          </pic:cNvPicPr>
                        </pic:nvPicPr>
                        <pic:blipFill>
                          <a:blip r:embed="rId31"/>
                          <a:stretch>
                            <a:fillRect/>
                          </a:stretch>
                        </pic:blipFill>
                        <pic:spPr>
                          <a:xfrm>
                            <a:off x="0" y="0"/>
                            <a:ext cx="959485" cy="453390"/>
                          </a:xfrm>
                          <a:prstGeom prst="rect">
                            <a:avLst/>
                          </a:prstGeom>
                          <a:noFill/>
                          <a:ln>
                            <a:noFill/>
                          </a:ln>
                        </pic:spPr>
                      </pic:pic>
                    </a:graphicData>
                  </a:graphic>
                </wp:inline>
              </w:drawing>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公式12</w:t>
            </w:r>
            <w:r>
              <w:rPr>
                <w:rFonts w:hint="eastAsia"/>
                <w:color w:val="000000" w:themeColor="text1"/>
                <w:highlight w:val="none"/>
                <w:lang w:eastAsia="zh-CN"/>
                <w14:textFill>
                  <w14:solidFill>
                    <w14:schemeClr w14:val="tx1"/>
                  </w14:solidFill>
                </w14:textFill>
              </w:rPr>
              <w:t>）</w:t>
            </w:r>
          </w:p>
          <w:p w14:paraId="1819837C">
            <w:pPr>
              <w:rPr>
                <w:rFonts w:hint="default"/>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式中：</w:t>
            </w:r>
          </w:p>
          <w:p w14:paraId="34BEBFA7">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W</w:t>
            </w:r>
            <w:r>
              <w:rPr>
                <w:rFonts w:hint="default"/>
                <w:color w:val="000000" w:themeColor="text1"/>
                <w:highlight w:val="none"/>
                <w:vertAlign w:val="subscript"/>
                <w:lang w:val="en-US" w:eastAsia="zh-CN"/>
                <w14:textFill>
                  <w14:solidFill>
                    <w14:schemeClr w14:val="tx1"/>
                  </w14:solidFill>
                </w14:textFill>
              </w:rPr>
              <w:t>V</w:t>
            </w:r>
            <w:r>
              <w:rPr>
                <w:rFonts w:hint="eastAsia"/>
                <w:color w:val="000000" w:themeColor="text1"/>
                <w:highlight w:val="none"/>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气相密度，lb/ft</w:t>
            </w:r>
            <w:r>
              <w:rPr>
                <w:rFonts w:hint="default"/>
                <w:color w:val="000000" w:themeColor="text1"/>
                <w:highlight w:val="none"/>
                <w:vertAlign w:val="superscript"/>
                <w:lang w:val="en-US" w:eastAsia="zh-CN"/>
                <w14:textFill>
                  <w14:solidFill>
                    <w14:schemeClr w14:val="tx1"/>
                  </w14:solidFill>
                </w14:textFill>
              </w:rPr>
              <w:t>3</w:t>
            </w:r>
            <w:r>
              <w:rPr>
                <w:rFonts w:hint="default"/>
                <w:color w:val="000000" w:themeColor="text1"/>
                <w:highlight w:val="none"/>
                <w:lang w:val="en-US" w:eastAsia="zh-CN"/>
                <w14:textFill>
                  <w14:solidFill>
                    <w14:schemeClr w14:val="tx1"/>
                  </w14:solidFill>
                </w14:textFill>
              </w:rPr>
              <w:t>；</w:t>
            </w:r>
          </w:p>
          <w:p w14:paraId="1DAE9F80">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M</w:t>
            </w:r>
            <w:r>
              <w:rPr>
                <w:rFonts w:hint="default"/>
                <w:color w:val="000000" w:themeColor="text1"/>
                <w:highlight w:val="none"/>
                <w:vertAlign w:val="subscript"/>
                <w:lang w:val="en-US" w:eastAsia="zh-CN"/>
                <w14:textFill>
                  <w14:solidFill>
                    <w14:schemeClr w14:val="tx1"/>
                  </w14:solidFill>
                </w14:textFill>
              </w:rPr>
              <w:t>V</w:t>
            </w:r>
            <w:r>
              <w:rPr>
                <w:rFonts w:hint="eastAsia"/>
                <w:color w:val="000000" w:themeColor="text1"/>
                <w:highlight w:val="none"/>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气相分子质量，lb/lb-mol；</w:t>
            </w:r>
          </w:p>
          <w:p w14:paraId="34CBD99C">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R</w:t>
            </w:r>
            <w:r>
              <w:rPr>
                <w:rFonts w:hint="eastAsia"/>
                <w:color w:val="000000" w:themeColor="text1"/>
                <w:highlight w:val="none"/>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理想气体状态常数，10.741lb/lb-mol·ft·°R；</w:t>
            </w:r>
          </w:p>
          <w:p w14:paraId="4277C169">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P</w:t>
            </w:r>
            <w:r>
              <w:rPr>
                <w:rFonts w:hint="default"/>
                <w:color w:val="000000" w:themeColor="text1"/>
                <w:highlight w:val="none"/>
                <w:vertAlign w:val="subscript"/>
                <w:lang w:val="en-US" w:eastAsia="zh-CN"/>
                <w14:textFill>
                  <w14:solidFill>
                    <w14:schemeClr w14:val="tx1"/>
                  </w14:solidFill>
                </w14:textFill>
              </w:rPr>
              <w:t>VA</w:t>
            </w:r>
            <w:r>
              <w:rPr>
                <w:rFonts w:hint="eastAsia"/>
                <w:color w:val="000000" w:themeColor="text1"/>
                <w:highlight w:val="none"/>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日平均液面温度下的饱和蒸汽压，psia，见公式</w:t>
            </w:r>
            <w:r>
              <w:rPr>
                <w:rFonts w:hint="eastAsia"/>
                <w:color w:val="000000" w:themeColor="text1"/>
                <w:highlight w:val="none"/>
                <w:lang w:val="en-US" w:eastAsia="zh-CN"/>
                <w14:textFill>
                  <w14:solidFill>
                    <w14:schemeClr w14:val="tx1"/>
                  </w14:solidFill>
                </w14:textFill>
              </w:rPr>
              <w:t>16</w:t>
            </w:r>
            <w:r>
              <w:rPr>
                <w:rFonts w:hint="default"/>
                <w:color w:val="000000" w:themeColor="text1"/>
                <w:highlight w:val="none"/>
                <w:lang w:val="en-US" w:eastAsia="zh-CN"/>
                <w14:textFill>
                  <w14:solidFill>
                    <w14:schemeClr w14:val="tx1"/>
                  </w14:solidFill>
                </w14:textFill>
              </w:rPr>
              <w:t>；</w:t>
            </w:r>
          </w:p>
          <w:p w14:paraId="037EAFA3">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T</w:t>
            </w:r>
            <w:r>
              <w:rPr>
                <w:rFonts w:hint="default"/>
                <w:color w:val="000000" w:themeColor="text1"/>
                <w:highlight w:val="none"/>
                <w:vertAlign w:val="subscript"/>
                <w:lang w:val="en-US" w:eastAsia="zh-CN"/>
                <w14:textFill>
                  <w14:solidFill>
                    <w14:schemeClr w14:val="tx1"/>
                  </w14:solidFill>
                </w14:textFill>
              </w:rPr>
              <w:t>LA</w:t>
            </w:r>
            <w:r>
              <w:rPr>
                <w:rFonts w:hint="eastAsia"/>
                <w:color w:val="000000" w:themeColor="text1"/>
                <w:highlight w:val="none"/>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日平均液体表面温度，°R，取年平均实际储存温度，如无该数据，用公式</w:t>
            </w:r>
            <w:r>
              <w:rPr>
                <w:rFonts w:hint="eastAsia"/>
                <w:color w:val="000000" w:themeColor="text1"/>
                <w:highlight w:val="none"/>
                <w:lang w:val="en-US" w:eastAsia="zh-CN"/>
                <w14:textFill>
                  <w14:solidFill>
                    <w14:schemeClr w14:val="tx1"/>
                  </w14:solidFill>
                </w14:textFill>
              </w:rPr>
              <w:t>13</w:t>
            </w:r>
            <w:r>
              <w:rPr>
                <w:rFonts w:hint="default"/>
                <w:color w:val="000000" w:themeColor="text1"/>
                <w:highlight w:val="none"/>
                <w:lang w:val="en-US" w:eastAsia="zh-CN"/>
                <w14:textFill>
                  <w14:solidFill>
                    <w14:schemeClr w14:val="tx1"/>
                  </w14:solidFill>
                </w14:textFill>
              </w:rPr>
              <w:t>计算T</w:t>
            </w:r>
            <w:r>
              <w:rPr>
                <w:rFonts w:hint="default"/>
                <w:color w:val="000000" w:themeColor="text1"/>
                <w:highlight w:val="none"/>
                <w:vertAlign w:val="subscript"/>
                <w:lang w:val="en-US" w:eastAsia="zh-CN"/>
                <w14:textFill>
                  <w14:solidFill>
                    <w14:schemeClr w14:val="tx1"/>
                  </w14:solidFill>
                </w14:textFill>
              </w:rPr>
              <w:t>LA</w:t>
            </w:r>
            <w:r>
              <w:rPr>
                <w:rFonts w:hint="default"/>
                <w:color w:val="000000" w:themeColor="text1"/>
                <w:highlight w:val="none"/>
                <w:lang w:val="en-US" w:eastAsia="zh-CN"/>
                <w14:textFill>
                  <w14:solidFill>
                    <w14:schemeClr w14:val="tx1"/>
                  </w14:solidFill>
                </w14:textFill>
              </w:rPr>
              <w:t>。</w:t>
            </w:r>
          </w:p>
          <w:p w14:paraId="4021DB24">
            <w:pPr>
              <w:ind w:left="0" w:leftChars="0" w:firstLine="0" w:firstLineChars="0"/>
              <w:jc w:val="center"/>
              <w:rPr>
                <w:rFonts w:hint="default"/>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2476500" cy="287020"/>
                  <wp:effectExtent l="0" t="0" r="0" b="17780"/>
                  <wp:docPr id="15" name="图片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98"/>
                          <pic:cNvPicPr>
                            <a:picLocks noChangeAspect="1"/>
                          </pic:cNvPicPr>
                        </pic:nvPicPr>
                        <pic:blipFill>
                          <a:blip r:embed="rId32"/>
                          <a:stretch>
                            <a:fillRect/>
                          </a:stretch>
                        </pic:blipFill>
                        <pic:spPr>
                          <a:xfrm>
                            <a:off x="0" y="0"/>
                            <a:ext cx="2476500" cy="287020"/>
                          </a:xfrm>
                          <a:prstGeom prst="rect">
                            <a:avLst/>
                          </a:prstGeom>
                          <a:noFill/>
                          <a:ln>
                            <a:noFill/>
                          </a:ln>
                        </pic:spPr>
                      </pic:pic>
                    </a:graphicData>
                  </a:graphic>
                </wp:inline>
              </w:drawing>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公式13</w:t>
            </w:r>
            <w:r>
              <w:rPr>
                <w:rFonts w:hint="eastAsia"/>
                <w:color w:val="000000" w:themeColor="text1"/>
                <w:highlight w:val="none"/>
                <w:lang w:eastAsia="zh-CN"/>
                <w14:textFill>
                  <w14:solidFill>
                    <w14:schemeClr w14:val="tx1"/>
                  </w14:solidFill>
                </w14:textFill>
              </w:rPr>
              <w:t>）</w:t>
            </w:r>
          </w:p>
          <w:p w14:paraId="5473C87F">
            <w:pPr>
              <w:rPr>
                <w:rFonts w:hint="default"/>
                <w:color w:val="000000" w:themeColor="text1"/>
                <w:highlight w:val="none"/>
                <w:lang w:val="en-US" w:eastAsia="zh-CN"/>
                <w14:textFill>
                  <w14:solidFill>
                    <w14:schemeClr w14:val="tx1"/>
                  </w14:solidFill>
                </w14:textFill>
              </w:rPr>
            </w:pPr>
          </w:p>
          <w:p w14:paraId="54D38139">
            <w:pPr>
              <w:ind w:left="0" w:leftChars="0" w:firstLine="0" w:firstLineChars="0"/>
              <w:jc w:val="center"/>
              <w:rPr>
                <w:rFonts w:hint="default"/>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1247775" cy="467995"/>
                  <wp:effectExtent l="0" t="0" r="9525" b="8255"/>
                  <wp:docPr id="16" name="图片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99"/>
                          <pic:cNvPicPr>
                            <a:picLocks noChangeAspect="1"/>
                          </pic:cNvPicPr>
                        </pic:nvPicPr>
                        <pic:blipFill>
                          <a:blip r:embed="rId33"/>
                          <a:stretch>
                            <a:fillRect/>
                          </a:stretch>
                        </pic:blipFill>
                        <pic:spPr>
                          <a:xfrm>
                            <a:off x="0" y="0"/>
                            <a:ext cx="1247775" cy="467995"/>
                          </a:xfrm>
                          <a:prstGeom prst="rect">
                            <a:avLst/>
                          </a:prstGeom>
                          <a:noFill/>
                          <a:ln>
                            <a:noFill/>
                          </a:ln>
                        </pic:spPr>
                      </pic:pic>
                    </a:graphicData>
                  </a:graphic>
                </wp:inline>
              </w:drawing>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公式14</w:t>
            </w:r>
            <w:r>
              <w:rPr>
                <w:rFonts w:hint="eastAsia"/>
                <w:color w:val="000000" w:themeColor="text1"/>
                <w:highlight w:val="none"/>
                <w:lang w:eastAsia="zh-CN"/>
                <w14:textFill>
                  <w14:solidFill>
                    <w14:schemeClr w14:val="tx1"/>
                  </w14:solidFill>
                </w14:textFill>
              </w:rPr>
              <w:t>）</w:t>
            </w:r>
          </w:p>
          <w:p w14:paraId="4018F8C5">
            <w:pPr>
              <w:ind w:left="0" w:leftChars="0" w:firstLine="0" w:firstLineChars="0"/>
              <w:jc w:val="center"/>
              <w:rPr>
                <w:rFonts w:hint="default"/>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1143635" cy="275590"/>
                  <wp:effectExtent l="0" t="0" r="18415" b="10160"/>
                  <wp:docPr id="17" name="图片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00"/>
                          <pic:cNvPicPr>
                            <a:picLocks noChangeAspect="1"/>
                          </pic:cNvPicPr>
                        </pic:nvPicPr>
                        <pic:blipFill>
                          <a:blip r:embed="rId34"/>
                          <a:stretch>
                            <a:fillRect/>
                          </a:stretch>
                        </pic:blipFill>
                        <pic:spPr>
                          <a:xfrm>
                            <a:off x="0" y="0"/>
                            <a:ext cx="1143635" cy="275590"/>
                          </a:xfrm>
                          <a:prstGeom prst="rect">
                            <a:avLst/>
                          </a:prstGeom>
                          <a:noFill/>
                          <a:ln>
                            <a:noFill/>
                          </a:ln>
                        </pic:spPr>
                      </pic:pic>
                    </a:graphicData>
                  </a:graphic>
                </wp:inline>
              </w:drawing>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公式15</w:t>
            </w:r>
            <w:r>
              <w:rPr>
                <w:rFonts w:hint="eastAsia"/>
                <w:color w:val="000000" w:themeColor="text1"/>
                <w:highlight w:val="none"/>
                <w:lang w:eastAsia="zh-CN"/>
                <w14:textFill>
                  <w14:solidFill>
                    <w14:schemeClr w14:val="tx1"/>
                  </w14:solidFill>
                </w14:textFill>
              </w:rPr>
              <w:t>）</w:t>
            </w:r>
          </w:p>
          <w:p w14:paraId="0219876D">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式中：</w:t>
            </w:r>
          </w:p>
          <w:p w14:paraId="5A6841DF">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T</w:t>
            </w:r>
            <w:r>
              <w:rPr>
                <w:rFonts w:hint="default"/>
                <w:color w:val="000000" w:themeColor="text1"/>
                <w:highlight w:val="none"/>
                <w:vertAlign w:val="subscript"/>
                <w:lang w:val="en-US" w:eastAsia="zh-CN"/>
                <w14:textFill>
                  <w14:solidFill>
                    <w14:schemeClr w14:val="tx1"/>
                  </w14:solidFill>
                </w14:textFill>
              </w:rPr>
              <w:t>LA</w:t>
            </w:r>
            <w:r>
              <w:rPr>
                <w:rFonts w:hint="eastAsia"/>
                <w:color w:val="000000" w:themeColor="text1"/>
                <w:highlight w:val="none"/>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日平均液体表面温度，°R；</w:t>
            </w:r>
          </w:p>
          <w:p w14:paraId="3B5D81BA">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T</w:t>
            </w:r>
            <w:r>
              <w:rPr>
                <w:rFonts w:hint="default"/>
                <w:color w:val="000000" w:themeColor="text1"/>
                <w:highlight w:val="none"/>
                <w:vertAlign w:val="subscript"/>
                <w:lang w:val="en-US" w:eastAsia="zh-CN"/>
                <w14:textFill>
                  <w14:solidFill>
                    <w14:schemeClr w14:val="tx1"/>
                  </w14:solidFill>
                </w14:textFill>
              </w:rPr>
              <w:t>AA</w:t>
            </w:r>
            <w:r>
              <w:rPr>
                <w:rFonts w:hint="eastAsia"/>
                <w:color w:val="000000" w:themeColor="text1"/>
                <w:highlight w:val="none"/>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日平均环境温度，°R；</w:t>
            </w:r>
          </w:p>
          <w:p w14:paraId="3B1A02AE">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T</w:t>
            </w:r>
            <w:r>
              <w:rPr>
                <w:rFonts w:hint="default"/>
                <w:color w:val="000000" w:themeColor="text1"/>
                <w:highlight w:val="none"/>
                <w:vertAlign w:val="subscript"/>
                <w:lang w:val="en-US" w:eastAsia="zh-CN"/>
                <w14:textFill>
                  <w14:solidFill>
                    <w14:schemeClr w14:val="tx1"/>
                  </w14:solidFill>
                </w14:textFill>
              </w:rPr>
              <w:t>AX</w:t>
            </w:r>
            <w:r>
              <w:rPr>
                <w:rFonts w:hint="eastAsia"/>
                <w:color w:val="000000" w:themeColor="text1"/>
                <w:highlight w:val="none"/>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计算月的日最高环境温度，°R；</w:t>
            </w:r>
          </w:p>
          <w:p w14:paraId="530A4AEB">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T</w:t>
            </w:r>
            <w:r>
              <w:rPr>
                <w:rFonts w:hint="default"/>
                <w:color w:val="000000" w:themeColor="text1"/>
                <w:highlight w:val="none"/>
                <w:vertAlign w:val="subscript"/>
                <w:lang w:val="en-US" w:eastAsia="zh-CN"/>
                <w14:textFill>
                  <w14:solidFill>
                    <w14:schemeClr w14:val="tx1"/>
                  </w14:solidFill>
                </w14:textFill>
              </w:rPr>
              <w:t>AN</w:t>
            </w:r>
            <w:r>
              <w:rPr>
                <w:rFonts w:hint="eastAsia"/>
                <w:color w:val="000000" w:themeColor="text1"/>
                <w:highlight w:val="none"/>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计算月的日最低环境温度，°R。</w:t>
            </w:r>
          </w:p>
          <w:p w14:paraId="5765427B">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T</w:t>
            </w:r>
            <w:r>
              <w:rPr>
                <w:rFonts w:hint="default"/>
                <w:color w:val="000000" w:themeColor="text1"/>
                <w:highlight w:val="none"/>
                <w:vertAlign w:val="subscript"/>
                <w:lang w:val="en-US" w:eastAsia="zh-CN"/>
                <w14:textFill>
                  <w14:solidFill>
                    <w14:schemeClr w14:val="tx1"/>
                  </w14:solidFill>
                </w14:textFill>
              </w:rPr>
              <w:t>B</w:t>
            </w:r>
            <w:r>
              <w:rPr>
                <w:rFonts w:hint="eastAsia"/>
                <w:color w:val="000000" w:themeColor="text1"/>
                <w:highlight w:val="none"/>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储液主体温度，°R；</w:t>
            </w:r>
          </w:p>
          <w:p w14:paraId="42B042F8">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α</w:t>
            </w:r>
            <w:r>
              <w:rPr>
                <w:rFonts w:hint="eastAsia"/>
                <w:color w:val="000000" w:themeColor="text1"/>
                <w:highlight w:val="none"/>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罐漆太阳能吸收率，无量纲量，见</w:t>
            </w:r>
            <w:r>
              <w:rPr>
                <w:rFonts w:hint="default"/>
                <w:color w:val="000000" w:themeColor="text1"/>
                <w:highlight w:val="none"/>
                <w:lang w:val="en-US" w:eastAsia="zh-CN"/>
                <w14:textFill>
                  <w14:solidFill>
                    <w14:schemeClr w14:val="tx1"/>
                  </w14:solidFill>
                </w14:textFill>
              </w:rPr>
              <w:fldChar w:fldCharType="begin"/>
            </w:r>
            <w:r>
              <w:rPr>
                <w:rFonts w:hint="default"/>
                <w:color w:val="000000" w:themeColor="text1"/>
                <w:highlight w:val="none"/>
                <w:lang w:val="en-US" w:eastAsia="zh-CN"/>
                <w14:textFill>
                  <w14:solidFill>
                    <w14:schemeClr w14:val="tx1"/>
                  </w14:solidFill>
                </w14:textFill>
              </w:rPr>
              <w:instrText xml:space="preserve"> REF _Ref20058 \n \h </w:instrText>
            </w:r>
            <w:r>
              <w:rPr>
                <w:rFonts w:hint="default"/>
                <w:color w:val="000000" w:themeColor="text1"/>
                <w:highlight w:val="none"/>
                <w:lang w:val="en-US" w:eastAsia="zh-CN"/>
                <w14:textFill>
                  <w14:solidFill>
                    <w14:schemeClr w14:val="tx1"/>
                  </w14:solidFill>
                </w14:textFill>
              </w:rPr>
              <w:fldChar w:fldCharType="separate"/>
            </w:r>
            <w:r>
              <w:rPr>
                <w:rFonts w:hint="default"/>
                <w:color w:val="000000" w:themeColor="text1"/>
                <w:highlight w:val="none"/>
                <w:lang w:val="en-US" w:eastAsia="zh-CN"/>
                <w14:textFill>
                  <w14:solidFill>
                    <w14:schemeClr w14:val="tx1"/>
                  </w14:solidFill>
                </w14:textFill>
              </w:rPr>
              <w:t>表4.1-10</w:t>
            </w:r>
            <w:r>
              <w:rPr>
                <w:rFonts w:hint="default"/>
                <w:color w:val="000000" w:themeColor="text1"/>
                <w:highlight w:val="none"/>
                <w:lang w:val="en-US" w:eastAsia="zh-CN"/>
                <w14:textFill>
                  <w14:solidFill>
                    <w14:schemeClr w14:val="tx1"/>
                  </w14:solidFill>
                </w14:textFill>
              </w:rPr>
              <w:fldChar w:fldCharType="end"/>
            </w:r>
            <w:r>
              <w:rPr>
                <w:rFonts w:hint="default"/>
                <w:color w:val="000000" w:themeColor="text1"/>
                <w:highlight w:val="none"/>
                <w:lang w:val="en-US" w:eastAsia="zh-CN"/>
                <w14:textFill>
                  <w14:solidFill>
                    <w14:schemeClr w14:val="tx1"/>
                  </w14:solidFill>
                </w14:textFill>
              </w:rPr>
              <w:t>；</w:t>
            </w:r>
          </w:p>
          <w:p w14:paraId="3BA839B0">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I</w:t>
            </w:r>
            <w:r>
              <w:rPr>
                <w:rFonts w:hint="eastAsia"/>
                <w:color w:val="000000" w:themeColor="text1"/>
                <w:highlight w:val="none"/>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太阳辐射强度，Btu/ft</w:t>
            </w:r>
            <w:r>
              <w:rPr>
                <w:rFonts w:hint="default"/>
                <w:color w:val="000000" w:themeColor="text1"/>
                <w:highlight w:val="none"/>
                <w:vertAlign w:val="superscript"/>
                <w:lang w:val="en-US" w:eastAsia="zh-CN"/>
                <w14:textFill>
                  <w14:solidFill>
                    <w14:schemeClr w14:val="tx1"/>
                  </w14:solidFill>
                </w14:textFill>
              </w:rPr>
              <w:t>2</w:t>
            </w:r>
            <w:r>
              <w:rPr>
                <w:rFonts w:hint="default"/>
                <w:color w:val="000000" w:themeColor="text1"/>
                <w:highlight w:val="none"/>
                <w:lang w:val="en-US" w:eastAsia="zh-CN"/>
                <w14:textFill>
                  <w14:solidFill>
                    <w14:schemeClr w14:val="tx1"/>
                  </w14:solidFill>
                </w14:textFill>
              </w:rPr>
              <w:t>·day</w:t>
            </w:r>
            <w:r>
              <w:rPr>
                <w:rFonts w:hint="eastAsia"/>
                <w:color w:val="000000" w:themeColor="text1"/>
                <w:highlight w:val="none"/>
                <w:lang w:val="en-US" w:eastAsia="zh-CN"/>
                <w14:textFill>
                  <w14:solidFill>
                    <w14:schemeClr w14:val="tx1"/>
                  </w14:solidFill>
                </w14:textFill>
              </w:rPr>
              <w:t>。</w:t>
            </w:r>
          </w:p>
          <w:p w14:paraId="070D9722">
            <w:pPr>
              <w:rPr>
                <w:rFonts w:hint="eastAsia" w:eastAsia="宋体"/>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14:textFill>
                  <w14:solidFill>
                    <w14:schemeClr w14:val="tx1"/>
                  </w14:solidFill>
                </w14:textFill>
              </w:rPr>
              <w:t>单一物质（如苯、对二甲苯）的日平均液体表面蒸气压，采用安托因方程计算</w:t>
            </w:r>
            <w:r>
              <w:rPr>
                <w:rFonts w:hint="eastAsia" w:ascii="Times New Roman" w:hAnsi="Times New Roman" w:eastAsia="宋体" w:cs="Times New Roman"/>
                <w:color w:val="000000" w:themeColor="text1"/>
                <w:highlight w:val="none"/>
                <w:u w:val="none"/>
                <w:lang w:eastAsia="zh-CN"/>
                <w14:textFill>
                  <w14:solidFill>
                    <w14:schemeClr w14:val="tx1"/>
                  </w14:solidFill>
                </w14:textFill>
              </w:rPr>
              <w:t>：</w:t>
            </w:r>
          </w:p>
          <w:p w14:paraId="62284648">
            <w:pPr>
              <w:ind w:left="0" w:leftChars="0"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1879600" cy="709930"/>
                  <wp:effectExtent l="0" t="0" r="6350" b="13970"/>
                  <wp:docPr id="18" name="图片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01"/>
                          <pic:cNvPicPr>
                            <a:picLocks noChangeAspect="1"/>
                          </pic:cNvPicPr>
                        </pic:nvPicPr>
                        <pic:blipFill>
                          <a:blip r:embed="rId35"/>
                          <a:stretch>
                            <a:fillRect/>
                          </a:stretch>
                        </pic:blipFill>
                        <pic:spPr>
                          <a:xfrm>
                            <a:off x="0" y="0"/>
                            <a:ext cx="1879600" cy="709930"/>
                          </a:xfrm>
                          <a:prstGeom prst="rect">
                            <a:avLst/>
                          </a:prstGeom>
                          <a:noFill/>
                          <a:ln>
                            <a:noFill/>
                          </a:ln>
                        </pic:spPr>
                      </pic:pic>
                    </a:graphicData>
                  </a:graphic>
                </wp:inline>
              </w:drawing>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公式16</w:t>
            </w:r>
            <w:r>
              <w:rPr>
                <w:rFonts w:hint="eastAsia"/>
                <w:color w:val="000000" w:themeColor="text1"/>
                <w:highlight w:val="none"/>
                <w:lang w:eastAsia="zh-CN"/>
                <w14:textFill>
                  <w14:solidFill>
                    <w14:schemeClr w14:val="tx1"/>
                  </w14:solidFill>
                </w14:textFill>
              </w:rPr>
              <w:t>）</w:t>
            </w:r>
          </w:p>
          <w:p w14:paraId="34A8D5C3">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式中：</w:t>
            </w:r>
          </w:p>
          <w:p w14:paraId="1E675114">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A、B、C</w:t>
            </w:r>
            <w:r>
              <w:rPr>
                <w:rFonts w:hint="eastAsia"/>
                <w:color w:val="000000" w:themeColor="text1"/>
                <w:highlight w:val="none"/>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为安托因常数；</w:t>
            </w:r>
          </w:p>
          <w:p w14:paraId="16B9F4E6">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T</w:t>
            </w:r>
            <w:r>
              <w:rPr>
                <w:rFonts w:hint="default"/>
                <w:color w:val="000000" w:themeColor="text1"/>
                <w:highlight w:val="none"/>
                <w:vertAlign w:val="subscript"/>
                <w:lang w:val="en-US" w:eastAsia="zh-CN"/>
                <w14:textFill>
                  <w14:solidFill>
                    <w14:schemeClr w14:val="tx1"/>
                  </w14:solidFill>
                </w14:textFill>
              </w:rPr>
              <w:t>LA</w:t>
            </w:r>
            <w:r>
              <w:rPr>
                <w:rFonts w:hint="eastAsia"/>
                <w:color w:val="000000" w:themeColor="text1"/>
                <w:highlight w:val="none"/>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日平均液体表面温度，℃；</w:t>
            </w:r>
          </w:p>
          <w:p w14:paraId="3DCF5C6C">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P</w:t>
            </w:r>
            <w:r>
              <w:rPr>
                <w:rFonts w:hint="default"/>
                <w:color w:val="000000" w:themeColor="text1"/>
                <w:highlight w:val="none"/>
                <w:vertAlign w:val="subscript"/>
                <w:lang w:val="en-US" w:eastAsia="zh-CN"/>
                <w14:textFill>
                  <w14:solidFill>
                    <w14:schemeClr w14:val="tx1"/>
                  </w14:solidFill>
                </w14:textFill>
              </w:rPr>
              <w:t>VA</w:t>
            </w:r>
            <w:r>
              <w:rPr>
                <w:rFonts w:hint="eastAsia"/>
                <w:color w:val="000000" w:themeColor="text1"/>
                <w:highlight w:val="none"/>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平均液体表面温度下的蒸汽压，psia；</w:t>
            </w:r>
          </w:p>
          <w:p w14:paraId="1AC95C71">
            <w:pP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根据上述公式计算乙醇静置损失，计算参数和计算结果详见</w:t>
            </w:r>
            <w:r>
              <w:rPr>
                <w:rFonts w:hint="eastAsia"/>
                <w:color w:val="000000" w:themeColor="text1"/>
                <w:highlight w:val="none"/>
                <w:lang w:val="en-US" w:eastAsia="zh-CN"/>
                <w14:textFill>
                  <w14:solidFill>
                    <w14:schemeClr w14:val="tx1"/>
                  </w14:solidFill>
                </w14:textFill>
              </w:rPr>
              <w:fldChar w:fldCharType="begin"/>
            </w:r>
            <w:r>
              <w:rPr>
                <w:rFonts w:hint="eastAsia"/>
                <w:color w:val="000000" w:themeColor="text1"/>
                <w:highlight w:val="none"/>
                <w:lang w:val="en-US" w:eastAsia="zh-CN"/>
                <w14:textFill>
                  <w14:solidFill>
                    <w14:schemeClr w14:val="tx1"/>
                  </w14:solidFill>
                </w14:textFill>
              </w:rPr>
              <w:instrText xml:space="preserve"> REF _Ref20198 \n \h </w:instrText>
            </w:r>
            <w:r>
              <w:rPr>
                <w:rFonts w:hint="eastAsia"/>
                <w:color w:val="000000" w:themeColor="text1"/>
                <w:highlight w:val="none"/>
                <w:lang w:val="en-US" w:eastAsia="zh-CN"/>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表4.1-11</w:t>
            </w:r>
            <w:r>
              <w:rPr>
                <w:rFonts w:hint="eastAsia"/>
                <w:color w:val="000000" w:themeColor="text1"/>
                <w:highlight w:val="none"/>
                <w:lang w:val="en-US" w:eastAsia="zh-CN"/>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w:t>
            </w:r>
          </w:p>
          <w:p w14:paraId="44F5B9CE">
            <w:pPr>
              <w:pStyle w:val="30"/>
              <w:bidi w:val="0"/>
              <w:rPr>
                <w:rFonts w:hint="default"/>
                <w:color w:val="000000" w:themeColor="text1"/>
                <w:highlight w:val="none"/>
                <w:lang w:val="en-US" w:eastAsia="zh-CN"/>
                <w14:textFill>
                  <w14:solidFill>
                    <w14:schemeClr w14:val="tx1"/>
                  </w14:solidFill>
                </w14:textFill>
              </w:rPr>
            </w:pPr>
            <w:bookmarkStart w:id="179" w:name="_Ref20198"/>
            <w:r>
              <w:rPr>
                <w:rFonts w:hint="default"/>
                <w:color w:val="000000" w:themeColor="text1"/>
                <w:highlight w:val="none"/>
                <w:lang w:val="en-US" w:eastAsia="zh-CN"/>
                <w14:textFill>
                  <w14:solidFill>
                    <w14:schemeClr w14:val="tx1"/>
                  </w14:solidFill>
                </w14:textFill>
              </w:rPr>
              <w:t>乙醇储罐</w:t>
            </w:r>
            <w:r>
              <w:rPr>
                <w:rFonts w:hint="eastAsia"/>
                <w:color w:val="000000" w:themeColor="text1"/>
                <w:highlight w:val="none"/>
                <w:lang w:val="en-US" w:eastAsia="zh-CN"/>
                <w14:textFill>
                  <w14:solidFill>
                    <w14:schemeClr w14:val="tx1"/>
                  </w14:solidFill>
                </w14:textFill>
              </w:rPr>
              <w:t>静置损失</w:t>
            </w:r>
            <w:r>
              <w:rPr>
                <w:rFonts w:hint="default"/>
                <w:color w:val="000000" w:themeColor="text1"/>
                <w:highlight w:val="none"/>
                <w:lang w:val="en-US" w:eastAsia="zh-CN"/>
                <w14:textFill>
                  <w14:solidFill>
                    <w14:schemeClr w14:val="tx1"/>
                  </w14:solidFill>
                </w14:textFill>
              </w:rPr>
              <w:t>计算参数和计算结果</w:t>
            </w:r>
            <w:r>
              <w:rPr>
                <w:rFonts w:hint="eastAsia"/>
                <w:color w:val="000000" w:themeColor="text1"/>
                <w:highlight w:val="none"/>
                <w:lang w:val="en-US" w:eastAsia="zh-CN"/>
                <w14:textFill>
                  <w14:solidFill>
                    <w14:schemeClr w14:val="tx1"/>
                  </w14:solidFill>
                </w14:textFill>
              </w:rPr>
              <w:t>（一期工程）</w:t>
            </w:r>
            <w:bookmarkEnd w:id="179"/>
          </w:p>
          <w:tbl>
            <w:tblPr>
              <w:tblStyle w:val="1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910"/>
              <w:gridCol w:w="5673"/>
            </w:tblGrid>
            <w:tr w14:paraId="11B4C3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tcBorders>
                    <w:tl2br w:val="nil"/>
                    <w:tr2bl w:val="nil"/>
                  </w:tcBorders>
                  <w:noWrap w:val="0"/>
                  <w:vAlign w:val="center"/>
                </w:tcPr>
                <w:p w14:paraId="6F77CEA6">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序号</w:t>
                  </w:r>
                </w:p>
              </w:tc>
              <w:tc>
                <w:tcPr>
                  <w:tcW w:w="4565" w:type="pct"/>
                  <w:gridSpan w:val="2"/>
                  <w:tcBorders>
                    <w:tl2br w:val="nil"/>
                    <w:tr2bl w:val="nil"/>
                  </w:tcBorders>
                  <w:noWrap w:val="0"/>
                  <w:vAlign w:val="center"/>
                </w:tcPr>
                <w:p w14:paraId="39377986">
                  <w:pPr>
                    <w:pStyle w:val="26"/>
                    <w:bidi w:val="0"/>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静置损失</w:t>
                  </w:r>
                </w:p>
              </w:tc>
            </w:tr>
            <w:tr w14:paraId="57F756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tcBorders>
                    <w:tl2br w:val="nil"/>
                    <w:tr2bl w:val="nil"/>
                  </w:tcBorders>
                  <w:noWrap w:val="0"/>
                  <w:vAlign w:val="center"/>
                </w:tcPr>
                <w:p w14:paraId="1C15A15C">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w:t>
                  </w:r>
                </w:p>
              </w:tc>
              <w:tc>
                <w:tcPr>
                  <w:tcW w:w="1150" w:type="pct"/>
                  <w:tcBorders>
                    <w:tl2br w:val="nil"/>
                    <w:tr2bl w:val="nil"/>
                  </w:tcBorders>
                  <w:noWrap w:val="0"/>
                  <w:vAlign w:val="center"/>
                </w:tcPr>
                <w:p w14:paraId="0B2945FD">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储罐规格</w:t>
                  </w:r>
                </w:p>
              </w:tc>
              <w:tc>
                <w:tcPr>
                  <w:tcW w:w="3415" w:type="pct"/>
                  <w:tcBorders>
                    <w:tl2br w:val="nil"/>
                    <w:tr2bl w:val="nil"/>
                  </w:tcBorders>
                  <w:noWrap w:val="0"/>
                  <w:vAlign w:val="center"/>
                </w:tcPr>
                <w:p w14:paraId="36E0B908">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1.5 m</w:t>
                  </w:r>
                  <w:r>
                    <w:rPr>
                      <w:rFonts w:hint="eastAsia"/>
                      <w:color w:val="000000" w:themeColor="text1"/>
                      <w:highlight w:val="none"/>
                      <w:vertAlign w:val="superscript"/>
                      <w:lang w:val="en-US" w:eastAsia="zh-CN" w:bidi="ar-SA"/>
                      <w14:textFill>
                        <w14:solidFill>
                          <w14:schemeClr w14:val="tx1"/>
                        </w14:solidFill>
                      </w14:textFill>
                    </w:rPr>
                    <w:t>3</w:t>
                  </w:r>
                  <w:r>
                    <w:rPr>
                      <w:rFonts w:hint="eastAsia"/>
                      <w:color w:val="000000" w:themeColor="text1"/>
                      <w:highlight w:val="none"/>
                      <w:lang w:val="en-US" w:eastAsia="zh-CN" w:bidi="ar-SA"/>
                      <w14:textFill>
                        <w14:solidFill>
                          <w14:schemeClr w14:val="tx1"/>
                        </w14:solidFill>
                      </w14:textFill>
                    </w:rPr>
                    <w:t>乙醇储罐</w:t>
                  </w:r>
                </w:p>
              </w:tc>
            </w:tr>
            <w:tr w14:paraId="0143BA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tcBorders>
                    <w:tl2br w:val="nil"/>
                    <w:tr2bl w:val="nil"/>
                  </w:tcBorders>
                  <w:noWrap w:val="0"/>
                  <w:vAlign w:val="center"/>
                </w:tcPr>
                <w:p w14:paraId="2721737E">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2</w:t>
                  </w:r>
                </w:p>
              </w:tc>
              <w:tc>
                <w:tcPr>
                  <w:tcW w:w="1150" w:type="pct"/>
                  <w:tcBorders>
                    <w:tl2br w:val="nil"/>
                    <w:tr2bl w:val="nil"/>
                  </w:tcBorders>
                  <w:noWrap w:val="0"/>
                  <w:vAlign w:val="center"/>
                </w:tcPr>
                <w:p w14:paraId="29812686">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储罐类型</w:t>
                  </w:r>
                </w:p>
              </w:tc>
              <w:tc>
                <w:tcPr>
                  <w:tcW w:w="3415" w:type="pct"/>
                  <w:tcBorders>
                    <w:tl2br w:val="nil"/>
                    <w:tr2bl w:val="nil"/>
                  </w:tcBorders>
                  <w:noWrap w:val="0"/>
                  <w:vAlign w:val="center"/>
                </w:tcPr>
                <w:p w14:paraId="740BC800">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固定顶罐</w:t>
                  </w:r>
                </w:p>
              </w:tc>
            </w:tr>
            <w:tr w14:paraId="2D7DED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tcBorders>
                    <w:tl2br w:val="nil"/>
                    <w:tr2bl w:val="nil"/>
                  </w:tcBorders>
                  <w:noWrap w:val="0"/>
                  <w:vAlign w:val="center"/>
                </w:tcPr>
                <w:p w14:paraId="4305A0B0">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3</w:t>
                  </w:r>
                </w:p>
              </w:tc>
              <w:tc>
                <w:tcPr>
                  <w:tcW w:w="1150" w:type="pct"/>
                  <w:tcBorders>
                    <w:tl2br w:val="nil"/>
                    <w:tr2bl w:val="nil"/>
                  </w:tcBorders>
                  <w:noWrap w:val="0"/>
                  <w:vAlign w:val="center"/>
                </w:tcPr>
                <w:p w14:paraId="3108E1BE">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数量（个）</w:t>
                  </w:r>
                </w:p>
              </w:tc>
              <w:tc>
                <w:tcPr>
                  <w:tcW w:w="3415" w:type="pct"/>
                  <w:tcBorders>
                    <w:tl2br w:val="nil"/>
                    <w:tr2bl w:val="nil"/>
                  </w:tcBorders>
                  <w:noWrap w:val="0"/>
                  <w:vAlign w:val="center"/>
                </w:tcPr>
                <w:p w14:paraId="66BFE75E">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2</w:t>
                  </w:r>
                </w:p>
              </w:tc>
            </w:tr>
            <w:tr w14:paraId="1509E0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tcBorders>
                    <w:tl2br w:val="nil"/>
                    <w:tr2bl w:val="nil"/>
                  </w:tcBorders>
                  <w:noWrap w:val="0"/>
                  <w:vAlign w:val="center"/>
                </w:tcPr>
                <w:p w14:paraId="4E04C969">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4</w:t>
                  </w:r>
                </w:p>
              </w:tc>
              <w:tc>
                <w:tcPr>
                  <w:tcW w:w="1150" w:type="pct"/>
                  <w:tcBorders>
                    <w:tl2br w:val="nil"/>
                    <w:tr2bl w:val="nil"/>
                  </w:tcBorders>
                  <w:noWrap w:val="0"/>
                  <w:vAlign w:val="center"/>
                </w:tcPr>
                <w:p w14:paraId="494B2DD8">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储罐尺寸（m）</w:t>
                  </w:r>
                </w:p>
              </w:tc>
              <w:tc>
                <w:tcPr>
                  <w:tcW w:w="3415" w:type="pct"/>
                  <w:tcBorders>
                    <w:tl2br w:val="nil"/>
                    <w:tr2bl w:val="nil"/>
                  </w:tcBorders>
                  <w:noWrap w:val="0"/>
                  <w:vAlign w:val="center"/>
                </w:tcPr>
                <w:p w14:paraId="13F5ED44">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直径×高：1.20×1.50</w:t>
                  </w:r>
                </w:p>
              </w:tc>
            </w:tr>
            <w:tr w14:paraId="116A99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tcBorders>
                    <w:tl2br w:val="nil"/>
                    <w:tr2bl w:val="nil"/>
                  </w:tcBorders>
                  <w:noWrap w:val="0"/>
                  <w:vAlign w:val="center"/>
                </w:tcPr>
                <w:p w14:paraId="559BC49E">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5</w:t>
                  </w:r>
                </w:p>
              </w:tc>
              <w:tc>
                <w:tcPr>
                  <w:tcW w:w="1150" w:type="pct"/>
                  <w:tcBorders>
                    <w:tl2br w:val="nil"/>
                    <w:tr2bl w:val="nil"/>
                  </w:tcBorders>
                  <w:noWrap w:val="0"/>
                  <w:vAlign w:val="center"/>
                </w:tcPr>
                <w:p w14:paraId="01F84A5A">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Vv（</w:t>
                  </w:r>
                  <w:r>
                    <w:rPr>
                      <w:rFonts w:hint="default"/>
                      <w:color w:val="000000" w:themeColor="text1"/>
                      <w:highlight w:val="none"/>
                      <w:lang w:val="en-US" w:eastAsia="zh-CN" w:bidi="ar-SA"/>
                      <w14:textFill>
                        <w14:solidFill>
                          <w14:schemeClr w14:val="tx1"/>
                        </w14:solidFill>
                      </w14:textFill>
                    </w:rPr>
                    <w:t>ft</w:t>
                  </w:r>
                  <w:r>
                    <w:rPr>
                      <w:rFonts w:hint="default"/>
                      <w:color w:val="000000" w:themeColor="text1"/>
                      <w:highlight w:val="none"/>
                      <w:vertAlign w:val="superscript"/>
                      <w:lang w:val="en-US" w:eastAsia="zh-CN" w:bidi="ar-SA"/>
                      <w14:textFill>
                        <w14:solidFill>
                          <w14:schemeClr w14:val="tx1"/>
                        </w14:solidFill>
                      </w14:textFill>
                    </w:rPr>
                    <w:t>3</w:t>
                  </w:r>
                  <w:r>
                    <w:rPr>
                      <w:rFonts w:hint="eastAsia"/>
                      <w:color w:val="000000" w:themeColor="text1"/>
                      <w:highlight w:val="none"/>
                      <w:lang w:val="en-US" w:eastAsia="zh-CN" w:bidi="ar-SA"/>
                      <w14:textFill>
                        <w14:solidFill>
                          <w14:schemeClr w14:val="tx1"/>
                        </w14:solidFill>
                      </w14:textFill>
                    </w:rPr>
                    <w:t>）</w:t>
                  </w:r>
                </w:p>
              </w:tc>
              <w:tc>
                <w:tcPr>
                  <w:tcW w:w="5673" w:type="dxa"/>
                  <w:tcBorders>
                    <w:tl2br w:val="nil"/>
                    <w:tr2bl w:val="nil"/>
                  </w:tcBorders>
                  <w:noWrap w:val="0"/>
                  <w:vAlign w:val="center"/>
                </w:tcPr>
                <w:p w14:paraId="72BBDE8C">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51.88</w:t>
                  </w:r>
                </w:p>
              </w:tc>
            </w:tr>
            <w:tr w14:paraId="32439D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tcBorders>
                    <w:tl2br w:val="nil"/>
                    <w:tr2bl w:val="nil"/>
                  </w:tcBorders>
                  <w:noWrap w:val="0"/>
                  <w:vAlign w:val="center"/>
                </w:tcPr>
                <w:p w14:paraId="6F81A68E">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6</w:t>
                  </w:r>
                </w:p>
              </w:tc>
              <w:tc>
                <w:tcPr>
                  <w:tcW w:w="1150" w:type="pct"/>
                  <w:tcBorders>
                    <w:tl2br w:val="nil"/>
                    <w:tr2bl w:val="nil"/>
                  </w:tcBorders>
                  <w:noWrap w:val="0"/>
                  <w:vAlign w:val="center"/>
                </w:tcPr>
                <w:p w14:paraId="1F4BD3AE">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H</w:t>
                  </w:r>
                  <w:r>
                    <w:rPr>
                      <w:rFonts w:hint="eastAsia"/>
                      <w:color w:val="000000" w:themeColor="text1"/>
                      <w:highlight w:val="none"/>
                      <w:vertAlign w:val="subscript"/>
                      <w:lang w:val="en-US" w:eastAsia="zh-CN" w:bidi="ar-SA"/>
                      <w14:textFill>
                        <w14:solidFill>
                          <w14:schemeClr w14:val="tx1"/>
                        </w14:solidFill>
                      </w14:textFill>
                    </w:rPr>
                    <w:t>VO</w:t>
                  </w:r>
                  <w:r>
                    <w:rPr>
                      <w:rFonts w:hint="eastAsia"/>
                      <w:color w:val="000000" w:themeColor="text1"/>
                      <w:highlight w:val="none"/>
                      <w:vertAlign w:val="baseline"/>
                      <w:lang w:val="en-US" w:eastAsia="zh-CN" w:bidi="ar-SA"/>
                      <w14:textFill>
                        <w14:solidFill>
                          <w14:schemeClr w14:val="tx1"/>
                        </w14:solidFill>
                      </w14:textFill>
                    </w:rPr>
                    <w:t>（ft）</w:t>
                  </w:r>
                </w:p>
              </w:tc>
              <w:tc>
                <w:tcPr>
                  <w:tcW w:w="5673" w:type="dxa"/>
                  <w:tcBorders>
                    <w:tl2br w:val="nil"/>
                    <w:tr2bl w:val="nil"/>
                  </w:tcBorders>
                  <w:noWrap w:val="0"/>
                  <w:vAlign w:val="center"/>
                </w:tcPr>
                <w:p w14:paraId="427DF5CD">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4.26</w:t>
                  </w:r>
                </w:p>
              </w:tc>
            </w:tr>
            <w:tr w14:paraId="69A010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tcBorders>
                    <w:tl2br w:val="nil"/>
                    <w:tr2bl w:val="nil"/>
                  </w:tcBorders>
                  <w:noWrap w:val="0"/>
                  <w:vAlign w:val="center"/>
                </w:tcPr>
                <w:p w14:paraId="5EE54A8C">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7</w:t>
                  </w:r>
                </w:p>
              </w:tc>
              <w:tc>
                <w:tcPr>
                  <w:tcW w:w="1150" w:type="pct"/>
                  <w:tcBorders>
                    <w:tl2br w:val="nil"/>
                    <w:tr2bl w:val="nil"/>
                  </w:tcBorders>
                  <w:noWrap w:val="0"/>
                  <w:vAlign w:val="center"/>
                </w:tcPr>
                <w:p w14:paraId="1D7726A5">
                  <w:pPr>
                    <w:pStyle w:val="26"/>
                    <w:bidi w:val="0"/>
                    <w:ind w:firstLine="0" w:firstLineChars="0"/>
                    <w:jc w:val="center"/>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H</w:t>
                  </w:r>
                  <w:r>
                    <w:rPr>
                      <w:rFonts w:hint="eastAsia"/>
                      <w:color w:val="000000" w:themeColor="text1"/>
                      <w:highlight w:val="none"/>
                      <w:vertAlign w:val="subscript"/>
                      <w:lang w:val="en-US" w:eastAsia="zh-CN" w:bidi="ar-SA"/>
                      <w14:textFill>
                        <w14:solidFill>
                          <w14:schemeClr w14:val="tx1"/>
                        </w14:solidFill>
                      </w14:textFill>
                    </w:rPr>
                    <w:t>S</w:t>
                  </w:r>
                  <w:r>
                    <w:rPr>
                      <w:rFonts w:hint="eastAsia"/>
                      <w:color w:val="000000" w:themeColor="text1"/>
                      <w:highlight w:val="none"/>
                      <w:vertAlign w:val="baseline"/>
                      <w:lang w:val="en-US" w:eastAsia="zh-CN" w:bidi="ar-SA"/>
                      <w14:textFill>
                        <w14:solidFill>
                          <w14:schemeClr w14:val="tx1"/>
                        </w14:solidFill>
                      </w14:textFill>
                    </w:rPr>
                    <w:t>（ft）</w:t>
                  </w:r>
                </w:p>
              </w:tc>
              <w:tc>
                <w:tcPr>
                  <w:tcW w:w="5673" w:type="dxa"/>
                  <w:tcBorders>
                    <w:tl2br w:val="nil"/>
                    <w:tr2bl w:val="nil"/>
                  </w:tcBorders>
                  <w:noWrap w:val="0"/>
                  <w:vAlign w:val="center"/>
                </w:tcPr>
                <w:p w14:paraId="26DE32FE">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4.92</w:t>
                  </w:r>
                </w:p>
              </w:tc>
            </w:tr>
            <w:tr w14:paraId="497CCF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tcBorders>
                    <w:tl2br w:val="nil"/>
                    <w:tr2bl w:val="nil"/>
                  </w:tcBorders>
                  <w:noWrap w:val="0"/>
                  <w:vAlign w:val="center"/>
                </w:tcPr>
                <w:p w14:paraId="11400C8F">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8</w:t>
                  </w:r>
                </w:p>
              </w:tc>
              <w:tc>
                <w:tcPr>
                  <w:tcW w:w="1150" w:type="pct"/>
                  <w:tcBorders>
                    <w:tl2br w:val="nil"/>
                    <w:tr2bl w:val="nil"/>
                  </w:tcBorders>
                  <w:noWrap w:val="0"/>
                  <w:vAlign w:val="center"/>
                </w:tcPr>
                <w:p w14:paraId="0F114D82">
                  <w:pPr>
                    <w:pStyle w:val="26"/>
                    <w:bidi w:val="0"/>
                    <w:ind w:firstLine="0" w:firstLineChars="0"/>
                    <w:jc w:val="center"/>
                    <w:rPr>
                      <w:rFonts w:hint="eastAsia"/>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H</w:t>
                  </w:r>
                  <w:r>
                    <w:rPr>
                      <w:rFonts w:hint="default"/>
                      <w:color w:val="000000" w:themeColor="text1"/>
                      <w:highlight w:val="none"/>
                      <w:vertAlign w:val="subscript"/>
                      <w:lang w:val="en-US" w:eastAsia="zh-CN" w:bidi="ar-SA"/>
                      <w14:textFill>
                        <w14:solidFill>
                          <w14:schemeClr w14:val="tx1"/>
                        </w14:solidFill>
                      </w14:textFill>
                    </w:rPr>
                    <w:t>L</w:t>
                  </w:r>
                  <w:r>
                    <w:rPr>
                      <w:rFonts w:hint="eastAsia"/>
                      <w:color w:val="000000" w:themeColor="text1"/>
                      <w:highlight w:val="none"/>
                      <w:vertAlign w:val="baseline"/>
                      <w:lang w:val="en-US" w:eastAsia="zh-CN" w:bidi="ar-SA"/>
                      <w14:textFill>
                        <w14:solidFill>
                          <w14:schemeClr w14:val="tx1"/>
                        </w14:solidFill>
                      </w14:textFill>
                    </w:rPr>
                    <w:t>（ft）</w:t>
                  </w:r>
                </w:p>
              </w:tc>
              <w:tc>
                <w:tcPr>
                  <w:tcW w:w="5673" w:type="dxa"/>
                  <w:tcBorders>
                    <w:tl2br w:val="nil"/>
                    <w:tr2bl w:val="nil"/>
                  </w:tcBorders>
                  <w:noWrap w:val="0"/>
                  <w:vAlign w:val="center"/>
                </w:tcPr>
                <w:p w14:paraId="346E8A81">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3.936</w:t>
                  </w:r>
                </w:p>
              </w:tc>
            </w:tr>
            <w:tr w14:paraId="0C235E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tcBorders>
                    <w:tl2br w:val="nil"/>
                    <w:tr2bl w:val="nil"/>
                  </w:tcBorders>
                  <w:noWrap w:val="0"/>
                  <w:vAlign w:val="center"/>
                </w:tcPr>
                <w:p w14:paraId="1CEC998E">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9</w:t>
                  </w:r>
                </w:p>
              </w:tc>
              <w:tc>
                <w:tcPr>
                  <w:tcW w:w="1150" w:type="pct"/>
                  <w:tcBorders>
                    <w:tl2br w:val="nil"/>
                    <w:tr2bl w:val="nil"/>
                  </w:tcBorders>
                  <w:noWrap w:val="0"/>
                  <w:vAlign w:val="center"/>
                </w:tcPr>
                <w:p w14:paraId="67B3DEF3">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H</w:t>
                  </w:r>
                  <w:r>
                    <w:rPr>
                      <w:rFonts w:hint="eastAsia"/>
                      <w:color w:val="000000" w:themeColor="text1"/>
                      <w:highlight w:val="none"/>
                      <w:vertAlign w:val="subscript"/>
                      <w:lang w:val="en-US" w:eastAsia="zh-CN" w:bidi="ar-SA"/>
                      <w14:textFill>
                        <w14:solidFill>
                          <w14:schemeClr w14:val="tx1"/>
                        </w14:solidFill>
                      </w14:textFill>
                    </w:rPr>
                    <w:t>RO</w:t>
                  </w:r>
                  <w:r>
                    <w:rPr>
                      <w:rFonts w:hint="eastAsia"/>
                      <w:color w:val="000000" w:themeColor="text1"/>
                      <w:highlight w:val="none"/>
                      <w:vertAlign w:val="baseline"/>
                      <w:lang w:val="en-US" w:eastAsia="zh-CN" w:bidi="ar-SA"/>
                      <w14:textFill>
                        <w14:solidFill>
                          <w14:schemeClr w14:val="tx1"/>
                        </w14:solidFill>
                      </w14:textFill>
                    </w:rPr>
                    <w:t>（ft）</w:t>
                  </w:r>
                </w:p>
              </w:tc>
              <w:tc>
                <w:tcPr>
                  <w:tcW w:w="5673" w:type="dxa"/>
                  <w:tcBorders>
                    <w:tl2br w:val="nil"/>
                    <w:tr2bl w:val="nil"/>
                  </w:tcBorders>
                  <w:noWrap w:val="0"/>
                  <w:vAlign w:val="center"/>
                </w:tcPr>
                <w:p w14:paraId="6D99A9B4">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3.28</w:t>
                  </w:r>
                </w:p>
              </w:tc>
            </w:tr>
            <w:tr w14:paraId="4A9B53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tcBorders>
                    <w:tl2br w:val="nil"/>
                    <w:tr2bl w:val="nil"/>
                  </w:tcBorders>
                  <w:noWrap w:val="0"/>
                  <w:vAlign w:val="center"/>
                </w:tcPr>
                <w:p w14:paraId="4D40C53D">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10</w:t>
                  </w:r>
                </w:p>
              </w:tc>
              <w:tc>
                <w:tcPr>
                  <w:tcW w:w="1150" w:type="pct"/>
                  <w:tcBorders>
                    <w:tl2br w:val="nil"/>
                    <w:tr2bl w:val="nil"/>
                  </w:tcBorders>
                  <w:noWrap w:val="0"/>
                  <w:vAlign w:val="center"/>
                </w:tcPr>
                <w:p w14:paraId="0E61EC2A">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H</w:t>
                  </w:r>
                  <w:r>
                    <w:rPr>
                      <w:rFonts w:hint="eastAsia"/>
                      <w:color w:val="000000" w:themeColor="text1"/>
                      <w:highlight w:val="none"/>
                      <w:vertAlign w:val="subscript"/>
                      <w:lang w:val="en-US" w:eastAsia="zh-CN" w:bidi="ar-SA"/>
                      <w14:textFill>
                        <w14:solidFill>
                          <w14:schemeClr w14:val="tx1"/>
                        </w14:solidFill>
                      </w14:textFill>
                    </w:rPr>
                    <w:t>R</w:t>
                  </w:r>
                  <w:r>
                    <w:rPr>
                      <w:rFonts w:hint="eastAsia"/>
                      <w:color w:val="000000" w:themeColor="text1"/>
                      <w:highlight w:val="none"/>
                      <w:vertAlign w:val="baseline"/>
                      <w:lang w:val="en-US" w:eastAsia="zh-CN" w:bidi="ar-SA"/>
                      <w14:textFill>
                        <w14:solidFill>
                          <w14:schemeClr w14:val="tx1"/>
                        </w14:solidFill>
                      </w14:textFill>
                    </w:rPr>
                    <w:t>（ft）</w:t>
                  </w:r>
                </w:p>
              </w:tc>
              <w:tc>
                <w:tcPr>
                  <w:tcW w:w="5673" w:type="dxa"/>
                  <w:tcBorders>
                    <w:tl2br w:val="nil"/>
                    <w:tr2bl w:val="nil"/>
                  </w:tcBorders>
                  <w:noWrap w:val="0"/>
                  <w:vAlign w:val="center"/>
                </w:tcPr>
                <w:p w14:paraId="00739CDA">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4.92</w:t>
                  </w:r>
                </w:p>
              </w:tc>
            </w:tr>
            <w:tr w14:paraId="05A571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tcBorders>
                    <w:tl2br w:val="nil"/>
                    <w:tr2bl w:val="nil"/>
                  </w:tcBorders>
                  <w:noWrap w:val="0"/>
                  <w:vAlign w:val="center"/>
                </w:tcPr>
                <w:p w14:paraId="7E396EDE">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11</w:t>
                  </w:r>
                </w:p>
              </w:tc>
              <w:tc>
                <w:tcPr>
                  <w:tcW w:w="1150" w:type="pct"/>
                  <w:tcBorders>
                    <w:tl2br w:val="nil"/>
                    <w:tr2bl w:val="nil"/>
                  </w:tcBorders>
                  <w:noWrap w:val="0"/>
                  <w:vAlign w:val="center"/>
                </w:tcPr>
                <w:p w14:paraId="172ED273">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K</w:t>
                  </w:r>
                  <w:r>
                    <w:rPr>
                      <w:rFonts w:hint="eastAsia"/>
                      <w:color w:val="000000" w:themeColor="text1"/>
                      <w:highlight w:val="none"/>
                      <w:vertAlign w:val="subscript"/>
                      <w:lang w:val="en-US" w:eastAsia="zh-CN" w:bidi="ar-SA"/>
                      <w14:textFill>
                        <w14:solidFill>
                          <w14:schemeClr w14:val="tx1"/>
                        </w14:solidFill>
                      </w14:textFill>
                    </w:rPr>
                    <w:t>E</w:t>
                  </w:r>
                </w:p>
              </w:tc>
              <w:tc>
                <w:tcPr>
                  <w:tcW w:w="5673" w:type="dxa"/>
                  <w:tcBorders>
                    <w:tl2br w:val="nil"/>
                    <w:tr2bl w:val="nil"/>
                  </w:tcBorders>
                  <w:noWrap w:val="0"/>
                  <w:vAlign w:val="center"/>
                </w:tcPr>
                <w:p w14:paraId="521015E0">
                  <w:pPr>
                    <w:pStyle w:val="26"/>
                    <w:bidi w:val="0"/>
                    <w:jc w:val="center"/>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0.69</w:t>
                  </w:r>
                </w:p>
              </w:tc>
            </w:tr>
            <w:tr w14:paraId="07ACB5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tcBorders>
                    <w:tl2br w:val="nil"/>
                    <w:tr2bl w:val="nil"/>
                  </w:tcBorders>
                  <w:noWrap w:val="0"/>
                  <w:vAlign w:val="center"/>
                </w:tcPr>
                <w:p w14:paraId="75B3E0E2">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12</w:t>
                  </w:r>
                </w:p>
              </w:tc>
              <w:tc>
                <w:tcPr>
                  <w:tcW w:w="1150" w:type="pct"/>
                  <w:tcBorders>
                    <w:tl2br w:val="nil"/>
                    <w:tr2bl w:val="nil"/>
                  </w:tcBorders>
                  <w:noWrap w:val="0"/>
                  <w:vAlign w:val="center"/>
                </w:tcPr>
                <w:p w14:paraId="498CE395">
                  <w:pPr>
                    <w:pStyle w:val="26"/>
                    <w:bidi w:val="0"/>
                    <w:ind w:firstLine="0" w:firstLineChars="0"/>
                    <w:jc w:val="center"/>
                    <w:rPr>
                      <w:rFonts w:hint="eastAsia" w:eastAsia="宋体"/>
                      <w:color w:val="000000" w:themeColor="text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bidi="ar-SA"/>
                      <w14:textFill>
                        <w14:solidFill>
                          <w14:schemeClr w14:val="tx1"/>
                        </w14:solidFill>
                      </w14:textFill>
                    </w:rPr>
                    <w:t>T</w:t>
                  </w:r>
                  <w:r>
                    <w:rPr>
                      <w:rFonts w:hint="default" w:ascii="Times New Roman" w:hAnsi="Times New Roman" w:eastAsia="宋体" w:cs="Times New Roman"/>
                      <w:color w:val="000000" w:themeColor="text1"/>
                      <w:highlight w:val="none"/>
                      <w:u w:val="none"/>
                      <w:vertAlign w:val="subscript"/>
                      <w:lang w:val="en-US" w:eastAsia="zh-CN" w:bidi="ar-SA"/>
                      <w14:textFill>
                        <w14:solidFill>
                          <w14:schemeClr w14:val="tx1"/>
                        </w14:solidFill>
                      </w14:textFill>
                    </w:rPr>
                    <w:t>AX</w:t>
                  </w:r>
                  <w:r>
                    <w:rPr>
                      <w:rFonts w:hint="eastAsia" w:ascii="Times New Roman" w:hAnsi="Times New Roman" w:eastAsia="宋体" w:cs="Times New Roman"/>
                      <w:color w:val="000000" w:themeColor="text1"/>
                      <w:highlight w:val="none"/>
                      <w:u w:val="none"/>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highlight w:val="none"/>
                      <w:u w:val="none"/>
                      <w:lang w:val="en-US" w:eastAsia="zh-CN" w:bidi="ar-SA"/>
                      <w14:textFill>
                        <w14:solidFill>
                          <w14:schemeClr w14:val="tx1"/>
                        </w14:solidFill>
                      </w14:textFill>
                    </w:rPr>
                    <w:t>T</w:t>
                  </w:r>
                  <w:r>
                    <w:rPr>
                      <w:rFonts w:hint="default" w:ascii="Times New Roman" w:hAnsi="Times New Roman" w:eastAsia="宋体" w:cs="Times New Roman"/>
                      <w:color w:val="000000" w:themeColor="text1"/>
                      <w:highlight w:val="none"/>
                      <w:u w:val="none"/>
                      <w:vertAlign w:val="subscript"/>
                      <w:lang w:val="en-US" w:eastAsia="zh-CN" w:bidi="ar-SA"/>
                      <w14:textFill>
                        <w14:solidFill>
                          <w14:schemeClr w14:val="tx1"/>
                        </w14:solidFill>
                      </w14:textFill>
                    </w:rPr>
                    <w:t>AN</w:t>
                  </w:r>
                  <w:r>
                    <w:rPr>
                      <w:rFonts w:hint="eastAsia"/>
                      <w:color w:val="000000" w:themeColor="text1"/>
                      <w:highlight w:val="none"/>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highlight w:val="none"/>
                      <w:u w:val="none"/>
                      <w:lang w:val="en-US" w:eastAsia="zh-CN" w:bidi="ar-SA"/>
                      <w14:textFill>
                        <w14:solidFill>
                          <w14:schemeClr w14:val="tx1"/>
                        </w14:solidFill>
                      </w14:textFill>
                    </w:rPr>
                    <w:t>°R</w:t>
                  </w:r>
                  <w:r>
                    <w:rPr>
                      <w:rFonts w:hint="eastAsia"/>
                      <w:color w:val="000000" w:themeColor="text1"/>
                      <w:highlight w:val="none"/>
                      <w:vertAlign w:val="baseline"/>
                      <w:lang w:val="en-US" w:eastAsia="zh-CN" w:bidi="ar-SA"/>
                      <w14:textFill>
                        <w14:solidFill>
                          <w14:schemeClr w14:val="tx1"/>
                        </w14:solidFill>
                      </w14:textFill>
                    </w:rPr>
                    <w:t>）</w:t>
                  </w:r>
                </w:p>
              </w:tc>
              <w:tc>
                <w:tcPr>
                  <w:tcW w:w="5673" w:type="dxa"/>
                  <w:tcBorders>
                    <w:tl2br w:val="nil"/>
                    <w:tr2bl w:val="nil"/>
                  </w:tcBorders>
                  <w:noWrap w:val="0"/>
                  <w:vAlign w:val="center"/>
                </w:tcPr>
                <w:p w14:paraId="5DF9379B">
                  <w:pPr>
                    <w:pStyle w:val="26"/>
                    <w:bidi w:val="0"/>
                    <w:jc w:val="center"/>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518.67</w:t>
                  </w:r>
                </w:p>
              </w:tc>
            </w:tr>
            <w:tr w14:paraId="2C16B6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tcBorders>
                    <w:tl2br w:val="nil"/>
                    <w:tr2bl w:val="nil"/>
                  </w:tcBorders>
                  <w:noWrap w:val="0"/>
                  <w:vAlign w:val="center"/>
                </w:tcPr>
                <w:p w14:paraId="18BC6C8B">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13</w:t>
                  </w:r>
                </w:p>
              </w:tc>
              <w:tc>
                <w:tcPr>
                  <w:tcW w:w="1150" w:type="pct"/>
                  <w:tcBorders>
                    <w:tl2br w:val="nil"/>
                    <w:tr2bl w:val="nil"/>
                  </w:tcBorders>
                  <w:noWrap w:val="0"/>
                  <w:vAlign w:val="center"/>
                </w:tcPr>
                <w:p w14:paraId="16D5D432">
                  <w:pPr>
                    <w:pStyle w:val="26"/>
                    <w:bidi w:val="0"/>
                    <w:ind w:firstLine="0" w:firstLineChars="0"/>
                    <w:jc w:val="center"/>
                    <w:rPr>
                      <w:rFonts w:hint="eastAsia"/>
                      <w:color w:val="000000" w:themeColor="text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bidi="ar-SA"/>
                      <w14:textFill>
                        <w14:solidFill>
                          <w14:schemeClr w14:val="tx1"/>
                        </w14:solidFill>
                      </w14:textFill>
                    </w:rPr>
                    <w:t>α</w:t>
                  </w:r>
                </w:p>
              </w:tc>
              <w:tc>
                <w:tcPr>
                  <w:tcW w:w="5673" w:type="dxa"/>
                  <w:tcBorders>
                    <w:tl2br w:val="nil"/>
                    <w:tr2bl w:val="nil"/>
                  </w:tcBorders>
                  <w:noWrap w:val="0"/>
                  <w:vAlign w:val="center"/>
                </w:tcPr>
                <w:p w14:paraId="3D9AD9A0">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0.34</w:t>
                  </w:r>
                </w:p>
              </w:tc>
            </w:tr>
            <w:tr w14:paraId="29F289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tcBorders>
                    <w:tl2br w:val="nil"/>
                    <w:tr2bl w:val="nil"/>
                  </w:tcBorders>
                  <w:noWrap w:val="0"/>
                  <w:vAlign w:val="center"/>
                </w:tcPr>
                <w:p w14:paraId="5B3E5DAA">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14</w:t>
                  </w:r>
                </w:p>
              </w:tc>
              <w:tc>
                <w:tcPr>
                  <w:tcW w:w="1150" w:type="pct"/>
                  <w:tcBorders>
                    <w:tl2br w:val="nil"/>
                    <w:tr2bl w:val="nil"/>
                  </w:tcBorders>
                  <w:noWrap w:val="0"/>
                  <w:vAlign w:val="center"/>
                </w:tcPr>
                <w:p w14:paraId="25FDC4AA">
                  <w:pPr>
                    <w:pStyle w:val="26"/>
                    <w:bidi w:val="0"/>
                    <w:ind w:firstLine="0" w:firstLineChars="0"/>
                    <w:jc w:val="center"/>
                    <w:rPr>
                      <w:rFonts w:hint="eastAsia" w:eastAsia="宋体"/>
                      <w:color w:val="000000" w:themeColor="text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bidi="ar-SA"/>
                      <w14:textFill>
                        <w14:solidFill>
                          <w14:schemeClr w14:val="tx1"/>
                        </w14:solidFill>
                      </w14:textFill>
                    </w:rPr>
                    <w:t>I</w:t>
                  </w:r>
                  <w:r>
                    <w:rPr>
                      <w:rFonts w:hint="eastAsia" w:ascii="Times New Roman" w:hAnsi="Times New Roman" w:eastAsia="宋体" w:cs="Times New Roman"/>
                      <w:color w:val="000000" w:themeColor="text1"/>
                      <w:highlight w:val="none"/>
                      <w:u w:val="none"/>
                      <w:lang w:val="en-US" w:eastAsia="zh-CN" w:bidi="ar-SA"/>
                      <w14:textFill>
                        <w14:solidFill>
                          <w14:schemeClr w14:val="tx1"/>
                        </w14:solidFill>
                      </w14:textFill>
                    </w:rPr>
                    <w:t>（</w:t>
                  </w:r>
                  <w:r>
                    <w:rPr>
                      <w:rFonts w:hint="default" w:ascii="Times New Roman" w:hAnsi="Times New Roman" w:eastAsia="宋体" w:cs="Times New Roman"/>
                      <w:color w:val="000000" w:themeColor="text1"/>
                      <w:highlight w:val="none"/>
                      <w:u w:val="none"/>
                      <w:lang w:val="en-US" w:eastAsia="zh-CN" w:bidi="ar-SA"/>
                      <w14:textFill>
                        <w14:solidFill>
                          <w14:schemeClr w14:val="tx1"/>
                        </w14:solidFill>
                      </w14:textFill>
                    </w:rPr>
                    <w:t>Btu/ft</w:t>
                  </w:r>
                  <w:r>
                    <w:rPr>
                      <w:rFonts w:hint="default" w:ascii="Times New Roman" w:hAnsi="Times New Roman" w:eastAsia="宋体" w:cs="Times New Roman"/>
                      <w:color w:val="000000" w:themeColor="text1"/>
                      <w:highlight w:val="none"/>
                      <w:u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highlight w:val="none"/>
                      <w:u w:val="none"/>
                      <w:lang w:val="en-US" w:eastAsia="zh-CN" w:bidi="ar-SA"/>
                      <w14:textFill>
                        <w14:solidFill>
                          <w14:schemeClr w14:val="tx1"/>
                        </w14:solidFill>
                      </w14:textFill>
                    </w:rPr>
                    <w:t>·day</w:t>
                  </w:r>
                  <w:r>
                    <w:rPr>
                      <w:rFonts w:hint="eastAsia" w:ascii="Times New Roman" w:hAnsi="Times New Roman" w:eastAsia="宋体" w:cs="Times New Roman"/>
                      <w:color w:val="000000" w:themeColor="text1"/>
                      <w:highlight w:val="none"/>
                      <w:u w:val="none"/>
                      <w:lang w:val="en-US" w:eastAsia="zh-CN" w:bidi="ar-SA"/>
                      <w14:textFill>
                        <w14:solidFill>
                          <w14:schemeClr w14:val="tx1"/>
                        </w14:solidFill>
                      </w14:textFill>
                    </w:rPr>
                    <w:t>）</w:t>
                  </w:r>
                </w:p>
              </w:tc>
              <w:tc>
                <w:tcPr>
                  <w:tcW w:w="5673" w:type="dxa"/>
                  <w:tcBorders>
                    <w:tl2br w:val="nil"/>
                    <w:tr2bl w:val="nil"/>
                  </w:tcBorders>
                  <w:noWrap w:val="0"/>
                  <w:vAlign w:val="center"/>
                </w:tcPr>
                <w:p w14:paraId="25388C90">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1243</w:t>
                  </w:r>
                </w:p>
              </w:tc>
            </w:tr>
            <w:tr w14:paraId="2EA01D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tcBorders>
                    <w:tl2br w:val="nil"/>
                    <w:tr2bl w:val="nil"/>
                  </w:tcBorders>
                  <w:noWrap w:val="0"/>
                  <w:vAlign w:val="center"/>
                </w:tcPr>
                <w:p w14:paraId="5CA87A7C">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15</w:t>
                  </w:r>
                </w:p>
              </w:tc>
              <w:tc>
                <w:tcPr>
                  <w:tcW w:w="1150" w:type="pct"/>
                  <w:tcBorders>
                    <w:tl2br w:val="nil"/>
                    <w:tr2bl w:val="nil"/>
                  </w:tcBorders>
                  <w:noWrap w:val="0"/>
                  <w:vAlign w:val="center"/>
                </w:tcPr>
                <w:p w14:paraId="266EDEDD">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Ks</w:t>
                  </w:r>
                  <w:r>
                    <w:rPr>
                      <w:rFonts w:hint="eastAsia"/>
                      <w:color w:val="000000" w:themeColor="text1"/>
                      <w:highlight w:val="none"/>
                      <w:vertAlign w:val="baseline"/>
                      <w:lang w:val="en-US" w:eastAsia="zh-CN" w:bidi="ar-SA"/>
                      <w14:textFill>
                        <w14:solidFill>
                          <w14:schemeClr w14:val="tx1"/>
                        </w14:solidFill>
                      </w14:textFill>
                    </w:rPr>
                    <w:t>（</w:t>
                  </w:r>
                  <w:r>
                    <w:rPr>
                      <w:rFonts w:hint="eastAsia"/>
                      <w:color w:val="000000" w:themeColor="text1"/>
                      <w:highlight w:val="none"/>
                      <w:lang w:val="en-US" w:eastAsia="zh-CN" w:bidi="ar-SA"/>
                      <w14:textFill>
                        <w14:solidFill>
                          <w14:schemeClr w14:val="tx1"/>
                        </w14:solidFill>
                      </w14:textFill>
                    </w:rPr>
                    <w:t>lb/ft</w:t>
                  </w:r>
                  <w:r>
                    <w:rPr>
                      <w:rFonts w:hint="eastAsia"/>
                      <w:color w:val="000000" w:themeColor="text1"/>
                      <w:highlight w:val="none"/>
                      <w:vertAlign w:val="superscript"/>
                      <w:lang w:val="en-US" w:eastAsia="zh-CN" w:bidi="ar-SA"/>
                      <w14:textFill>
                        <w14:solidFill>
                          <w14:schemeClr w14:val="tx1"/>
                        </w14:solidFill>
                      </w14:textFill>
                    </w:rPr>
                    <w:t>2</w:t>
                  </w:r>
                  <w:r>
                    <w:rPr>
                      <w:rFonts w:hint="eastAsia"/>
                      <w:color w:val="000000" w:themeColor="text1"/>
                      <w:highlight w:val="none"/>
                      <w:vertAlign w:val="baseline"/>
                      <w:lang w:val="en-US" w:eastAsia="zh-CN" w:bidi="ar-SA"/>
                      <w14:textFill>
                        <w14:solidFill>
                          <w14:schemeClr w14:val="tx1"/>
                        </w14:solidFill>
                      </w14:textFill>
                    </w:rPr>
                    <w:t>）</w:t>
                  </w:r>
                </w:p>
              </w:tc>
              <w:tc>
                <w:tcPr>
                  <w:tcW w:w="5673" w:type="dxa"/>
                  <w:tcBorders>
                    <w:tl2br w:val="nil"/>
                    <w:tr2bl w:val="nil"/>
                  </w:tcBorders>
                  <w:noWrap w:val="0"/>
                  <w:vAlign w:val="center"/>
                </w:tcPr>
                <w:p w14:paraId="4D326506">
                  <w:pPr>
                    <w:pStyle w:val="26"/>
                    <w:bidi w:val="0"/>
                    <w:jc w:val="center"/>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0.84</w:t>
                  </w:r>
                </w:p>
              </w:tc>
            </w:tr>
            <w:tr w14:paraId="28263A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tcBorders>
                    <w:tl2br w:val="nil"/>
                    <w:tr2bl w:val="nil"/>
                  </w:tcBorders>
                  <w:noWrap w:val="0"/>
                  <w:vAlign w:val="center"/>
                </w:tcPr>
                <w:p w14:paraId="27FF7B6F">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16</w:t>
                  </w:r>
                </w:p>
              </w:tc>
              <w:tc>
                <w:tcPr>
                  <w:tcW w:w="1150" w:type="pct"/>
                  <w:tcBorders>
                    <w:tl2br w:val="nil"/>
                    <w:tr2bl w:val="nil"/>
                  </w:tcBorders>
                  <w:noWrap w:val="0"/>
                  <w:vAlign w:val="center"/>
                </w:tcPr>
                <w:p w14:paraId="7EC2AE2C">
                  <w:pPr>
                    <w:pStyle w:val="26"/>
                    <w:bidi w:val="0"/>
                    <w:ind w:firstLine="0" w:firstLineChars="0"/>
                    <w:jc w:val="center"/>
                    <w:rPr>
                      <w:rFonts w:hint="eastAsia"/>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P</w:t>
                  </w:r>
                  <w:r>
                    <w:rPr>
                      <w:rFonts w:hint="default"/>
                      <w:color w:val="000000" w:themeColor="text1"/>
                      <w:highlight w:val="none"/>
                      <w:vertAlign w:val="subscript"/>
                      <w:lang w:val="en-US" w:eastAsia="zh-CN" w:bidi="ar-SA"/>
                      <w14:textFill>
                        <w14:solidFill>
                          <w14:schemeClr w14:val="tx1"/>
                        </w14:solidFill>
                      </w14:textFill>
                    </w:rPr>
                    <w:t>VA</w:t>
                  </w:r>
                  <w:r>
                    <w:rPr>
                      <w:rFonts w:hint="eastAsia"/>
                      <w:color w:val="000000" w:themeColor="text1"/>
                      <w:highlight w:val="none"/>
                      <w:vertAlign w:val="baseline"/>
                      <w:lang w:val="en-US" w:eastAsia="zh-CN" w:bidi="ar-SA"/>
                      <w14:textFill>
                        <w14:solidFill>
                          <w14:schemeClr w14:val="tx1"/>
                        </w14:solidFill>
                      </w14:textFill>
                    </w:rPr>
                    <w:t>（</w:t>
                  </w:r>
                  <w:r>
                    <w:rPr>
                      <w:rFonts w:hint="default"/>
                      <w:color w:val="000000" w:themeColor="text1"/>
                      <w:highlight w:val="none"/>
                      <w:vertAlign w:val="baseline"/>
                      <w:lang w:val="en-US" w:eastAsia="zh-CN" w:bidi="ar-SA"/>
                      <w14:textFill>
                        <w14:solidFill>
                          <w14:schemeClr w14:val="tx1"/>
                        </w14:solidFill>
                      </w14:textFill>
                    </w:rPr>
                    <w:t>psia</w:t>
                  </w:r>
                  <w:r>
                    <w:rPr>
                      <w:rFonts w:hint="eastAsia"/>
                      <w:color w:val="000000" w:themeColor="text1"/>
                      <w:highlight w:val="none"/>
                      <w:vertAlign w:val="baseline"/>
                      <w:lang w:val="en-US" w:eastAsia="zh-CN" w:bidi="ar-SA"/>
                      <w14:textFill>
                        <w14:solidFill>
                          <w14:schemeClr w14:val="tx1"/>
                        </w14:solidFill>
                      </w14:textFill>
                    </w:rPr>
                    <w:t>）</w:t>
                  </w:r>
                </w:p>
              </w:tc>
              <w:tc>
                <w:tcPr>
                  <w:tcW w:w="5673" w:type="dxa"/>
                  <w:tcBorders>
                    <w:tl2br w:val="nil"/>
                    <w:tr2bl w:val="nil"/>
                  </w:tcBorders>
                  <w:noWrap w:val="0"/>
                  <w:vAlign w:val="center"/>
                </w:tcPr>
                <w:p w14:paraId="7BC0EA39">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0.84</w:t>
                  </w:r>
                </w:p>
              </w:tc>
            </w:tr>
            <w:tr w14:paraId="066502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tcBorders>
                    <w:tl2br w:val="nil"/>
                    <w:tr2bl w:val="nil"/>
                  </w:tcBorders>
                  <w:noWrap w:val="0"/>
                  <w:vAlign w:val="center"/>
                </w:tcPr>
                <w:p w14:paraId="09738832">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17</w:t>
                  </w:r>
                </w:p>
              </w:tc>
              <w:tc>
                <w:tcPr>
                  <w:tcW w:w="1150" w:type="pct"/>
                  <w:tcBorders>
                    <w:tl2br w:val="nil"/>
                    <w:tr2bl w:val="nil"/>
                  </w:tcBorders>
                  <w:noWrap w:val="0"/>
                  <w:vAlign w:val="center"/>
                </w:tcPr>
                <w:p w14:paraId="57AE37DB">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Wv（</w:t>
                  </w:r>
                  <w:r>
                    <w:rPr>
                      <w:rFonts w:hint="default"/>
                      <w:color w:val="000000" w:themeColor="text1"/>
                      <w:highlight w:val="none"/>
                      <w:lang w:val="en-US" w:eastAsia="zh-CN" w:bidi="ar-SA"/>
                      <w14:textFill>
                        <w14:solidFill>
                          <w14:schemeClr w14:val="tx1"/>
                        </w14:solidFill>
                      </w14:textFill>
                    </w:rPr>
                    <w:t>lb/ft</w:t>
                  </w:r>
                  <w:r>
                    <w:rPr>
                      <w:rFonts w:hint="default"/>
                      <w:color w:val="000000" w:themeColor="text1"/>
                      <w:highlight w:val="none"/>
                      <w:vertAlign w:val="superscript"/>
                      <w:lang w:val="en-US" w:eastAsia="zh-CN" w:bidi="ar-SA"/>
                      <w14:textFill>
                        <w14:solidFill>
                          <w14:schemeClr w14:val="tx1"/>
                        </w14:solidFill>
                      </w14:textFill>
                    </w:rPr>
                    <w:t>3</w:t>
                  </w:r>
                  <w:r>
                    <w:rPr>
                      <w:rFonts w:hint="eastAsia"/>
                      <w:color w:val="000000" w:themeColor="text1"/>
                      <w:highlight w:val="none"/>
                      <w:lang w:val="en-US" w:eastAsia="zh-CN" w:bidi="ar-SA"/>
                      <w14:textFill>
                        <w14:solidFill>
                          <w14:schemeClr w14:val="tx1"/>
                        </w14:solidFill>
                      </w14:textFill>
                    </w:rPr>
                    <w:t>）</w:t>
                  </w:r>
                </w:p>
              </w:tc>
              <w:tc>
                <w:tcPr>
                  <w:tcW w:w="5673" w:type="dxa"/>
                  <w:tcBorders>
                    <w:tl2br w:val="nil"/>
                    <w:tr2bl w:val="nil"/>
                  </w:tcBorders>
                  <w:noWrap w:val="0"/>
                  <w:vAlign w:val="center"/>
                </w:tcPr>
                <w:p w14:paraId="6DB5C5B3">
                  <w:pPr>
                    <w:pStyle w:val="26"/>
                    <w:bidi w:val="0"/>
                    <w:jc w:val="center"/>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1.47E-05</w:t>
                  </w:r>
                </w:p>
              </w:tc>
            </w:tr>
            <w:tr w14:paraId="3B984E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tcBorders>
                    <w:tl2br w:val="nil"/>
                    <w:tr2bl w:val="nil"/>
                  </w:tcBorders>
                  <w:noWrap w:val="0"/>
                  <w:vAlign w:val="center"/>
                </w:tcPr>
                <w:p w14:paraId="7F5D1AB0">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18</w:t>
                  </w:r>
                </w:p>
              </w:tc>
              <w:tc>
                <w:tcPr>
                  <w:tcW w:w="1150" w:type="pct"/>
                  <w:tcBorders>
                    <w:tl2br w:val="nil"/>
                    <w:tr2bl w:val="nil"/>
                  </w:tcBorders>
                  <w:noWrap w:val="0"/>
                  <w:vAlign w:val="center"/>
                </w:tcPr>
                <w:p w14:paraId="6570115C">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Mv（</w:t>
                  </w:r>
                  <w:r>
                    <w:rPr>
                      <w:rFonts w:hint="default"/>
                      <w:color w:val="000000" w:themeColor="text1"/>
                      <w:highlight w:val="none"/>
                      <w:lang w:val="en-US" w:eastAsia="zh-CN" w:bidi="ar-SA"/>
                      <w14:textFill>
                        <w14:solidFill>
                          <w14:schemeClr w14:val="tx1"/>
                        </w14:solidFill>
                      </w14:textFill>
                    </w:rPr>
                    <w:t>lb/lb-mol</w:t>
                  </w:r>
                  <w:r>
                    <w:rPr>
                      <w:rFonts w:hint="eastAsia"/>
                      <w:color w:val="000000" w:themeColor="text1"/>
                      <w:highlight w:val="none"/>
                      <w:lang w:val="en-US" w:eastAsia="zh-CN" w:bidi="ar-SA"/>
                      <w14:textFill>
                        <w14:solidFill>
                          <w14:schemeClr w14:val="tx1"/>
                        </w14:solidFill>
                      </w14:textFill>
                    </w:rPr>
                    <w:t>）</w:t>
                  </w:r>
                </w:p>
              </w:tc>
              <w:tc>
                <w:tcPr>
                  <w:tcW w:w="5673" w:type="dxa"/>
                  <w:tcBorders>
                    <w:tl2br w:val="nil"/>
                    <w:tr2bl w:val="nil"/>
                  </w:tcBorders>
                  <w:noWrap w:val="0"/>
                  <w:vAlign w:val="center"/>
                </w:tcPr>
                <w:p w14:paraId="4217D93C">
                  <w:pPr>
                    <w:pStyle w:val="26"/>
                    <w:bidi w:val="0"/>
                    <w:jc w:val="center"/>
                    <w:rPr>
                      <w:rFonts w:hint="eastAsia"/>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0.1</w:t>
                  </w:r>
                </w:p>
              </w:tc>
            </w:tr>
            <w:tr w14:paraId="6494A1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tcBorders>
                    <w:tl2br w:val="nil"/>
                    <w:tr2bl w:val="nil"/>
                  </w:tcBorders>
                  <w:noWrap w:val="0"/>
                  <w:vAlign w:val="center"/>
                </w:tcPr>
                <w:p w14:paraId="690FE129">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19</w:t>
                  </w:r>
                </w:p>
              </w:tc>
              <w:tc>
                <w:tcPr>
                  <w:tcW w:w="1150" w:type="pct"/>
                  <w:tcBorders>
                    <w:tl2br w:val="nil"/>
                    <w:tr2bl w:val="nil"/>
                  </w:tcBorders>
                  <w:noWrap w:val="0"/>
                  <w:vAlign w:val="center"/>
                </w:tcPr>
                <w:p w14:paraId="738C8835">
                  <w:pPr>
                    <w:pStyle w:val="26"/>
                    <w:bidi w:val="0"/>
                    <w:ind w:firstLine="0" w:firstLineChars="0"/>
                    <w:jc w:val="center"/>
                    <w:rPr>
                      <w:rFonts w:hint="eastAsia" w:eastAsia="宋体"/>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R（</w:t>
                  </w:r>
                  <w:r>
                    <w:rPr>
                      <w:rFonts w:hint="default"/>
                      <w:color w:val="000000" w:themeColor="text1"/>
                      <w:highlight w:val="none"/>
                      <w:lang w:val="en-US" w:eastAsia="zh-CN" w:bidi="ar-SA"/>
                      <w14:textFill>
                        <w14:solidFill>
                          <w14:schemeClr w14:val="tx1"/>
                        </w14:solidFill>
                      </w14:textFill>
                    </w:rPr>
                    <w:t>lb/lb-mol·ft·°R</w:t>
                  </w:r>
                  <w:r>
                    <w:rPr>
                      <w:rFonts w:hint="eastAsia"/>
                      <w:color w:val="000000" w:themeColor="text1"/>
                      <w:highlight w:val="none"/>
                      <w:lang w:val="en-US" w:eastAsia="zh-CN" w:bidi="ar-SA"/>
                      <w14:textFill>
                        <w14:solidFill>
                          <w14:schemeClr w14:val="tx1"/>
                        </w14:solidFill>
                      </w14:textFill>
                    </w:rPr>
                    <w:t>）</w:t>
                  </w:r>
                </w:p>
              </w:tc>
              <w:tc>
                <w:tcPr>
                  <w:tcW w:w="5673" w:type="dxa"/>
                  <w:tcBorders>
                    <w:tl2br w:val="nil"/>
                    <w:tr2bl w:val="nil"/>
                  </w:tcBorders>
                  <w:noWrap w:val="0"/>
                  <w:vAlign w:val="center"/>
                </w:tcPr>
                <w:p w14:paraId="38DBA962">
                  <w:pPr>
                    <w:pStyle w:val="26"/>
                    <w:bidi w:val="0"/>
                    <w:jc w:val="center"/>
                    <w:rPr>
                      <w:rFonts w:hint="eastAsia"/>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10.741</w:t>
                  </w:r>
                </w:p>
              </w:tc>
            </w:tr>
            <w:tr w14:paraId="3EE507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tcBorders>
                    <w:tl2br w:val="nil"/>
                    <w:tr2bl w:val="nil"/>
                  </w:tcBorders>
                  <w:noWrap w:val="0"/>
                  <w:vAlign w:val="center"/>
                </w:tcPr>
                <w:p w14:paraId="7C4364BC">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20</w:t>
                  </w:r>
                </w:p>
              </w:tc>
              <w:tc>
                <w:tcPr>
                  <w:tcW w:w="1150" w:type="pct"/>
                  <w:tcBorders>
                    <w:tl2br w:val="nil"/>
                    <w:tr2bl w:val="nil"/>
                  </w:tcBorders>
                  <w:noWrap w:val="0"/>
                  <w:vAlign w:val="center"/>
                </w:tcPr>
                <w:p w14:paraId="7579793F">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T</w:t>
                  </w:r>
                  <w:r>
                    <w:rPr>
                      <w:rFonts w:hint="eastAsia"/>
                      <w:color w:val="000000" w:themeColor="text1"/>
                      <w:highlight w:val="none"/>
                      <w:vertAlign w:val="subscript"/>
                      <w:lang w:val="en-US" w:eastAsia="zh-CN" w:bidi="ar-SA"/>
                      <w14:textFill>
                        <w14:solidFill>
                          <w14:schemeClr w14:val="tx1"/>
                        </w14:solidFill>
                      </w14:textFill>
                    </w:rPr>
                    <w:t>LA</w:t>
                  </w:r>
                  <w:r>
                    <w:rPr>
                      <w:rFonts w:hint="eastAsia"/>
                      <w:color w:val="000000" w:themeColor="text1"/>
                      <w:highlight w:val="none"/>
                      <w:lang w:val="en-US" w:eastAsia="zh-CN" w:bidi="ar-SA"/>
                      <w14:textFill>
                        <w14:solidFill>
                          <w14:schemeClr w14:val="tx1"/>
                        </w14:solidFill>
                      </w14:textFill>
                    </w:rPr>
                    <w:t>（</w:t>
                  </w:r>
                  <w:r>
                    <w:rPr>
                      <w:rFonts w:hint="default"/>
                      <w:color w:val="000000" w:themeColor="text1"/>
                      <w:highlight w:val="none"/>
                      <w:lang w:val="en-US" w:eastAsia="zh-CN" w:bidi="ar-SA"/>
                      <w14:textFill>
                        <w14:solidFill>
                          <w14:schemeClr w14:val="tx1"/>
                        </w14:solidFill>
                      </w14:textFill>
                    </w:rPr>
                    <w:t>°R</w:t>
                  </w:r>
                  <w:r>
                    <w:rPr>
                      <w:rFonts w:hint="eastAsia"/>
                      <w:color w:val="000000" w:themeColor="text1"/>
                      <w:highlight w:val="none"/>
                      <w:lang w:val="en-US" w:eastAsia="zh-CN" w:bidi="ar-SA"/>
                      <w14:textFill>
                        <w14:solidFill>
                          <w14:schemeClr w14:val="tx1"/>
                        </w14:solidFill>
                      </w14:textFill>
                    </w:rPr>
                    <w:t>）</w:t>
                  </w:r>
                </w:p>
              </w:tc>
              <w:tc>
                <w:tcPr>
                  <w:tcW w:w="5673" w:type="dxa"/>
                  <w:tcBorders>
                    <w:tl2br w:val="nil"/>
                    <w:tr2bl w:val="nil"/>
                  </w:tcBorders>
                  <w:noWrap w:val="0"/>
                  <w:vAlign w:val="center"/>
                </w:tcPr>
                <w:p w14:paraId="6B64A22A">
                  <w:pPr>
                    <w:pStyle w:val="26"/>
                    <w:bidi w:val="0"/>
                    <w:jc w:val="center"/>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532.17</w:t>
                  </w:r>
                </w:p>
              </w:tc>
            </w:tr>
            <w:tr w14:paraId="558E55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tcBorders>
                    <w:tl2br w:val="nil"/>
                    <w:tr2bl w:val="nil"/>
                  </w:tcBorders>
                  <w:noWrap w:val="0"/>
                  <w:vAlign w:val="center"/>
                </w:tcPr>
                <w:p w14:paraId="2DE18800">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21</w:t>
                  </w:r>
                </w:p>
              </w:tc>
              <w:tc>
                <w:tcPr>
                  <w:tcW w:w="1150" w:type="pct"/>
                  <w:tcBorders>
                    <w:tl2br w:val="nil"/>
                    <w:tr2bl w:val="nil"/>
                  </w:tcBorders>
                  <w:noWrap w:val="0"/>
                  <w:vAlign w:val="center"/>
                </w:tcPr>
                <w:p w14:paraId="0E1199D4">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TAA（</w:t>
                  </w:r>
                  <w:r>
                    <w:rPr>
                      <w:rFonts w:hint="default"/>
                      <w:color w:val="000000" w:themeColor="text1"/>
                      <w:highlight w:val="none"/>
                      <w:lang w:val="en-US" w:eastAsia="zh-CN" w:bidi="ar-SA"/>
                      <w14:textFill>
                        <w14:solidFill>
                          <w14:schemeClr w14:val="tx1"/>
                        </w14:solidFill>
                      </w14:textFill>
                    </w:rPr>
                    <w:t>°R</w:t>
                  </w:r>
                  <w:r>
                    <w:rPr>
                      <w:rFonts w:hint="eastAsia"/>
                      <w:color w:val="000000" w:themeColor="text1"/>
                      <w:highlight w:val="none"/>
                      <w:lang w:val="en-US" w:eastAsia="zh-CN" w:bidi="ar-SA"/>
                      <w14:textFill>
                        <w14:solidFill>
                          <w14:schemeClr w14:val="tx1"/>
                        </w14:solidFill>
                      </w14:textFill>
                    </w:rPr>
                    <w:t>）</w:t>
                  </w:r>
                </w:p>
              </w:tc>
              <w:tc>
                <w:tcPr>
                  <w:tcW w:w="5673" w:type="dxa"/>
                  <w:tcBorders>
                    <w:tl2br w:val="nil"/>
                    <w:tr2bl w:val="nil"/>
                  </w:tcBorders>
                  <w:noWrap w:val="0"/>
                  <w:vAlign w:val="center"/>
                </w:tcPr>
                <w:p w14:paraId="345C70D9">
                  <w:pPr>
                    <w:pStyle w:val="26"/>
                    <w:bidi w:val="0"/>
                    <w:jc w:val="center"/>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528.25</w:t>
                  </w:r>
                </w:p>
              </w:tc>
            </w:tr>
            <w:tr w14:paraId="4E1B4D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tcBorders>
                    <w:tl2br w:val="nil"/>
                    <w:tr2bl w:val="nil"/>
                  </w:tcBorders>
                  <w:noWrap w:val="0"/>
                  <w:vAlign w:val="center"/>
                </w:tcPr>
                <w:p w14:paraId="0F277412">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22</w:t>
                  </w:r>
                </w:p>
              </w:tc>
              <w:tc>
                <w:tcPr>
                  <w:tcW w:w="1150" w:type="pct"/>
                  <w:tcBorders>
                    <w:tl2br w:val="nil"/>
                    <w:tr2bl w:val="nil"/>
                  </w:tcBorders>
                  <w:noWrap w:val="0"/>
                  <w:vAlign w:val="center"/>
                </w:tcPr>
                <w:p w14:paraId="2812A0D2">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TB（</w:t>
                  </w:r>
                  <w:r>
                    <w:rPr>
                      <w:rFonts w:hint="default"/>
                      <w:color w:val="000000" w:themeColor="text1"/>
                      <w:highlight w:val="none"/>
                      <w:lang w:val="en-US" w:eastAsia="zh-CN" w:bidi="ar-SA"/>
                      <w14:textFill>
                        <w14:solidFill>
                          <w14:schemeClr w14:val="tx1"/>
                        </w14:solidFill>
                      </w14:textFill>
                    </w:rPr>
                    <w:t>°R</w:t>
                  </w:r>
                  <w:r>
                    <w:rPr>
                      <w:rFonts w:hint="eastAsia"/>
                      <w:color w:val="000000" w:themeColor="text1"/>
                      <w:highlight w:val="none"/>
                      <w:lang w:val="en-US" w:eastAsia="zh-CN" w:bidi="ar-SA"/>
                      <w14:textFill>
                        <w14:solidFill>
                          <w14:schemeClr w14:val="tx1"/>
                        </w14:solidFill>
                      </w14:textFill>
                    </w:rPr>
                    <w:t>）</w:t>
                  </w:r>
                </w:p>
              </w:tc>
              <w:tc>
                <w:tcPr>
                  <w:tcW w:w="5673" w:type="dxa"/>
                  <w:tcBorders>
                    <w:tl2br w:val="nil"/>
                    <w:tr2bl w:val="nil"/>
                  </w:tcBorders>
                  <w:noWrap w:val="0"/>
                  <w:vAlign w:val="center"/>
                </w:tcPr>
                <w:p w14:paraId="6DF8BB80">
                  <w:pPr>
                    <w:pStyle w:val="26"/>
                    <w:bidi w:val="0"/>
                    <w:jc w:val="center"/>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529.29</w:t>
                  </w:r>
                </w:p>
              </w:tc>
            </w:tr>
            <w:tr w14:paraId="66D7A1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tcBorders>
                    <w:tl2br w:val="nil"/>
                    <w:tr2bl w:val="nil"/>
                  </w:tcBorders>
                  <w:noWrap w:val="0"/>
                  <w:vAlign w:val="center"/>
                </w:tcPr>
                <w:p w14:paraId="19DA9BC4">
                  <w:pPr>
                    <w:pStyle w:val="26"/>
                    <w:bidi w:val="0"/>
                    <w:jc w:val="center"/>
                    <w:rPr>
                      <w:rFonts w:hint="default" w:eastAsia="宋体"/>
                      <w:color w:val="000000" w:themeColor="text1"/>
                      <w:highlight w:val="none"/>
                      <w:lang w:val="en-US" w:eastAsia="zh-CN" w:bidi="ar-SA"/>
                      <w14:textFill>
                        <w14:solidFill>
                          <w14:schemeClr w14:val="tx1"/>
                        </w14:solidFill>
                      </w14:textFill>
                    </w:rPr>
                  </w:pPr>
                  <w:r>
                    <w:rPr>
                      <w:rFonts w:hint="eastAsia" w:eastAsia="宋体"/>
                      <w:color w:val="000000" w:themeColor="text1"/>
                      <w:highlight w:val="none"/>
                      <w:lang w:val="en-US" w:eastAsia="zh-CN" w:bidi="ar-SA"/>
                      <w14:textFill>
                        <w14:solidFill>
                          <w14:schemeClr w14:val="tx1"/>
                        </w14:solidFill>
                      </w14:textFill>
                    </w:rPr>
                    <w:t>23</w:t>
                  </w:r>
                </w:p>
              </w:tc>
              <w:tc>
                <w:tcPr>
                  <w:tcW w:w="1150" w:type="pct"/>
                  <w:tcBorders>
                    <w:tl2br w:val="nil"/>
                    <w:tr2bl w:val="nil"/>
                  </w:tcBorders>
                  <w:noWrap w:val="0"/>
                  <w:vAlign w:val="center"/>
                </w:tcPr>
                <w:p w14:paraId="48345AF1">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单罐L</w:t>
                  </w:r>
                  <w:r>
                    <w:rPr>
                      <w:rFonts w:hint="eastAsia"/>
                      <w:color w:val="000000" w:themeColor="text1"/>
                      <w:highlight w:val="none"/>
                      <w:vertAlign w:val="subscript"/>
                      <w:lang w:val="en-US" w:eastAsia="zh-CN" w:bidi="ar-SA"/>
                      <w14:textFill>
                        <w14:solidFill>
                          <w14:schemeClr w14:val="tx1"/>
                        </w14:solidFill>
                      </w14:textFill>
                    </w:rPr>
                    <w:t>S</w:t>
                  </w:r>
                  <w:r>
                    <w:rPr>
                      <w:rFonts w:hint="eastAsia"/>
                      <w:color w:val="000000" w:themeColor="text1"/>
                      <w:highlight w:val="none"/>
                      <w:lang w:val="en-US" w:eastAsia="zh-CN" w:bidi="ar-SA"/>
                      <w14:textFill>
                        <w14:solidFill>
                          <w14:schemeClr w14:val="tx1"/>
                        </w14:solidFill>
                      </w14:textFill>
                    </w:rPr>
                    <w:t>（1b/a）</w:t>
                  </w:r>
                </w:p>
              </w:tc>
              <w:tc>
                <w:tcPr>
                  <w:tcW w:w="5673" w:type="dxa"/>
                  <w:tcBorders>
                    <w:tl2br w:val="nil"/>
                    <w:tr2bl w:val="nil"/>
                  </w:tcBorders>
                  <w:noWrap w:val="0"/>
                  <w:vAlign w:val="center"/>
                </w:tcPr>
                <w:p w14:paraId="763CC7C5">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0.1624</w:t>
                  </w:r>
                </w:p>
              </w:tc>
            </w:tr>
            <w:tr w14:paraId="2E90D6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tcBorders>
                    <w:tl2br w:val="nil"/>
                    <w:tr2bl w:val="nil"/>
                  </w:tcBorders>
                  <w:noWrap w:val="0"/>
                  <w:vAlign w:val="center"/>
                </w:tcPr>
                <w:p w14:paraId="2EC10F10">
                  <w:pPr>
                    <w:pStyle w:val="26"/>
                    <w:bidi w:val="0"/>
                    <w:jc w:val="center"/>
                    <w:rPr>
                      <w:rFonts w:hint="default" w:eastAsia="宋体"/>
                      <w:color w:val="000000" w:themeColor="text1"/>
                      <w:highlight w:val="none"/>
                      <w:lang w:val="en-US" w:eastAsia="zh-CN" w:bidi="ar-SA"/>
                      <w14:textFill>
                        <w14:solidFill>
                          <w14:schemeClr w14:val="tx1"/>
                        </w14:solidFill>
                      </w14:textFill>
                    </w:rPr>
                  </w:pPr>
                  <w:r>
                    <w:rPr>
                      <w:rFonts w:hint="eastAsia" w:eastAsia="宋体"/>
                      <w:color w:val="000000" w:themeColor="text1"/>
                      <w:highlight w:val="none"/>
                      <w:lang w:val="en-US" w:eastAsia="zh-CN" w:bidi="ar-SA"/>
                      <w14:textFill>
                        <w14:solidFill>
                          <w14:schemeClr w14:val="tx1"/>
                        </w14:solidFill>
                      </w14:textFill>
                    </w:rPr>
                    <w:t>24</w:t>
                  </w:r>
                </w:p>
              </w:tc>
              <w:tc>
                <w:tcPr>
                  <w:tcW w:w="1150" w:type="pct"/>
                  <w:tcBorders>
                    <w:tl2br w:val="nil"/>
                    <w:tr2bl w:val="nil"/>
                  </w:tcBorders>
                  <w:noWrap w:val="0"/>
                  <w:vAlign w:val="center"/>
                </w:tcPr>
                <w:p w14:paraId="50065F7F">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总L</w:t>
                  </w:r>
                  <w:r>
                    <w:rPr>
                      <w:rFonts w:hint="eastAsia"/>
                      <w:color w:val="000000" w:themeColor="text1"/>
                      <w:highlight w:val="none"/>
                      <w:vertAlign w:val="subscript"/>
                      <w:lang w:val="en-US" w:eastAsia="zh-CN" w:bidi="ar-SA"/>
                      <w14:textFill>
                        <w14:solidFill>
                          <w14:schemeClr w14:val="tx1"/>
                        </w14:solidFill>
                      </w14:textFill>
                    </w:rPr>
                    <w:t>S</w:t>
                  </w:r>
                  <w:r>
                    <w:rPr>
                      <w:rFonts w:hint="eastAsia"/>
                      <w:color w:val="000000" w:themeColor="text1"/>
                      <w:highlight w:val="none"/>
                      <w:lang w:val="en-US" w:eastAsia="zh-CN" w:bidi="ar-SA"/>
                      <w14:textFill>
                        <w14:solidFill>
                          <w14:schemeClr w14:val="tx1"/>
                        </w14:solidFill>
                      </w14:textFill>
                    </w:rPr>
                    <w:t>（t/a）</w:t>
                  </w:r>
                </w:p>
              </w:tc>
              <w:tc>
                <w:tcPr>
                  <w:tcW w:w="5673" w:type="dxa"/>
                  <w:tcBorders>
                    <w:tl2br w:val="nil"/>
                    <w:tr2bl w:val="nil"/>
                  </w:tcBorders>
                  <w:noWrap w:val="0"/>
                  <w:vAlign w:val="center"/>
                </w:tcPr>
                <w:p w14:paraId="4AB5FAC5">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0.00015</w:t>
                  </w:r>
                </w:p>
              </w:tc>
            </w:tr>
          </w:tbl>
          <w:p w14:paraId="468F9B07">
            <w:pPr>
              <w:rPr>
                <w:rFonts w:hint="eastAsia"/>
                <w:color w:val="000000" w:themeColor="text1"/>
                <w:highlight w:val="none"/>
                <w:u w:val="single"/>
                <w:lang w:val="en-US" w:eastAsia="zh-CN"/>
                <w14:textFill>
                  <w14:solidFill>
                    <w14:schemeClr w14:val="tx1"/>
                  </w14:solidFill>
                </w14:textFill>
              </w:rPr>
            </w:pPr>
            <w:r>
              <w:rPr>
                <w:rFonts w:hint="eastAsia"/>
                <w:color w:val="000000" w:themeColor="text1"/>
                <w:highlight w:val="none"/>
                <w:u w:val="single"/>
                <w:lang w:val="en-US" w:eastAsia="zh-CN"/>
                <w14:textFill>
                  <w14:solidFill>
                    <w14:schemeClr w14:val="tx1"/>
                  </w14:solidFill>
                </w14:textFill>
              </w:rPr>
              <w:t>C.总损耗</w:t>
            </w:r>
          </w:p>
          <w:p w14:paraId="396A5272">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固定顶罐的总损耗是静置损耗与工作损耗的总和：</w:t>
            </w:r>
          </w:p>
          <w:p w14:paraId="41EB9585">
            <w:pPr>
              <w:ind w:left="0" w:leftChars="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position w:val="-12"/>
                <w:highlight w:val="none"/>
                <w:lang w:val="en-US" w:eastAsia="zh-CN"/>
                <w14:textFill>
                  <w14:solidFill>
                    <w14:schemeClr w14:val="tx1"/>
                  </w14:solidFill>
                </w14:textFill>
              </w:rPr>
              <w:object>
                <v:shape id="_x0000_i1028" o:spt="75" type="#_x0000_t75" style="height:18pt;width:64pt;" o:ole="t" filled="f" o:preferrelative="t" stroked="f" coordsize="21600,21600">
                  <v:path/>
                  <v:fill on="f" focussize="0,0"/>
                  <v:stroke on="f"/>
                  <v:imagedata r:id="rId37" o:title=""/>
                  <o:lock v:ext="edit" aspectratio="t"/>
                  <w10:wrap type="none"/>
                  <w10:anchorlock/>
                </v:shape>
                <o:OLEObject Type="Embed" ProgID="Equation.KSEE3" ShapeID="_x0000_i1028" DrawAspect="Content" ObjectID="_1468075728" r:id="rId36">
                  <o:LockedField>false</o:LockedField>
                </o:OLEObject>
              </w:objec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公式17</w:t>
            </w:r>
            <w:r>
              <w:rPr>
                <w:rFonts w:hint="eastAsia"/>
                <w:color w:val="000000" w:themeColor="text1"/>
                <w:highlight w:val="none"/>
                <w:lang w:eastAsia="zh-CN"/>
                <w14:textFill>
                  <w14:solidFill>
                    <w14:schemeClr w14:val="tx1"/>
                  </w14:solidFill>
                </w14:textFill>
              </w:rPr>
              <w:t>）</w:t>
            </w:r>
          </w:p>
          <w:p w14:paraId="76E734A7">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式中：</w:t>
            </w:r>
          </w:p>
          <w:p w14:paraId="1D093ACC">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L</w:t>
            </w:r>
            <w:r>
              <w:rPr>
                <w:rFonts w:hint="default"/>
                <w:color w:val="000000" w:themeColor="text1"/>
                <w:highlight w:val="none"/>
                <w:vertAlign w:val="subscript"/>
                <w:lang w:val="en-US" w:eastAsia="zh-CN"/>
                <w14:textFill>
                  <w14:solidFill>
                    <w14:schemeClr w14:val="tx1"/>
                  </w14:solidFill>
                </w14:textFill>
              </w:rPr>
              <w:t>T</w:t>
            </w:r>
            <w:r>
              <w:rPr>
                <w:rFonts w:hint="eastAsia"/>
                <w:color w:val="000000" w:themeColor="text1"/>
                <w:highlight w:val="none"/>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总损失，lb/a；</w:t>
            </w:r>
          </w:p>
          <w:p w14:paraId="7C250739">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L</w:t>
            </w:r>
            <w:r>
              <w:rPr>
                <w:rFonts w:hint="default"/>
                <w:color w:val="000000" w:themeColor="text1"/>
                <w:highlight w:val="none"/>
                <w:vertAlign w:val="subscript"/>
                <w:lang w:val="en-US" w:eastAsia="zh-CN"/>
                <w14:textFill>
                  <w14:solidFill>
                    <w14:schemeClr w14:val="tx1"/>
                  </w14:solidFill>
                </w14:textFill>
              </w:rPr>
              <w:t>S</w:t>
            </w:r>
            <w:r>
              <w:rPr>
                <w:rFonts w:hint="eastAsia"/>
                <w:color w:val="000000" w:themeColor="text1"/>
                <w:highlight w:val="none"/>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静置储藏损失，lb/a；</w:t>
            </w:r>
          </w:p>
          <w:p w14:paraId="47B99E70">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L</w:t>
            </w:r>
            <w:r>
              <w:rPr>
                <w:rFonts w:hint="default"/>
                <w:color w:val="000000" w:themeColor="text1"/>
                <w:highlight w:val="none"/>
                <w:vertAlign w:val="subscript"/>
                <w:lang w:val="en-US" w:eastAsia="zh-CN"/>
                <w14:textFill>
                  <w14:solidFill>
                    <w14:schemeClr w14:val="tx1"/>
                  </w14:solidFill>
                </w14:textFill>
              </w:rPr>
              <w:t>W</w:t>
            </w:r>
            <w:r>
              <w:rPr>
                <w:rFonts w:hint="eastAsia"/>
                <w:color w:val="000000" w:themeColor="text1"/>
                <w:highlight w:val="none"/>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工作损失，lb/a。</w:t>
            </w:r>
          </w:p>
          <w:p w14:paraId="68E4E6CB">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根据公式17计算可知，乙醇储罐的总损耗详见</w:t>
            </w:r>
            <w:r>
              <w:rPr>
                <w:rFonts w:hint="eastAsia"/>
                <w:color w:val="000000" w:themeColor="text1"/>
                <w:highlight w:val="none"/>
                <w:lang w:val="en-US" w:eastAsia="zh-CN"/>
                <w14:textFill>
                  <w14:solidFill>
                    <w14:schemeClr w14:val="tx1"/>
                  </w14:solidFill>
                </w14:textFill>
              </w:rPr>
              <w:fldChar w:fldCharType="begin"/>
            </w:r>
            <w:r>
              <w:rPr>
                <w:rFonts w:hint="eastAsia"/>
                <w:color w:val="000000" w:themeColor="text1"/>
                <w:highlight w:val="none"/>
                <w:lang w:val="en-US" w:eastAsia="zh-CN"/>
                <w14:textFill>
                  <w14:solidFill>
                    <w14:schemeClr w14:val="tx1"/>
                  </w14:solidFill>
                </w14:textFill>
              </w:rPr>
              <w:instrText xml:space="preserve"> REF _Ref20283 \n \h </w:instrText>
            </w:r>
            <w:r>
              <w:rPr>
                <w:rFonts w:hint="eastAsia"/>
                <w:color w:val="000000" w:themeColor="text1"/>
                <w:highlight w:val="none"/>
                <w:lang w:val="en-US" w:eastAsia="zh-CN"/>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表4.1-12</w:t>
            </w:r>
            <w:r>
              <w:rPr>
                <w:rFonts w:hint="eastAsia"/>
                <w:color w:val="000000" w:themeColor="text1"/>
                <w:highlight w:val="none"/>
                <w:lang w:val="en-US" w:eastAsia="zh-CN"/>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w:t>
            </w:r>
          </w:p>
          <w:p w14:paraId="0EF21441">
            <w:pPr>
              <w:pStyle w:val="30"/>
              <w:bidi w:val="0"/>
              <w:rPr>
                <w:rFonts w:hint="default"/>
                <w:color w:val="000000" w:themeColor="text1"/>
                <w:highlight w:val="none"/>
                <w:lang w:val="en-US" w:eastAsia="zh-CN"/>
                <w14:textFill>
                  <w14:solidFill>
                    <w14:schemeClr w14:val="tx1"/>
                  </w14:solidFill>
                </w14:textFill>
              </w:rPr>
            </w:pPr>
            <w:bookmarkStart w:id="180" w:name="_Ref20283"/>
            <w:r>
              <w:rPr>
                <w:rFonts w:hint="eastAsia"/>
                <w:color w:val="000000" w:themeColor="text1"/>
                <w:highlight w:val="none"/>
                <w:lang w:val="en-US" w:eastAsia="zh-CN"/>
                <w14:textFill>
                  <w14:solidFill>
                    <w14:schemeClr w14:val="tx1"/>
                  </w14:solidFill>
                </w14:textFill>
              </w:rPr>
              <w:t>乙醇储罐总损耗一览表（一期工程）</w:t>
            </w:r>
            <w:bookmarkEnd w:id="180"/>
          </w:p>
          <w:tbl>
            <w:tblPr>
              <w:tblStyle w:val="1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95"/>
              <w:gridCol w:w="5409"/>
            </w:tblGrid>
            <w:tr w14:paraId="6D481A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43" w:type="pct"/>
                  <w:tcBorders>
                    <w:tl2br w:val="nil"/>
                    <w:tr2bl w:val="nil"/>
                  </w:tcBorders>
                  <w:noWrap w:val="0"/>
                  <w:vAlign w:val="center"/>
                </w:tcPr>
                <w:p w14:paraId="2CF2C961">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类型</w:t>
                  </w:r>
                </w:p>
              </w:tc>
              <w:tc>
                <w:tcPr>
                  <w:tcW w:w="3256" w:type="pct"/>
                  <w:tcBorders>
                    <w:tl2br w:val="nil"/>
                    <w:tr2bl w:val="nil"/>
                  </w:tcBorders>
                  <w:noWrap w:val="0"/>
                  <w:vAlign w:val="center"/>
                </w:tcPr>
                <w:p w14:paraId="68072EE9">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损耗量（t/a）</w:t>
                  </w:r>
                </w:p>
              </w:tc>
            </w:tr>
            <w:tr w14:paraId="2FFABD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43" w:type="pct"/>
                  <w:tcBorders>
                    <w:tl2br w:val="nil"/>
                    <w:tr2bl w:val="nil"/>
                  </w:tcBorders>
                  <w:noWrap w:val="0"/>
                  <w:vAlign w:val="center"/>
                </w:tcPr>
                <w:p w14:paraId="433C39AC">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工作损失</w:t>
                  </w:r>
                  <w:r>
                    <w:rPr>
                      <w:rFonts w:hint="eastAsia"/>
                      <w:color w:val="000000" w:themeColor="text1"/>
                      <w:highlight w:val="none"/>
                      <w:lang w:val="en-US" w:eastAsia="zh-CN" w:bidi="ar-SA"/>
                      <w14:textFill>
                        <w14:solidFill>
                          <w14:schemeClr w14:val="tx1"/>
                        </w14:solidFill>
                      </w14:textFill>
                    </w:rPr>
                    <w:t>L</w:t>
                  </w:r>
                  <w:r>
                    <w:rPr>
                      <w:rFonts w:hint="eastAsia"/>
                      <w:color w:val="000000" w:themeColor="text1"/>
                      <w:highlight w:val="none"/>
                      <w:vertAlign w:val="subscript"/>
                      <w:lang w:val="en-US" w:eastAsia="zh-CN" w:bidi="ar-SA"/>
                      <w14:textFill>
                        <w14:solidFill>
                          <w14:schemeClr w14:val="tx1"/>
                        </w14:solidFill>
                      </w14:textFill>
                    </w:rPr>
                    <w:t>W</w:t>
                  </w:r>
                </w:p>
              </w:tc>
              <w:tc>
                <w:tcPr>
                  <w:tcW w:w="5409" w:type="dxa"/>
                  <w:tcBorders>
                    <w:tl2br w:val="nil"/>
                    <w:tr2bl w:val="nil"/>
                  </w:tcBorders>
                  <w:noWrap w:val="0"/>
                  <w:vAlign w:val="center"/>
                </w:tcPr>
                <w:p w14:paraId="5D858CE0">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0.00039</w:t>
                  </w:r>
                </w:p>
              </w:tc>
            </w:tr>
            <w:tr w14:paraId="024B09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43" w:type="pct"/>
                  <w:tcBorders>
                    <w:tl2br w:val="nil"/>
                    <w:tr2bl w:val="nil"/>
                  </w:tcBorders>
                  <w:noWrap w:val="0"/>
                  <w:vAlign w:val="center"/>
                </w:tcPr>
                <w:p w14:paraId="7B101881">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静置储藏损失</w:t>
                  </w:r>
                  <w:r>
                    <w:rPr>
                      <w:rFonts w:hint="eastAsia"/>
                      <w:color w:val="000000" w:themeColor="text1"/>
                      <w:highlight w:val="none"/>
                      <w:lang w:val="en-US" w:eastAsia="zh-CN" w:bidi="ar-SA"/>
                      <w14:textFill>
                        <w14:solidFill>
                          <w14:schemeClr w14:val="tx1"/>
                        </w14:solidFill>
                      </w14:textFill>
                    </w:rPr>
                    <w:t>L</w:t>
                  </w:r>
                  <w:r>
                    <w:rPr>
                      <w:rFonts w:hint="eastAsia"/>
                      <w:color w:val="000000" w:themeColor="text1"/>
                      <w:highlight w:val="none"/>
                      <w:vertAlign w:val="subscript"/>
                      <w:lang w:val="en-US" w:eastAsia="zh-CN" w:bidi="ar-SA"/>
                      <w14:textFill>
                        <w14:solidFill>
                          <w14:schemeClr w14:val="tx1"/>
                        </w14:solidFill>
                      </w14:textFill>
                    </w:rPr>
                    <w:t>S</w:t>
                  </w:r>
                </w:p>
              </w:tc>
              <w:tc>
                <w:tcPr>
                  <w:tcW w:w="5409" w:type="dxa"/>
                  <w:tcBorders>
                    <w:tl2br w:val="nil"/>
                    <w:tr2bl w:val="nil"/>
                  </w:tcBorders>
                  <w:noWrap w:val="0"/>
                  <w:vAlign w:val="center"/>
                </w:tcPr>
                <w:p w14:paraId="45FDD419">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0.00015</w:t>
                  </w:r>
                </w:p>
              </w:tc>
            </w:tr>
            <w:tr w14:paraId="7EE15B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43" w:type="pct"/>
                  <w:tcBorders>
                    <w:tl2br w:val="nil"/>
                    <w:tr2bl w:val="nil"/>
                  </w:tcBorders>
                  <w:noWrap w:val="0"/>
                  <w:vAlign w:val="center"/>
                </w:tcPr>
                <w:p w14:paraId="6D13251D">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总损失</w:t>
                  </w:r>
                  <w:r>
                    <w:rPr>
                      <w:rFonts w:hint="eastAsia"/>
                      <w:color w:val="000000" w:themeColor="text1"/>
                      <w:highlight w:val="none"/>
                      <w:lang w:val="en-US" w:eastAsia="zh-CN" w:bidi="ar-SA"/>
                      <w14:textFill>
                        <w14:solidFill>
                          <w14:schemeClr w14:val="tx1"/>
                        </w14:solidFill>
                      </w14:textFill>
                    </w:rPr>
                    <w:t>L</w:t>
                  </w:r>
                  <w:r>
                    <w:rPr>
                      <w:rFonts w:hint="eastAsia"/>
                      <w:color w:val="000000" w:themeColor="text1"/>
                      <w:highlight w:val="none"/>
                      <w:vertAlign w:val="subscript"/>
                      <w:lang w:val="en-US" w:eastAsia="zh-CN" w:bidi="ar-SA"/>
                      <w14:textFill>
                        <w14:solidFill>
                          <w14:schemeClr w14:val="tx1"/>
                        </w14:solidFill>
                      </w14:textFill>
                    </w:rPr>
                    <w:t>T</w:t>
                  </w:r>
                </w:p>
              </w:tc>
              <w:tc>
                <w:tcPr>
                  <w:tcW w:w="5409" w:type="dxa"/>
                  <w:tcBorders>
                    <w:tl2br w:val="nil"/>
                    <w:tr2bl w:val="nil"/>
                  </w:tcBorders>
                  <w:noWrap w:val="0"/>
                  <w:vAlign w:val="center"/>
                </w:tcPr>
                <w:p w14:paraId="4CBE31A2">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0.00054</w:t>
                  </w:r>
                </w:p>
              </w:tc>
            </w:tr>
          </w:tbl>
          <w:p w14:paraId="3FC534FF">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综上所述，本项目建成后乙醇储罐呼吸废气量为0.00054 t/a，以无组织形式排放。</w:t>
            </w:r>
          </w:p>
          <w:p w14:paraId="22DA74A5">
            <w:pPr>
              <w:pStyle w:val="4"/>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二期工程废气源强核算</w:t>
            </w:r>
          </w:p>
          <w:p w14:paraId="2B4D24D1">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项目二期工程通过购置单壁碳纳米管、硅碳负极材料生产设备进行扩建，新增年产70 t单壁碳纳米管和年产700 t硅碳负极材料产能。其生产过程中产生的废气与一期工程相似，二期工程废气产生量可采用与一期工程相同的计算方式，通过二期工程原辅材料用量进行核算。二期工程建成后，淘汰一期工程废气处理设施，全厂废气共用1套废气处理设施，采用“布袋除尘+RCO”处理后由15 m高排气筒（DA001）排放。</w:t>
            </w:r>
          </w:p>
          <w:p w14:paraId="1F61E4B8">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二期工程硅碳负极材料工业乙醇年用量10.5 t/a，乙醇存放于常压立式罐，属于固定顶罐，乙醇装卸过程中会产生呼吸废气，其主要污染物为非甲烷总烃。固定顶罐的静置损失和工作损失通过公式1~公式17进行计算，计算参数和计算结果详见</w:t>
            </w:r>
            <w:r>
              <w:rPr>
                <w:rFonts w:hint="eastAsia"/>
                <w:color w:val="000000" w:themeColor="text1"/>
                <w:highlight w:val="none"/>
                <w:lang w:val="en-US" w:eastAsia="zh-CN"/>
                <w14:textFill>
                  <w14:solidFill>
                    <w14:schemeClr w14:val="tx1"/>
                  </w14:solidFill>
                </w14:textFill>
              </w:rPr>
              <w:fldChar w:fldCharType="begin"/>
            </w:r>
            <w:r>
              <w:rPr>
                <w:rFonts w:hint="eastAsia"/>
                <w:color w:val="000000" w:themeColor="text1"/>
                <w:highlight w:val="none"/>
                <w:lang w:val="en-US" w:eastAsia="zh-CN"/>
                <w14:textFill>
                  <w14:solidFill>
                    <w14:schemeClr w14:val="tx1"/>
                  </w14:solidFill>
                </w14:textFill>
              </w:rPr>
              <w:instrText xml:space="preserve"> REF _Ref19477 \n \h </w:instrText>
            </w:r>
            <w:r>
              <w:rPr>
                <w:rFonts w:hint="eastAsia"/>
                <w:color w:val="000000" w:themeColor="text1"/>
                <w:highlight w:val="none"/>
                <w:lang w:val="en-US" w:eastAsia="zh-CN"/>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表4.1-13</w:t>
            </w:r>
            <w:r>
              <w:rPr>
                <w:rFonts w:hint="eastAsia"/>
                <w:color w:val="000000" w:themeColor="text1"/>
                <w:highlight w:val="none"/>
                <w:lang w:val="en-US" w:eastAsia="zh-CN"/>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fldChar w:fldCharType="begin"/>
            </w:r>
            <w:r>
              <w:rPr>
                <w:rFonts w:hint="eastAsia"/>
                <w:color w:val="000000" w:themeColor="text1"/>
                <w:highlight w:val="none"/>
                <w:lang w:val="en-US" w:eastAsia="zh-CN"/>
                <w14:textFill>
                  <w14:solidFill>
                    <w14:schemeClr w14:val="tx1"/>
                  </w14:solidFill>
                </w14:textFill>
              </w:rPr>
              <w:instrText xml:space="preserve"> REF _Ref19483 \n \h </w:instrText>
            </w:r>
            <w:r>
              <w:rPr>
                <w:rFonts w:hint="eastAsia"/>
                <w:color w:val="000000" w:themeColor="text1"/>
                <w:highlight w:val="none"/>
                <w:lang w:val="en-US" w:eastAsia="zh-CN"/>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表4.1-15</w:t>
            </w:r>
            <w:r>
              <w:rPr>
                <w:rFonts w:hint="eastAsia"/>
                <w:color w:val="000000" w:themeColor="text1"/>
                <w:highlight w:val="none"/>
                <w:lang w:val="en-US" w:eastAsia="zh-CN"/>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w:t>
            </w:r>
          </w:p>
          <w:p w14:paraId="649596B0">
            <w:pPr>
              <w:pStyle w:val="30"/>
              <w:bidi w:val="0"/>
              <w:rPr>
                <w:rFonts w:hint="default"/>
                <w:color w:val="000000" w:themeColor="text1"/>
                <w:highlight w:val="none"/>
                <w:lang w:val="en-US" w:eastAsia="zh-CN"/>
                <w14:textFill>
                  <w14:solidFill>
                    <w14:schemeClr w14:val="tx1"/>
                  </w14:solidFill>
                </w14:textFill>
              </w:rPr>
            </w:pPr>
            <w:bookmarkStart w:id="181" w:name="_Ref19477"/>
            <w:r>
              <w:rPr>
                <w:rFonts w:hint="default"/>
                <w:color w:val="000000" w:themeColor="text1"/>
                <w:highlight w:val="none"/>
                <w:lang w:val="en-US" w:eastAsia="zh-CN"/>
                <w14:textFill>
                  <w14:solidFill>
                    <w14:schemeClr w14:val="tx1"/>
                  </w14:solidFill>
                </w14:textFill>
              </w:rPr>
              <w:t>乙醇储罐</w:t>
            </w:r>
            <w:r>
              <w:rPr>
                <w:rFonts w:hint="eastAsia"/>
                <w:color w:val="000000" w:themeColor="text1"/>
                <w:highlight w:val="none"/>
                <w:lang w:val="en-US" w:eastAsia="zh-CN"/>
                <w14:textFill>
                  <w14:solidFill>
                    <w14:schemeClr w14:val="tx1"/>
                  </w14:solidFill>
                </w14:textFill>
              </w:rPr>
              <w:t>工作</w:t>
            </w:r>
            <w:r>
              <w:rPr>
                <w:rFonts w:hint="default"/>
                <w:color w:val="000000" w:themeColor="text1"/>
                <w:highlight w:val="none"/>
                <w:lang w:val="en-US" w:eastAsia="zh-CN"/>
                <w14:textFill>
                  <w14:solidFill>
                    <w14:schemeClr w14:val="tx1"/>
                  </w14:solidFill>
                </w14:textFill>
              </w:rPr>
              <w:t>损失计算参数和计算结果</w:t>
            </w:r>
            <w:r>
              <w:rPr>
                <w:rFonts w:hint="eastAsia"/>
                <w:color w:val="000000" w:themeColor="text1"/>
                <w:highlight w:val="none"/>
                <w:lang w:val="en-US" w:eastAsia="zh-CN"/>
                <w14:textFill>
                  <w14:solidFill>
                    <w14:schemeClr w14:val="tx1"/>
                  </w14:solidFill>
                </w14:textFill>
              </w:rPr>
              <w:t>（二期工程）</w:t>
            </w:r>
            <w:bookmarkEnd w:id="181"/>
          </w:p>
          <w:tbl>
            <w:tblPr>
              <w:tblStyle w:val="1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698"/>
              <w:gridCol w:w="5778"/>
            </w:tblGrid>
            <w:tr w14:paraId="01A9F6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499" w:type="pct"/>
                  <w:tcBorders>
                    <w:tl2br w:val="nil"/>
                    <w:tr2bl w:val="nil"/>
                  </w:tcBorders>
                  <w:noWrap w:val="0"/>
                  <w:vAlign w:val="center"/>
                </w:tcPr>
                <w:p w14:paraId="18CED87E">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序号</w:t>
                  </w:r>
                </w:p>
              </w:tc>
              <w:tc>
                <w:tcPr>
                  <w:tcW w:w="4500" w:type="pct"/>
                  <w:gridSpan w:val="2"/>
                  <w:tcBorders>
                    <w:tl2br w:val="nil"/>
                    <w:tr2bl w:val="nil"/>
                  </w:tcBorders>
                  <w:noWrap w:val="0"/>
                  <w:vAlign w:val="center"/>
                </w:tcPr>
                <w:p w14:paraId="50B0940F">
                  <w:pPr>
                    <w:pStyle w:val="26"/>
                    <w:bidi w:val="0"/>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工作损失</w:t>
                  </w:r>
                </w:p>
              </w:tc>
            </w:tr>
            <w:tr w14:paraId="27E6C0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9" w:type="pct"/>
                  <w:tcBorders>
                    <w:tl2br w:val="nil"/>
                    <w:tr2bl w:val="nil"/>
                  </w:tcBorders>
                  <w:noWrap w:val="0"/>
                  <w:vAlign w:val="center"/>
                </w:tcPr>
                <w:p w14:paraId="719EBEEC">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w:t>
                  </w:r>
                </w:p>
              </w:tc>
              <w:tc>
                <w:tcPr>
                  <w:tcW w:w="1022" w:type="pct"/>
                  <w:tcBorders>
                    <w:tl2br w:val="nil"/>
                    <w:tr2bl w:val="nil"/>
                  </w:tcBorders>
                  <w:noWrap w:val="0"/>
                  <w:vAlign w:val="center"/>
                </w:tcPr>
                <w:p w14:paraId="66993191">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储罐规格</w:t>
                  </w:r>
                </w:p>
              </w:tc>
              <w:tc>
                <w:tcPr>
                  <w:tcW w:w="3477" w:type="pct"/>
                  <w:tcBorders>
                    <w:tl2br w:val="nil"/>
                    <w:tr2bl w:val="nil"/>
                  </w:tcBorders>
                  <w:noWrap w:val="0"/>
                  <w:vAlign w:val="center"/>
                </w:tcPr>
                <w:p w14:paraId="4B91B332">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3.5 m</w:t>
                  </w:r>
                  <w:r>
                    <w:rPr>
                      <w:rFonts w:hint="eastAsia"/>
                      <w:color w:val="000000" w:themeColor="text1"/>
                      <w:highlight w:val="none"/>
                      <w:vertAlign w:val="superscript"/>
                      <w:lang w:val="en-US" w:eastAsia="zh-CN" w:bidi="ar-SA"/>
                      <w14:textFill>
                        <w14:solidFill>
                          <w14:schemeClr w14:val="tx1"/>
                        </w14:solidFill>
                      </w14:textFill>
                    </w:rPr>
                    <w:t>3</w:t>
                  </w:r>
                  <w:r>
                    <w:rPr>
                      <w:rFonts w:hint="eastAsia"/>
                      <w:color w:val="000000" w:themeColor="text1"/>
                      <w:highlight w:val="none"/>
                      <w:lang w:val="en-US" w:eastAsia="zh-CN" w:bidi="ar-SA"/>
                      <w14:textFill>
                        <w14:solidFill>
                          <w14:schemeClr w14:val="tx1"/>
                        </w14:solidFill>
                      </w14:textFill>
                    </w:rPr>
                    <w:t>乙醇储罐</w:t>
                  </w:r>
                </w:p>
              </w:tc>
            </w:tr>
            <w:tr w14:paraId="6AA794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9" w:type="pct"/>
                  <w:tcBorders>
                    <w:tl2br w:val="nil"/>
                    <w:tr2bl w:val="nil"/>
                  </w:tcBorders>
                  <w:noWrap w:val="0"/>
                  <w:vAlign w:val="center"/>
                </w:tcPr>
                <w:p w14:paraId="055DCA15">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2</w:t>
                  </w:r>
                </w:p>
              </w:tc>
              <w:tc>
                <w:tcPr>
                  <w:tcW w:w="1022" w:type="pct"/>
                  <w:tcBorders>
                    <w:tl2br w:val="nil"/>
                    <w:tr2bl w:val="nil"/>
                  </w:tcBorders>
                  <w:noWrap w:val="0"/>
                  <w:vAlign w:val="center"/>
                </w:tcPr>
                <w:p w14:paraId="38CE71B0">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储罐类型</w:t>
                  </w:r>
                </w:p>
              </w:tc>
              <w:tc>
                <w:tcPr>
                  <w:tcW w:w="3477" w:type="pct"/>
                  <w:tcBorders>
                    <w:tl2br w:val="nil"/>
                    <w:tr2bl w:val="nil"/>
                  </w:tcBorders>
                  <w:noWrap w:val="0"/>
                  <w:vAlign w:val="center"/>
                </w:tcPr>
                <w:p w14:paraId="71B07CA5">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固定顶罐</w:t>
                  </w:r>
                </w:p>
              </w:tc>
            </w:tr>
            <w:tr w14:paraId="1AFEBF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9" w:type="pct"/>
                  <w:tcBorders>
                    <w:tl2br w:val="nil"/>
                    <w:tr2bl w:val="nil"/>
                  </w:tcBorders>
                  <w:noWrap w:val="0"/>
                  <w:vAlign w:val="center"/>
                </w:tcPr>
                <w:p w14:paraId="03827F06">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3</w:t>
                  </w:r>
                </w:p>
              </w:tc>
              <w:tc>
                <w:tcPr>
                  <w:tcW w:w="1022" w:type="pct"/>
                  <w:tcBorders>
                    <w:tl2br w:val="nil"/>
                    <w:tr2bl w:val="nil"/>
                  </w:tcBorders>
                  <w:noWrap w:val="0"/>
                  <w:vAlign w:val="center"/>
                </w:tcPr>
                <w:p w14:paraId="67EF5352">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数量（个）</w:t>
                  </w:r>
                </w:p>
              </w:tc>
              <w:tc>
                <w:tcPr>
                  <w:tcW w:w="3477" w:type="pct"/>
                  <w:tcBorders>
                    <w:tl2br w:val="nil"/>
                    <w:tr2bl w:val="nil"/>
                  </w:tcBorders>
                  <w:noWrap w:val="0"/>
                  <w:vAlign w:val="center"/>
                </w:tcPr>
                <w:p w14:paraId="1E92B7B5">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2</w:t>
                  </w:r>
                </w:p>
              </w:tc>
            </w:tr>
            <w:tr w14:paraId="1E26A5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9" w:type="pct"/>
                  <w:tcBorders>
                    <w:tl2br w:val="nil"/>
                    <w:tr2bl w:val="nil"/>
                  </w:tcBorders>
                  <w:noWrap w:val="0"/>
                  <w:vAlign w:val="center"/>
                </w:tcPr>
                <w:p w14:paraId="49DFA7C4">
                  <w:pPr>
                    <w:pStyle w:val="26"/>
                    <w:bidi w:val="0"/>
                    <w:ind w:firstLine="0" w:firstLineChars="0"/>
                    <w:jc w:val="center"/>
                    <w:rPr>
                      <w:rFonts w:hint="eastAsia"/>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4</w:t>
                  </w:r>
                </w:p>
              </w:tc>
              <w:tc>
                <w:tcPr>
                  <w:tcW w:w="1022" w:type="pct"/>
                  <w:tcBorders>
                    <w:tl2br w:val="nil"/>
                    <w:tr2bl w:val="nil"/>
                  </w:tcBorders>
                  <w:noWrap w:val="0"/>
                  <w:vAlign w:val="center"/>
                </w:tcPr>
                <w:p w14:paraId="293E6310">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储罐尺寸</w:t>
                  </w:r>
                </w:p>
              </w:tc>
              <w:tc>
                <w:tcPr>
                  <w:tcW w:w="3477" w:type="pct"/>
                  <w:tcBorders>
                    <w:tl2br w:val="nil"/>
                    <w:tr2bl w:val="nil"/>
                  </w:tcBorders>
                  <w:noWrap w:val="0"/>
                  <w:vAlign w:val="center"/>
                </w:tcPr>
                <w:p w14:paraId="3D08D624">
                  <w:pPr>
                    <w:pStyle w:val="26"/>
                    <w:bidi w:val="0"/>
                    <w:ind w:firstLine="0" w:firstLineChars="0"/>
                    <w:jc w:val="center"/>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直径×高：1.80×1.40 m</w:t>
                  </w:r>
                </w:p>
              </w:tc>
            </w:tr>
            <w:tr w14:paraId="3A89ED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9" w:type="pct"/>
                  <w:tcBorders>
                    <w:tl2br w:val="nil"/>
                    <w:tr2bl w:val="nil"/>
                  </w:tcBorders>
                  <w:noWrap w:val="0"/>
                  <w:vAlign w:val="center"/>
                </w:tcPr>
                <w:p w14:paraId="3B36F91E">
                  <w:pPr>
                    <w:pStyle w:val="26"/>
                    <w:bidi w:val="0"/>
                    <w:ind w:firstLine="0" w:firstLineChars="0"/>
                    <w:jc w:val="center"/>
                    <w:rPr>
                      <w:rFonts w:hint="default" w:eastAsia="宋体"/>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5</w:t>
                  </w:r>
                </w:p>
              </w:tc>
              <w:tc>
                <w:tcPr>
                  <w:tcW w:w="1022" w:type="pct"/>
                  <w:tcBorders>
                    <w:tl2br w:val="nil"/>
                    <w:tr2bl w:val="nil"/>
                  </w:tcBorders>
                  <w:noWrap w:val="0"/>
                  <w:vAlign w:val="center"/>
                </w:tcPr>
                <w:p w14:paraId="746E9DB3">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M</w:t>
                  </w:r>
                  <w:r>
                    <w:rPr>
                      <w:rFonts w:hint="eastAsia"/>
                      <w:color w:val="000000" w:themeColor="text1"/>
                      <w:highlight w:val="none"/>
                      <w:vertAlign w:val="subscript"/>
                      <w:lang w:val="en-US" w:eastAsia="zh-CN" w:bidi="ar-SA"/>
                      <w14:textFill>
                        <w14:solidFill>
                          <w14:schemeClr w14:val="tx1"/>
                        </w14:solidFill>
                      </w14:textFill>
                    </w:rPr>
                    <w:t>V</w:t>
                  </w:r>
                  <w:r>
                    <w:rPr>
                      <w:rFonts w:hint="eastAsia"/>
                      <w:color w:val="000000" w:themeColor="text1"/>
                      <w:highlight w:val="none"/>
                      <w:vertAlign w:val="baseline"/>
                      <w:lang w:val="en-US" w:eastAsia="zh-CN" w:bidi="ar-SA"/>
                      <w14:textFill>
                        <w14:solidFill>
                          <w14:schemeClr w14:val="tx1"/>
                        </w14:solidFill>
                      </w14:textFill>
                    </w:rPr>
                    <w:t>（lb/lb-mol）</w:t>
                  </w:r>
                </w:p>
              </w:tc>
              <w:tc>
                <w:tcPr>
                  <w:tcW w:w="3477" w:type="pct"/>
                  <w:tcBorders>
                    <w:tl2br w:val="nil"/>
                    <w:tr2bl w:val="nil"/>
                  </w:tcBorders>
                  <w:noWrap w:val="0"/>
                  <w:vAlign w:val="center"/>
                </w:tcPr>
                <w:p w14:paraId="4652E361">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0.1（乙醇摩尔质量为46.07 g/mol，1b=453.592g）</w:t>
                  </w:r>
                </w:p>
              </w:tc>
            </w:tr>
            <w:tr w14:paraId="3AB9FA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9" w:type="pct"/>
                  <w:tcBorders>
                    <w:tl2br w:val="nil"/>
                    <w:tr2bl w:val="nil"/>
                  </w:tcBorders>
                  <w:noWrap w:val="0"/>
                  <w:vAlign w:val="center"/>
                </w:tcPr>
                <w:p w14:paraId="04943B36">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6</w:t>
                  </w:r>
                </w:p>
              </w:tc>
              <w:tc>
                <w:tcPr>
                  <w:tcW w:w="1022" w:type="pct"/>
                  <w:tcBorders>
                    <w:tl2br w:val="nil"/>
                    <w:tr2bl w:val="nil"/>
                  </w:tcBorders>
                  <w:noWrap w:val="0"/>
                  <w:vAlign w:val="center"/>
                </w:tcPr>
                <w:p w14:paraId="2CDF4515">
                  <w:pPr>
                    <w:pStyle w:val="26"/>
                    <w:bidi w:val="0"/>
                    <w:ind w:firstLine="0" w:firstLineChars="0"/>
                    <w:jc w:val="center"/>
                    <w:rPr>
                      <w:rFonts w:hint="default" w:eastAsia="宋体"/>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T</w:t>
                  </w:r>
                  <w:r>
                    <w:rPr>
                      <w:rFonts w:hint="eastAsia"/>
                      <w:color w:val="000000" w:themeColor="text1"/>
                      <w:highlight w:val="none"/>
                      <w:vertAlign w:val="subscript"/>
                      <w:lang w:val="en-US" w:eastAsia="zh-CN" w:bidi="ar-SA"/>
                      <w14:textFill>
                        <w14:solidFill>
                          <w14:schemeClr w14:val="tx1"/>
                        </w14:solidFill>
                      </w14:textFill>
                    </w:rPr>
                    <w:t>LA</w:t>
                  </w:r>
                  <w:r>
                    <w:rPr>
                      <w:rFonts w:hint="eastAsia"/>
                      <w:color w:val="000000" w:themeColor="text1"/>
                      <w:highlight w:val="none"/>
                      <w:vertAlign w:val="baseline"/>
                      <w:lang w:val="en-US" w:eastAsia="zh-CN" w:bidi="ar-SA"/>
                      <w14:textFill>
                        <w14:solidFill>
                          <w14:schemeClr w14:val="tx1"/>
                        </w14:solidFill>
                      </w14:textFill>
                    </w:rPr>
                    <w:t>（</w:t>
                  </w:r>
                  <w:r>
                    <w:rPr>
                      <w:rFonts w:hint="default" w:ascii="Times New Roman" w:hAnsi="Times New Roman" w:eastAsia="Helvetica" w:cs="Times New Roman"/>
                      <w:i w:val="0"/>
                      <w:iCs w:val="0"/>
                      <w:caps w:val="0"/>
                      <w:color w:val="000000" w:themeColor="text1"/>
                      <w:spacing w:val="0"/>
                      <w:sz w:val="24"/>
                      <w:szCs w:val="24"/>
                      <w:highlight w:val="none"/>
                      <w:shd w:val="clear" w:color="auto" w:fill="FFFFFF"/>
                      <w:vertAlign w:val="baseline"/>
                      <w:lang w:val="en-US" w:eastAsia="zh-CN" w:bidi="ar-SA"/>
                      <w14:textFill>
                        <w14:solidFill>
                          <w14:schemeClr w14:val="tx1"/>
                        </w14:solidFill>
                      </w14:textFill>
                    </w:rPr>
                    <w:t>°R</w:t>
                  </w:r>
                  <w:r>
                    <w:rPr>
                      <w:rFonts w:hint="eastAsia"/>
                      <w:color w:val="000000" w:themeColor="text1"/>
                      <w:highlight w:val="none"/>
                      <w:vertAlign w:val="baseline"/>
                      <w:lang w:val="en-US" w:eastAsia="zh-CN" w:bidi="ar-SA"/>
                      <w14:textFill>
                        <w14:solidFill>
                          <w14:schemeClr w14:val="tx1"/>
                        </w14:solidFill>
                      </w14:textFill>
                    </w:rPr>
                    <w:t>）</w:t>
                  </w:r>
                </w:p>
              </w:tc>
              <w:tc>
                <w:tcPr>
                  <w:tcW w:w="3477" w:type="pct"/>
                  <w:tcBorders>
                    <w:tl2br w:val="nil"/>
                    <w:tr2bl w:val="nil"/>
                  </w:tcBorders>
                  <w:noWrap w:val="0"/>
                  <w:vAlign w:val="center"/>
                </w:tcPr>
                <w:p w14:paraId="46A98A3E">
                  <w:pPr>
                    <w:pStyle w:val="26"/>
                    <w:bidi w:val="0"/>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536.67</w:t>
                  </w:r>
                  <w:r>
                    <w:rPr>
                      <w:rFonts w:hint="eastAsia"/>
                      <w:color w:val="000000" w:themeColor="text1"/>
                      <w:highlight w:val="none"/>
                      <w:lang w:val="en-US" w:eastAsia="zh-CN" w:bidi="ar-SA"/>
                      <w14:textFill>
                        <w14:solidFill>
                          <w14:schemeClr w14:val="tx1"/>
                        </w14:solidFill>
                      </w14:textFill>
                    </w:rPr>
                    <w:t>（</w:t>
                  </w:r>
                  <w:r>
                    <w:rPr>
                      <w:rFonts w:hint="default"/>
                      <w:color w:val="000000" w:themeColor="text1"/>
                      <w:highlight w:val="none"/>
                      <w:lang w:val="en-US" w:eastAsia="zh-CN" w:bidi="ar-SA"/>
                      <w14:textFill>
                        <w14:solidFill>
                          <w14:schemeClr w14:val="tx1"/>
                        </w14:solidFill>
                      </w14:textFill>
                    </w:rPr>
                    <w:t>25</w:t>
                  </w:r>
                  <w:r>
                    <w:rPr>
                      <w:rFonts w:hint="eastAsia"/>
                      <w:color w:val="000000" w:themeColor="text1"/>
                      <w:highlight w:val="none"/>
                      <w:lang w:val="en-US" w:eastAsia="zh-CN" w:bidi="ar-SA"/>
                      <w14:textFill>
                        <w14:solidFill>
                          <w14:schemeClr w14:val="tx1"/>
                        </w14:solidFill>
                      </w14:textFill>
                    </w:rPr>
                    <w:t>℃</w:t>
                  </w:r>
                  <w:r>
                    <w:rPr>
                      <w:rFonts w:hint="default"/>
                      <w:color w:val="000000" w:themeColor="text1"/>
                      <w:highlight w:val="none"/>
                      <w:lang w:val="en-US" w:eastAsia="zh-CN" w:bidi="ar-SA"/>
                      <w14:textFill>
                        <w14:solidFill>
                          <w14:schemeClr w14:val="tx1"/>
                        </w14:solidFill>
                      </w14:textFill>
                    </w:rPr>
                    <w:t>=536.67°R</w:t>
                  </w:r>
                  <w:r>
                    <w:rPr>
                      <w:rFonts w:hint="eastAsia"/>
                      <w:color w:val="000000" w:themeColor="text1"/>
                      <w:highlight w:val="none"/>
                      <w:lang w:val="en-US" w:eastAsia="zh-CN" w:bidi="ar-SA"/>
                      <w14:textFill>
                        <w14:solidFill>
                          <w14:schemeClr w14:val="tx1"/>
                        </w14:solidFill>
                      </w14:textFill>
                    </w:rPr>
                    <w:t>）</w:t>
                  </w:r>
                </w:p>
              </w:tc>
            </w:tr>
            <w:tr w14:paraId="5954D4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9" w:type="pct"/>
                  <w:tcBorders>
                    <w:tl2br w:val="nil"/>
                    <w:tr2bl w:val="nil"/>
                  </w:tcBorders>
                  <w:noWrap w:val="0"/>
                  <w:vAlign w:val="center"/>
                </w:tcPr>
                <w:p w14:paraId="72D7BEE8">
                  <w:pPr>
                    <w:pStyle w:val="26"/>
                    <w:bidi w:val="0"/>
                    <w:ind w:firstLine="0" w:firstLineChars="0"/>
                    <w:jc w:val="center"/>
                    <w:rPr>
                      <w:rFonts w:hint="default" w:eastAsia="宋体"/>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7</w:t>
                  </w:r>
                </w:p>
              </w:tc>
              <w:tc>
                <w:tcPr>
                  <w:tcW w:w="1022" w:type="pct"/>
                  <w:tcBorders>
                    <w:tl2br w:val="nil"/>
                    <w:tr2bl w:val="nil"/>
                  </w:tcBorders>
                  <w:noWrap w:val="0"/>
                  <w:vAlign w:val="center"/>
                </w:tcPr>
                <w:p w14:paraId="7BC46EC3">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P</w:t>
                  </w:r>
                  <w:r>
                    <w:rPr>
                      <w:rFonts w:hint="eastAsia"/>
                      <w:color w:val="000000" w:themeColor="text1"/>
                      <w:highlight w:val="none"/>
                      <w:vertAlign w:val="subscript"/>
                      <w:lang w:val="en-US" w:eastAsia="zh-CN" w:bidi="ar-SA"/>
                      <w14:textFill>
                        <w14:solidFill>
                          <w14:schemeClr w14:val="tx1"/>
                        </w14:solidFill>
                      </w14:textFill>
                    </w:rPr>
                    <w:t>VA</w:t>
                  </w:r>
                  <w:r>
                    <w:rPr>
                      <w:rFonts w:hint="eastAsia"/>
                      <w:color w:val="000000" w:themeColor="text1"/>
                      <w:highlight w:val="none"/>
                      <w:vertAlign w:val="baseline"/>
                      <w:lang w:val="en-US" w:eastAsia="zh-CN" w:bidi="ar-SA"/>
                      <w14:textFill>
                        <w14:solidFill>
                          <w14:schemeClr w14:val="tx1"/>
                        </w14:solidFill>
                      </w14:textFill>
                    </w:rPr>
                    <w:t>（</w:t>
                  </w:r>
                  <w:r>
                    <w:rPr>
                      <w:rFonts w:hint="eastAsia"/>
                      <w:color w:val="000000" w:themeColor="text1"/>
                      <w:highlight w:val="none"/>
                      <w:lang w:val="en-US" w:eastAsia="zh-CN" w:bidi="ar-SA"/>
                      <w14:textFill>
                        <w14:solidFill>
                          <w14:schemeClr w14:val="tx1"/>
                        </w14:solidFill>
                      </w14:textFill>
                    </w:rPr>
                    <w:t>lb/ft</w:t>
                  </w:r>
                  <w:r>
                    <w:rPr>
                      <w:rFonts w:hint="eastAsia"/>
                      <w:color w:val="000000" w:themeColor="text1"/>
                      <w:highlight w:val="none"/>
                      <w:vertAlign w:val="superscript"/>
                      <w:lang w:val="en-US" w:eastAsia="zh-CN" w:bidi="ar-SA"/>
                      <w14:textFill>
                        <w14:solidFill>
                          <w14:schemeClr w14:val="tx1"/>
                        </w14:solidFill>
                      </w14:textFill>
                    </w:rPr>
                    <w:t>2</w:t>
                  </w:r>
                  <w:r>
                    <w:rPr>
                      <w:rFonts w:hint="eastAsia"/>
                      <w:color w:val="000000" w:themeColor="text1"/>
                      <w:highlight w:val="none"/>
                      <w:vertAlign w:val="baseline"/>
                      <w:lang w:val="en-US" w:eastAsia="zh-CN" w:bidi="ar-SA"/>
                      <w14:textFill>
                        <w14:solidFill>
                          <w14:schemeClr w14:val="tx1"/>
                        </w14:solidFill>
                      </w14:textFill>
                    </w:rPr>
                    <w:t>）</w:t>
                  </w:r>
                </w:p>
              </w:tc>
              <w:tc>
                <w:tcPr>
                  <w:tcW w:w="3477" w:type="pct"/>
                  <w:tcBorders>
                    <w:tl2br w:val="nil"/>
                    <w:tr2bl w:val="nil"/>
                  </w:tcBorders>
                  <w:noWrap w:val="0"/>
                  <w:vAlign w:val="center"/>
                </w:tcPr>
                <w:p w14:paraId="767FBC6F">
                  <w:pPr>
                    <w:pStyle w:val="26"/>
                    <w:bidi w:val="0"/>
                    <w:jc w:val="center"/>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121.136</w:t>
                  </w:r>
                </w:p>
                <w:p w14:paraId="284E8AAF">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（乙醇常温下</w:t>
                  </w:r>
                  <w:r>
                    <w:rPr>
                      <w:rFonts w:hint="eastAsia"/>
                      <w:color w:val="000000" w:themeColor="text1"/>
                      <w:highlight w:val="none"/>
                      <w:lang w:val="en-US" w:eastAsia="zh-CN" w:bidi="ar-SA"/>
                      <w14:textFill>
                        <w14:solidFill>
                          <w14:schemeClr w14:val="tx1"/>
                        </w14:solidFill>
                      </w14:textFill>
                    </w:rPr>
                    <w:t>饱和蒸汽</w:t>
                  </w:r>
                  <w:r>
                    <w:rPr>
                      <w:rFonts w:hint="default"/>
                      <w:color w:val="000000" w:themeColor="text1"/>
                      <w:highlight w:val="none"/>
                      <w:lang w:val="en-US" w:eastAsia="zh-CN" w:bidi="ar-SA"/>
                      <w14:textFill>
                        <w14:solidFill>
                          <w14:schemeClr w14:val="tx1"/>
                        </w14:solidFill>
                      </w14:textFill>
                    </w:rPr>
                    <w:t>压为5.8kpa，1lb/ft</w:t>
                  </w:r>
                  <w:r>
                    <w:rPr>
                      <w:rFonts w:hint="default"/>
                      <w:color w:val="000000" w:themeColor="text1"/>
                      <w:highlight w:val="none"/>
                      <w:vertAlign w:val="superscript"/>
                      <w:lang w:val="en-US" w:eastAsia="zh-CN" w:bidi="ar-SA"/>
                      <w14:textFill>
                        <w14:solidFill>
                          <w14:schemeClr w14:val="tx1"/>
                        </w14:solidFill>
                      </w14:textFill>
                    </w:rPr>
                    <w:t>2</w:t>
                  </w:r>
                  <w:r>
                    <w:rPr>
                      <w:rFonts w:hint="default"/>
                      <w:color w:val="000000" w:themeColor="text1"/>
                      <w:highlight w:val="none"/>
                      <w:lang w:val="en-US" w:eastAsia="zh-CN" w:bidi="ar-SA"/>
                      <w14:textFill>
                        <w14:solidFill>
                          <w14:schemeClr w14:val="tx1"/>
                        </w14:solidFill>
                      </w14:textFill>
                    </w:rPr>
                    <w:t>=</w:t>
                  </w:r>
                  <w:r>
                    <w:rPr>
                      <w:rFonts w:hint="eastAsia"/>
                      <w:color w:val="000000" w:themeColor="text1"/>
                      <w:highlight w:val="none"/>
                      <w:lang w:val="en-US" w:eastAsia="zh-CN" w:bidi="ar-SA"/>
                      <w14:textFill>
                        <w14:solidFill>
                          <w14:schemeClr w14:val="tx1"/>
                        </w14:solidFill>
                      </w14:textFill>
                    </w:rPr>
                    <w:t>0.04788</w:t>
                  </w:r>
                  <w:r>
                    <w:rPr>
                      <w:rFonts w:hint="default"/>
                      <w:color w:val="000000" w:themeColor="text1"/>
                      <w:highlight w:val="none"/>
                      <w:lang w:val="en-US" w:eastAsia="zh-CN" w:bidi="ar-SA"/>
                      <w14:textFill>
                        <w14:solidFill>
                          <w14:schemeClr w14:val="tx1"/>
                        </w14:solidFill>
                      </w14:textFill>
                    </w:rPr>
                    <w:t xml:space="preserve"> kPa）</w:t>
                  </w:r>
                </w:p>
              </w:tc>
            </w:tr>
            <w:tr w14:paraId="3A94A7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9" w:type="pct"/>
                  <w:tcBorders>
                    <w:tl2br w:val="nil"/>
                    <w:tr2bl w:val="nil"/>
                  </w:tcBorders>
                  <w:noWrap w:val="0"/>
                  <w:vAlign w:val="center"/>
                </w:tcPr>
                <w:p w14:paraId="74E72167">
                  <w:pPr>
                    <w:pStyle w:val="26"/>
                    <w:bidi w:val="0"/>
                    <w:ind w:firstLine="0" w:firstLineChars="0"/>
                    <w:jc w:val="center"/>
                    <w:rPr>
                      <w:rFonts w:hint="default" w:eastAsia="宋体"/>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8</w:t>
                  </w:r>
                </w:p>
              </w:tc>
              <w:tc>
                <w:tcPr>
                  <w:tcW w:w="1022" w:type="pct"/>
                  <w:tcBorders>
                    <w:tl2br w:val="nil"/>
                    <w:tr2bl w:val="nil"/>
                  </w:tcBorders>
                  <w:noWrap w:val="0"/>
                  <w:vAlign w:val="center"/>
                </w:tcPr>
                <w:p w14:paraId="57DC4DE8">
                  <w:pPr>
                    <w:pStyle w:val="26"/>
                    <w:bidi w:val="0"/>
                    <w:ind w:firstLine="0" w:firstLineChars="0"/>
                    <w:jc w:val="center"/>
                    <w:rPr>
                      <w:rFonts w:hint="default" w:eastAsia="宋体"/>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Q（bbl/a）</w:t>
                  </w:r>
                </w:p>
              </w:tc>
              <w:tc>
                <w:tcPr>
                  <w:tcW w:w="3477" w:type="pct"/>
                  <w:tcBorders>
                    <w:tl2br w:val="nil"/>
                    <w:tr2bl w:val="nil"/>
                  </w:tcBorders>
                  <w:noWrap w:val="0"/>
                  <w:vAlign w:val="center"/>
                </w:tcPr>
                <w:p w14:paraId="0587BDB0">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84.12</w:t>
                  </w:r>
                </w:p>
                <w:p w14:paraId="74B5FF9F">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（乙醇使用量为</w:t>
                  </w:r>
                  <w:r>
                    <w:rPr>
                      <w:rFonts w:hint="eastAsia"/>
                      <w:color w:val="000000" w:themeColor="text1"/>
                      <w:highlight w:val="none"/>
                      <w:lang w:val="en-US" w:eastAsia="zh-CN" w:bidi="ar-SA"/>
                      <w14:textFill>
                        <w14:solidFill>
                          <w14:schemeClr w14:val="tx1"/>
                        </w14:solidFill>
                      </w14:textFill>
                    </w:rPr>
                    <w:t xml:space="preserve">10.5 </w:t>
                  </w:r>
                  <w:r>
                    <w:rPr>
                      <w:rFonts w:hint="default"/>
                      <w:color w:val="000000" w:themeColor="text1"/>
                      <w:highlight w:val="none"/>
                      <w:lang w:val="en-US" w:eastAsia="zh-CN" w:bidi="ar-SA"/>
                      <w14:textFill>
                        <w14:solidFill>
                          <w14:schemeClr w14:val="tx1"/>
                        </w14:solidFill>
                      </w14:textFill>
                    </w:rPr>
                    <w:t>t/a，乙醇密度为</w:t>
                  </w:r>
                  <w:r>
                    <w:rPr>
                      <w:rFonts w:hint="eastAsia"/>
                      <w:color w:val="000000" w:themeColor="text1"/>
                      <w:highlight w:val="none"/>
                      <w:lang w:val="en-US" w:eastAsia="zh-CN" w:bidi="ar-SA"/>
                      <w14:textFill>
                        <w14:solidFill>
                          <w14:schemeClr w14:val="tx1"/>
                        </w14:solidFill>
                      </w14:textFill>
                    </w:rPr>
                    <w:t xml:space="preserve">785 </w:t>
                  </w:r>
                  <w:r>
                    <w:rPr>
                      <w:rFonts w:hint="default"/>
                      <w:color w:val="000000" w:themeColor="text1"/>
                      <w:highlight w:val="none"/>
                      <w:lang w:val="en-US" w:eastAsia="zh-CN" w:bidi="ar-SA"/>
                      <w14:textFill>
                        <w14:solidFill>
                          <w14:schemeClr w14:val="tx1"/>
                        </w14:solidFill>
                      </w14:textFill>
                    </w:rPr>
                    <w:t>kg/m</w:t>
                  </w:r>
                  <w:r>
                    <w:rPr>
                      <w:rFonts w:hint="default"/>
                      <w:color w:val="000000" w:themeColor="text1"/>
                      <w:highlight w:val="none"/>
                      <w:vertAlign w:val="superscript"/>
                      <w:lang w:val="en-US" w:eastAsia="zh-CN" w:bidi="ar-SA"/>
                      <w14:textFill>
                        <w14:solidFill>
                          <w14:schemeClr w14:val="tx1"/>
                        </w14:solidFill>
                      </w14:textFill>
                    </w:rPr>
                    <w:t>3</w:t>
                  </w:r>
                  <w:r>
                    <w:rPr>
                      <w:rFonts w:hint="default"/>
                      <w:color w:val="000000" w:themeColor="text1"/>
                      <w:highlight w:val="none"/>
                      <w:lang w:val="en-US" w:eastAsia="zh-CN" w:bidi="ar-SA"/>
                      <w14:textFill>
                        <w14:solidFill>
                          <w14:schemeClr w14:val="tx1"/>
                        </w14:solidFill>
                      </w14:textFill>
                    </w:rPr>
                    <w:t>，1bbl=0.159</w:t>
                  </w:r>
                  <w:r>
                    <w:rPr>
                      <w:rFonts w:hint="eastAsia"/>
                      <w:color w:val="000000" w:themeColor="text1"/>
                      <w:highlight w:val="none"/>
                      <w:lang w:val="en-US" w:eastAsia="zh-CN" w:bidi="ar-SA"/>
                      <w14:textFill>
                        <w14:solidFill>
                          <w14:schemeClr w14:val="tx1"/>
                        </w14:solidFill>
                      </w14:textFill>
                    </w:rPr>
                    <w:t xml:space="preserve"> </w:t>
                  </w:r>
                  <w:r>
                    <w:rPr>
                      <w:rFonts w:hint="default"/>
                      <w:color w:val="000000" w:themeColor="text1"/>
                      <w:highlight w:val="none"/>
                      <w:lang w:val="en-US" w:eastAsia="zh-CN" w:bidi="ar-SA"/>
                      <w14:textFill>
                        <w14:solidFill>
                          <w14:schemeClr w14:val="tx1"/>
                        </w14:solidFill>
                      </w14:textFill>
                    </w:rPr>
                    <w:t>m</w:t>
                  </w:r>
                  <w:r>
                    <w:rPr>
                      <w:rFonts w:hint="default"/>
                      <w:color w:val="000000" w:themeColor="text1"/>
                      <w:highlight w:val="none"/>
                      <w:vertAlign w:val="superscript"/>
                      <w:lang w:val="en-US" w:eastAsia="zh-CN" w:bidi="ar-SA"/>
                      <w14:textFill>
                        <w14:solidFill>
                          <w14:schemeClr w14:val="tx1"/>
                        </w14:solidFill>
                      </w14:textFill>
                    </w:rPr>
                    <w:t>3</w:t>
                  </w:r>
                  <w:r>
                    <w:rPr>
                      <w:rFonts w:hint="default"/>
                      <w:color w:val="000000" w:themeColor="text1"/>
                      <w:highlight w:val="none"/>
                      <w:lang w:val="en-US" w:eastAsia="zh-CN" w:bidi="ar-SA"/>
                      <w14:textFill>
                        <w14:solidFill>
                          <w14:schemeClr w14:val="tx1"/>
                        </w14:solidFill>
                      </w14:textFill>
                    </w:rPr>
                    <w:t>）</w:t>
                  </w:r>
                </w:p>
              </w:tc>
            </w:tr>
            <w:tr w14:paraId="133DBC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9" w:type="pct"/>
                  <w:tcBorders>
                    <w:tl2br w:val="nil"/>
                    <w:tr2bl w:val="nil"/>
                  </w:tcBorders>
                  <w:noWrap w:val="0"/>
                  <w:vAlign w:val="center"/>
                </w:tcPr>
                <w:p w14:paraId="37D5EC60">
                  <w:pPr>
                    <w:pStyle w:val="26"/>
                    <w:bidi w:val="0"/>
                    <w:ind w:firstLine="0" w:firstLineChars="0"/>
                    <w:jc w:val="center"/>
                    <w:rPr>
                      <w:rFonts w:hint="eastAsia" w:eastAsia="宋体"/>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9</w:t>
                  </w:r>
                </w:p>
              </w:tc>
              <w:tc>
                <w:tcPr>
                  <w:tcW w:w="1022" w:type="pct"/>
                  <w:tcBorders>
                    <w:tl2br w:val="nil"/>
                    <w:tr2bl w:val="nil"/>
                  </w:tcBorders>
                  <w:noWrap w:val="0"/>
                  <w:vAlign w:val="center"/>
                </w:tcPr>
                <w:p w14:paraId="24EE90C4">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K</w:t>
                  </w:r>
                  <w:r>
                    <w:rPr>
                      <w:rFonts w:hint="eastAsia"/>
                      <w:color w:val="000000" w:themeColor="text1"/>
                      <w:highlight w:val="none"/>
                      <w:vertAlign w:val="subscript"/>
                      <w:lang w:val="en-US" w:eastAsia="zh-CN" w:bidi="ar-SA"/>
                      <w14:textFill>
                        <w14:solidFill>
                          <w14:schemeClr w14:val="tx1"/>
                        </w14:solidFill>
                      </w14:textFill>
                    </w:rPr>
                    <w:t>P</w:t>
                  </w:r>
                </w:p>
              </w:tc>
              <w:tc>
                <w:tcPr>
                  <w:tcW w:w="3477" w:type="pct"/>
                  <w:tcBorders>
                    <w:tl2br w:val="nil"/>
                    <w:tr2bl w:val="nil"/>
                  </w:tcBorders>
                  <w:noWrap w:val="0"/>
                  <w:vAlign w:val="center"/>
                </w:tcPr>
                <w:p w14:paraId="2D4EECD1">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w:t>
                  </w:r>
                </w:p>
              </w:tc>
            </w:tr>
            <w:tr w14:paraId="307048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9" w:type="pct"/>
                  <w:tcBorders>
                    <w:tl2br w:val="nil"/>
                    <w:tr2bl w:val="nil"/>
                  </w:tcBorders>
                  <w:noWrap w:val="0"/>
                  <w:vAlign w:val="center"/>
                </w:tcPr>
                <w:p w14:paraId="33E7ECAF">
                  <w:pPr>
                    <w:pStyle w:val="26"/>
                    <w:bidi w:val="0"/>
                    <w:ind w:firstLine="0" w:firstLineChars="0"/>
                    <w:jc w:val="center"/>
                    <w:rPr>
                      <w:rFonts w:hint="eastAsia" w:eastAsia="宋体"/>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10</w:t>
                  </w:r>
                </w:p>
              </w:tc>
              <w:tc>
                <w:tcPr>
                  <w:tcW w:w="1022" w:type="pct"/>
                  <w:tcBorders>
                    <w:tl2br w:val="nil"/>
                    <w:tr2bl w:val="nil"/>
                  </w:tcBorders>
                  <w:noWrap w:val="0"/>
                  <w:vAlign w:val="center"/>
                </w:tcPr>
                <w:p w14:paraId="0CED0D6E">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K</w:t>
                  </w:r>
                  <w:r>
                    <w:rPr>
                      <w:rFonts w:hint="eastAsia"/>
                      <w:color w:val="000000" w:themeColor="text1"/>
                      <w:highlight w:val="none"/>
                      <w:vertAlign w:val="subscript"/>
                      <w:lang w:val="en-US" w:eastAsia="zh-CN" w:bidi="ar-SA"/>
                      <w14:textFill>
                        <w14:solidFill>
                          <w14:schemeClr w14:val="tx1"/>
                        </w14:solidFill>
                      </w14:textFill>
                    </w:rPr>
                    <w:t>N</w:t>
                  </w:r>
                </w:p>
              </w:tc>
              <w:tc>
                <w:tcPr>
                  <w:tcW w:w="3477" w:type="pct"/>
                  <w:tcBorders>
                    <w:tl2br w:val="nil"/>
                    <w:tr2bl w:val="nil"/>
                  </w:tcBorders>
                  <w:noWrap w:val="0"/>
                  <w:vAlign w:val="center"/>
                </w:tcPr>
                <w:p w14:paraId="077E758E">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w:t>
                  </w:r>
                </w:p>
              </w:tc>
            </w:tr>
            <w:tr w14:paraId="59FC91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9" w:type="pct"/>
                  <w:tcBorders>
                    <w:tl2br w:val="nil"/>
                    <w:tr2bl w:val="nil"/>
                  </w:tcBorders>
                  <w:noWrap w:val="0"/>
                  <w:vAlign w:val="center"/>
                </w:tcPr>
                <w:p w14:paraId="0A6A0110">
                  <w:pPr>
                    <w:pStyle w:val="26"/>
                    <w:bidi w:val="0"/>
                    <w:ind w:firstLine="0" w:firstLineChars="0"/>
                    <w:jc w:val="center"/>
                    <w:rPr>
                      <w:rFonts w:hint="default" w:eastAsia="宋体"/>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11</w:t>
                  </w:r>
                </w:p>
              </w:tc>
              <w:tc>
                <w:tcPr>
                  <w:tcW w:w="1022" w:type="pct"/>
                  <w:tcBorders>
                    <w:tl2br w:val="nil"/>
                    <w:tr2bl w:val="nil"/>
                  </w:tcBorders>
                  <w:noWrap w:val="0"/>
                  <w:vAlign w:val="center"/>
                </w:tcPr>
                <w:p w14:paraId="640E761E">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R</w:t>
                  </w:r>
                </w:p>
              </w:tc>
              <w:tc>
                <w:tcPr>
                  <w:tcW w:w="3477" w:type="pct"/>
                  <w:tcBorders>
                    <w:tl2br w:val="nil"/>
                    <w:tr2bl w:val="nil"/>
                  </w:tcBorders>
                  <w:noWrap w:val="0"/>
                  <w:vAlign w:val="center"/>
                </w:tcPr>
                <w:p w14:paraId="345AFD80">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10.741</w:t>
                  </w:r>
                </w:p>
              </w:tc>
            </w:tr>
            <w:tr w14:paraId="2BF859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9" w:type="pct"/>
                  <w:tcBorders>
                    <w:tl2br w:val="nil"/>
                    <w:tr2bl w:val="nil"/>
                  </w:tcBorders>
                  <w:noWrap w:val="0"/>
                  <w:vAlign w:val="center"/>
                </w:tcPr>
                <w:p w14:paraId="5A8B9EC6">
                  <w:pPr>
                    <w:pStyle w:val="26"/>
                    <w:bidi w:val="0"/>
                    <w:ind w:firstLine="0" w:firstLineChars="0"/>
                    <w:jc w:val="center"/>
                    <w:rPr>
                      <w:rFonts w:hint="default" w:eastAsia="宋体"/>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12</w:t>
                  </w:r>
                </w:p>
              </w:tc>
              <w:tc>
                <w:tcPr>
                  <w:tcW w:w="1022" w:type="pct"/>
                  <w:tcBorders>
                    <w:tl2br w:val="nil"/>
                    <w:tr2bl w:val="nil"/>
                  </w:tcBorders>
                  <w:noWrap w:val="0"/>
                  <w:vAlign w:val="center"/>
                </w:tcPr>
                <w:p w14:paraId="1B68993C">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K</w:t>
                  </w:r>
                  <w:r>
                    <w:rPr>
                      <w:rFonts w:hint="eastAsia"/>
                      <w:color w:val="000000" w:themeColor="text1"/>
                      <w:highlight w:val="none"/>
                      <w:vertAlign w:val="subscript"/>
                      <w:lang w:val="en-US" w:eastAsia="zh-CN" w:bidi="ar-SA"/>
                      <w14:textFill>
                        <w14:solidFill>
                          <w14:schemeClr w14:val="tx1"/>
                        </w14:solidFill>
                      </w14:textFill>
                    </w:rPr>
                    <w:t>B</w:t>
                  </w:r>
                </w:p>
              </w:tc>
              <w:tc>
                <w:tcPr>
                  <w:tcW w:w="3477" w:type="pct"/>
                  <w:tcBorders>
                    <w:tl2br w:val="nil"/>
                    <w:tr2bl w:val="nil"/>
                  </w:tcBorders>
                  <w:noWrap w:val="0"/>
                  <w:vAlign w:val="center"/>
                </w:tcPr>
                <w:p w14:paraId="6762682C">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w:t>
                  </w:r>
                </w:p>
              </w:tc>
            </w:tr>
            <w:tr w14:paraId="6E6C4E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9" w:type="pct"/>
                  <w:tcBorders>
                    <w:tl2br w:val="nil"/>
                    <w:tr2bl w:val="nil"/>
                  </w:tcBorders>
                  <w:noWrap w:val="0"/>
                  <w:vAlign w:val="center"/>
                </w:tcPr>
                <w:p w14:paraId="3DC97B78">
                  <w:pPr>
                    <w:pStyle w:val="26"/>
                    <w:bidi w:val="0"/>
                    <w:ind w:firstLine="0" w:firstLineChars="0"/>
                    <w:jc w:val="center"/>
                    <w:rPr>
                      <w:rFonts w:hint="default" w:eastAsia="宋体"/>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13</w:t>
                  </w:r>
                </w:p>
              </w:tc>
              <w:tc>
                <w:tcPr>
                  <w:tcW w:w="1022" w:type="pct"/>
                  <w:tcBorders>
                    <w:tl2br w:val="nil"/>
                    <w:tr2bl w:val="nil"/>
                  </w:tcBorders>
                  <w:noWrap w:val="0"/>
                  <w:vAlign w:val="center"/>
                </w:tcPr>
                <w:p w14:paraId="220C259F">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单罐L</w:t>
                  </w:r>
                  <w:r>
                    <w:rPr>
                      <w:rFonts w:hint="eastAsia"/>
                      <w:color w:val="000000" w:themeColor="text1"/>
                      <w:highlight w:val="none"/>
                      <w:vertAlign w:val="subscript"/>
                      <w:lang w:val="en-US" w:eastAsia="zh-CN" w:bidi="ar-SA"/>
                      <w14:textFill>
                        <w14:solidFill>
                          <w14:schemeClr w14:val="tx1"/>
                        </w14:solidFill>
                      </w14:textFill>
                    </w:rPr>
                    <w:t>W</w:t>
                  </w:r>
                  <w:r>
                    <w:rPr>
                      <w:rFonts w:hint="eastAsia"/>
                      <w:color w:val="000000" w:themeColor="text1"/>
                      <w:highlight w:val="none"/>
                      <w:lang w:val="en-US" w:eastAsia="zh-CN" w:bidi="ar-SA"/>
                      <w14:textFill>
                        <w14:solidFill>
                          <w14:schemeClr w14:val="tx1"/>
                        </w14:solidFill>
                      </w14:textFill>
                    </w:rPr>
                    <w:t>（1b/a）</w:t>
                  </w:r>
                </w:p>
              </w:tc>
              <w:tc>
                <w:tcPr>
                  <w:tcW w:w="3477" w:type="pct"/>
                  <w:tcBorders>
                    <w:tl2br w:val="nil"/>
                    <w:tr2bl w:val="nil"/>
                  </w:tcBorders>
                  <w:noWrap w:val="0"/>
                  <w:vAlign w:val="center"/>
                </w:tcPr>
                <w:p w14:paraId="2D9460E8">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1.0080</w:t>
                  </w:r>
                </w:p>
              </w:tc>
            </w:tr>
            <w:tr w14:paraId="3F523E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9" w:type="pct"/>
                  <w:tcBorders>
                    <w:tl2br w:val="nil"/>
                    <w:tr2bl w:val="nil"/>
                  </w:tcBorders>
                  <w:noWrap w:val="0"/>
                  <w:vAlign w:val="center"/>
                </w:tcPr>
                <w:p w14:paraId="743EB50D">
                  <w:pPr>
                    <w:pStyle w:val="26"/>
                    <w:bidi w:val="0"/>
                    <w:jc w:val="center"/>
                    <w:rPr>
                      <w:rFonts w:hint="default" w:eastAsia="宋体"/>
                      <w:color w:val="000000" w:themeColor="text1"/>
                      <w:highlight w:val="none"/>
                      <w:lang w:val="en-US" w:eastAsia="zh-CN" w:bidi="ar-SA"/>
                      <w14:textFill>
                        <w14:solidFill>
                          <w14:schemeClr w14:val="tx1"/>
                        </w14:solidFill>
                      </w14:textFill>
                    </w:rPr>
                  </w:pPr>
                  <w:r>
                    <w:rPr>
                      <w:rFonts w:hint="eastAsia" w:eastAsia="宋体"/>
                      <w:color w:val="000000" w:themeColor="text1"/>
                      <w:highlight w:val="none"/>
                      <w:lang w:val="en-US" w:eastAsia="zh-CN" w:bidi="ar-SA"/>
                      <w14:textFill>
                        <w14:solidFill>
                          <w14:schemeClr w14:val="tx1"/>
                        </w14:solidFill>
                      </w14:textFill>
                    </w:rPr>
                    <w:t>14</w:t>
                  </w:r>
                </w:p>
              </w:tc>
              <w:tc>
                <w:tcPr>
                  <w:tcW w:w="1022" w:type="pct"/>
                  <w:tcBorders>
                    <w:tl2br w:val="nil"/>
                    <w:tr2bl w:val="nil"/>
                  </w:tcBorders>
                  <w:noWrap w:val="0"/>
                  <w:vAlign w:val="center"/>
                </w:tcPr>
                <w:p w14:paraId="01FC3D0C">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总L</w:t>
                  </w:r>
                  <w:r>
                    <w:rPr>
                      <w:rFonts w:hint="eastAsia"/>
                      <w:color w:val="000000" w:themeColor="text1"/>
                      <w:highlight w:val="none"/>
                      <w:vertAlign w:val="subscript"/>
                      <w:lang w:val="en-US" w:eastAsia="zh-CN" w:bidi="ar-SA"/>
                      <w14:textFill>
                        <w14:solidFill>
                          <w14:schemeClr w14:val="tx1"/>
                        </w14:solidFill>
                      </w14:textFill>
                    </w:rPr>
                    <w:t>W</w:t>
                  </w:r>
                  <w:r>
                    <w:rPr>
                      <w:rFonts w:hint="eastAsia"/>
                      <w:color w:val="000000" w:themeColor="text1"/>
                      <w:highlight w:val="none"/>
                      <w:lang w:val="en-US" w:eastAsia="zh-CN" w:bidi="ar-SA"/>
                      <w14:textFill>
                        <w14:solidFill>
                          <w14:schemeClr w14:val="tx1"/>
                        </w14:solidFill>
                      </w14:textFill>
                    </w:rPr>
                    <w:t>（t/a）</w:t>
                  </w:r>
                </w:p>
              </w:tc>
              <w:tc>
                <w:tcPr>
                  <w:tcW w:w="3477" w:type="pct"/>
                  <w:tcBorders>
                    <w:tl2br w:val="nil"/>
                    <w:tr2bl w:val="nil"/>
                  </w:tcBorders>
                  <w:noWrap w:val="0"/>
                  <w:vAlign w:val="center"/>
                </w:tcPr>
                <w:p w14:paraId="0CB1B091">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0.00091</w:t>
                  </w:r>
                </w:p>
              </w:tc>
            </w:tr>
          </w:tbl>
          <w:p w14:paraId="48F763C3">
            <w:pPr>
              <w:pStyle w:val="30"/>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乙醇储罐</w:t>
            </w:r>
            <w:r>
              <w:rPr>
                <w:rFonts w:hint="eastAsia"/>
                <w:color w:val="000000" w:themeColor="text1"/>
                <w:highlight w:val="none"/>
                <w:lang w:val="en-US" w:eastAsia="zh-CN"/>
                <w14:textFill>
                  <w14:solidFill>
                    <w14:schemeClr w14:val="tx1"/>
                  </w14:solidFill>
                </w14:textFill>
              </w:rPr>
              <w:t>静置损失</w:t>
            </w:r>
            <w:r>
              <w:rPr>
                <w:rFonts w:hint="default"/>
                <w:color w:val="000000" w:themeColor="text1"/>
                <w:highlight w:val="none"/>
                <w:lang w:val="en-US" w:eastAsia="zh-CN"/>
                <w14:textFill>
                  <w14:solidFill>
                    <w14:schemeClr w14:val="tx1"/>
                  </w14:solidFill>
                </w14:textFill>
              </w:rPr>
              <w:t>计算参数和计算结果</w:t>
            </w:r>
            <w:r>
              <w:rPr>
                <w:rFonts w:hint="eastAsia"/>
                <w:color w:val="000000" w:themeColor="text1"/>
                <w:highlight w:val="none"/>
                <w:lang w:val="en-US" w:eastAsia="zh-CN"/>
                <w14:textFill>
                  <w14:solidFill>
                    <w14:schemeClr w14:val="tx1"/>
                  </w14:solidFill>
                </w14:textFill>
              </w:rPr>
              <w:t>（二期工程）</w:t>
            </w:r>
          </w:p>
          <w:tbl>
            <w:tblPr>
              <w:tblStyle w:val="1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910"/>
              <w:gridCol w:w="5673"/>
            </w:tblGrid>
            <w:tr w14:paraId="6A336B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tcBorders>
                    <w:tl2br w:val="nil"/>
                    <w:tr2bl w:val="nil"/>
                  </w:tcBorders>
                  <w:noWrap w:val="0"/>
                  <w:vAlign w:val="center"/>
                </w:tcPr>
                <w:p w14:paraId="30D1101E">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序号</w:t>
                  </w:r>
                </w:p>
              </w:tc>
              <w:tc>
                <w:tcPr>
                  <w:tcW w:w="4565" w:type="pct"/>
                  <w:gridSpan w:val="2"/>
                  <w:tcBorders>
                    <w:tl2br w:val="nil"/>
                    <w:tr2bl w:val="nil"/>
                  </w:tcBorders>
                  <w:noWrap w:val="0"/>
                  <w:vAlign w:val="center"/>
                </w:tcPr>
                <w:p w14:paraId="1B5062C0">
                  <w:pPr>
                    <w:pStyle w:val="26"/>
                    <w:bidi w:val="0"/>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静置损失</w:t>
                  </w:r>
                </w:p>
              </w:tc>
            </w:tr>
            <w:tr w14:paraId="410BC0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tcBorders>
                    <w:tl2br w:val="nil"/>
                    <w:tr2bl w:val="nil"/>
                  </w:tcBorders>
                  <w:noWrap w:val="0"/>
                  <w:vAlign w:val="center"/>
                </w:tcPr>
                <w:p w14:paraId="2FD0DF24">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w:t>
                  </w:r>
                </w:p>
              </w:tc>
              <w:tc>
                <w:tcPr>
                  <w:tcW w:w="1150" w:type="pct"/>
                  <w:tcBorders>
                    <w:tl2br w:val="nil"/>
                    <w:tr2bl w:val="nil"/>
                  </w:tcBorders>
                  <w:noWrap w:val="0"/>
                  <w:vAlign w:val="center"/>
                </w:tcPr>
                <w:p w14:paraId="46B971F9">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储罐规格</w:t>
                  </w:r>
                </w:p>
              </w:tc>
              <w:tc>
                <w:tcPr>
                  <w:tcW w:w="3415" w:type="pct"/>
                  <w:tcBorders>
                    <w:tl2br w:val="nil"/>
                    <w:tr2bl w:val="nil"/>
                  </w:tcBorders>
                  <w:noWrap w:val="0"/>
                  <w:vAlign w:val="center"/>
                </w:tcPr>
                <w:p w14:paraId="6F9CD86D">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3.5 m</w:t>
                  </w:r>
                  <w:r>
                    <w:rPr>
                      <w:rFonts w:hint="eastAsia"/>
                      <w:color w:val="000000" w:themeColor="text1"/>
                      <w:highlight w:val="none"/>
                      <w:vertAlign w:val="superscript"/>
                      <w:lang w:val="en-US" w:eastAsia="zh-CN" w:bidi="ar-SA"/>
                      <w14:textFill>
                        <w14:solidFill>
                          <w14:schemeClr w14:val="tx1"/>
                        </w14:solidFill>
                      </w14:textFill>
                    </w:rPr>
                    <w:t>3</w:t>
                  </w:r>
                  <w:r>
                    <w:rPr>
                      <w:rFonts w:hint="eastAsia"/>
                      <w:color w:val="000000" w:themeColor="text1"/>
                      <w:highlight w:val="none"/>
                      <w:lang w:val="en-US" w:eastAsia="zh-CN" w:bidi="ar-SA"/>
                      <w14:textFill>
                        <w14:solidFill>
                          <w14:schemeClr w14:val="tx1"/>
                        </w14:solidFill>
                      </w14:textFill>
                    </w:rPr>
                    <w:t>乙醇储罐</w:t>
                  </w:r>
                </w:p>
              </w:tc>
            </w:tr>
            <w:tr w14:paraId="21B97D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tcBorders>
                    <w:tl2br w:val="nil"/>
                    <w:tr2bl w:val="nil"/>
                  </w:tcBorders>
                  <w:noWrap w:val="0"/>
                  <w:vAlign w:val="center"/>
                </w:tcPr>
                <w:p w14:paraId="5F4CBC6A">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2</w:t>
                  </w:r>
                </w:p>
              </w:tc>
              <w:tc>
                <w:tcPr>
                  <w:tcW w:w="1150" w:type="pct"/>
                  <w:tcBorders>
                    <w:tl2br w:val="nil"/>
                    <w:tr2bl w:val="nil"/>
                  </w:tcBorders>
                  <w:noWrap w:val="0"/>
                  <w:vAlign w:val="center"/>
                </w:tcPr>
                <w:p w14:paraId="1C2C1B88">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储罐类型</w:t>
                  </w:r>
                </w:p>
              </w:tc>
              <w:tc>
                <w:tcPr>
                  <w:tcW w:w="3415" w:type="pct"/>
                  <w:tcBorders>
                    <w:tl2br w:val="nil"/>
                    <w:tr2bl w:val="nil"/>
                  </w:tcBorders>
                  <w:noWrap w:val="0"/>
                  <w:vAlign w:val="center"/>
                </w:tcPr>
                <w:p w14:paraId="1E0F3276">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固定顶罐</w:t>
                  </w:r>
                </w:p>
              </w:tc>
            </w:tr>
            <w:tr w14:paraId="13BAD0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tcBorders>
                    <w:tl2br w:val="nil"/>
                    <w:tr2bl w:val="nil"/>
                  </w:tcBorders>
                  <w:noWrap w:val="0"/>
                  <w:vAlign w:val="center"/>
                </w:tcPr>
                <w:p w14:paraId="2E6A8FCB">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3</w:t>
                  </w:r>
                </w:p>
              </w:tc>
              <w:tc>
                <w:tcPr>
                  <w:tcW w:w="1150" w:type="pct"/>
                  <w:tcBorders>
                    <w:tl2br w:val="nil"/>
                    <w:tr2bl w:val="nil"/>
                  </w:tcBorders>
                  <w:noWrap w:val="0"/>
                  <w:vAlign w:val="center"/>
                </w:tcPr>
                <w:p w14:paraId="08CCF2BA">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数量（个）</w:t>
                  </w:r>
                </w:p>
              </w:tc>
              <w:tc>
                <w:tcPr>
                  <w:tcW w:w="3415" w:type="pct"/>
                  <w:tcBorders>
                    <w:tl2br w:val="nil"/>
                    <w:tr2bl w:val="nil"/>
                  </w:tcBorders>
                  <w:noWrap w:val="0"/>
                  <w:vAlign w:val="center"/>
                </w:tcPr>
                <w:p w14:paraId="6E169365">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2</w:t>
                  </w:r>
                </w:p>
              </w:tc>
            </w:tr>
            <w:tr w14:paraId="114FD5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tcBorders>
                    <w:tl2br w:val="nil"/>
                    <w:tr2bl w:val="nil"/>
                  </w:tcBorders>
                  <w:noWrap w:val="0"/>
                  <w:vAlign w:val="center"/>
                </w:tcPr>
                <w:p w14:paraId="60C0F4DA">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4</w:t>
                  </w:r>
                </w:p>
              </w:tc>
              <w:tc>
                <w:tcPr>
                  <w:tcW w:w="1150" w:type="pct"/>
                  <w:tcBorders>
                    <w:tl2br w:val="nil"/>
                    <w:tr2bl w:val="nil"/>
                  </w:tcBorders>
                  <w:noWrap w:val="0"/>
                  <w:vAlign w:val="center"/>
                </w:tcPr>
                <w:p w14:paraId="072B2F6D">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储罐尺寸（m）</w:t>
                  </w:r>
                </w:p>
              </w:tc>
              <w:tc>
                <w:tcPr>
                  <w:tcW w:w="3415" w:type="pct"/>
                  <w:tcBorders>
                    <w:tl2br w:val="nil"/>
                    <w:tr2bl w:val="nil"/>
                  </w:tcBorders>
                  <w:noWrap w:val="0"/>
                  <w:vAlign w:val="center"/>
                </w:tcPr>
                <w:p w14:paraId="79FF27D8">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直径×高：1.80×1.40 m</w:t>
                  </w:r>
                </w:p>
              </w:tc>
            </w:tr>
            <w:tr w14:paraId="794CD9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tcBorders>
                    <w:tl2br w:val="nil"/>
                    <w:tr2bl w:val="nil"/>
                  </w:tcBorders>
                  <w:noWrap w:val="0"/>
                  <w:vAlign w:val="center"/>
                </w:tcPr>
                <w:p w14:paraId="4454A1A8">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5</w:t>
                  </w:r>
                </w:p>
              </w:tc>
              <w:tc>
                <w:tcPr>
                  <w:tcW w:w="1150" w:type="pct"/>
                  <w:tcBorders>
                    <w:tl2br w:val="nil"/>
                    <w:tr2bl w:val="nil"/>
                  </w:tcBorders>
                  <w:noWrap w:val="0"/>
                  <w:vAlign w:val="center"/>
                </w:tcPr>
                <w:p w14:paraId="7C8E9B5A">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Vv（</w:t>
                  </w:r>
                  <w:r>
                    <w:rPr>
                      <w:rFonts w:hint="default"/>
                      <w:color w:val="000000" w:themeColor="text1"/>
                      <w:highlight w:val="none"/>
                      <w:lang w:val="en-US" w:eastAsia="zh-CN" w:bidi="ar-SA"/>
                      <w14:textFill>
                        <w14:solidFill>
                          <w14:schemeClr w14:val="tx1"/>
                        </w14:solidFill>
                      </w14:textFill>
                    </w:rPr>
                    <w:t>ft</w:t>
                  </w:r>
                  <w:r>
                    <w:rPr>
                      <w:rFonts w:hint="default"/>
                      <w:color w:val="000000" w:themeColor="text1"/>
                      <w:highlight w:val="none"/>
                      <w:vertAlign w:val="superscript"/>
                      <w:lang w:val="en-US" w:eastAsia="zh-CN" w:bidi="ar-SA"/>
                      <w14:textFill>
                        <w14:solidFill>
                          <w14:schemeClr w14:val="tx1"/>
                        </w14:solidFill>
                      </w14:textFill>
                    </w:rPr>
                    <w:t>3</w:t>
                  </w:r>
                  <w:r>
                    <w:rPr>
                      <w:rFonts w:hint="eastAsia"/>
                      <w:color w:val="000000" w:themeColor="text1"/>
                      <w:highlight w:val="none"/>
                      <w:lang w:val="en-US" w:eastAsia="zh-CN" w:bidi="ar-SA"/>
                      <w14:textFill>
                        <w14:solidFill>
                          <w14:schemeClr w14:val="tx1"/>
                        </w14:solidFill>
                      </w14:textFill>
                    </w:rPr>
                    <w:t>）</w:t>
                  </w:r>
                </w:p>
              </w:tc>
              <w:tc>
                <w:tcPr>
                  <w:tcW w:w="5673" w:type="dxa"/>
                  <w:tcBorders>
                    <w:tl2br w:val="nil"/>
                    <w:tr2bl w:val="nil"/>
                  </w:tcBorders>
                  <w:noWrap w:val="0"/>
                  <w:vAlign w:val="center"/>
                </w:tcPr>
                <w:p w14:paraId="3F720338">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108.95</w:t>
                  </w:r>
                </w:p>
              </w:tc>
            </w:tr>
            <w:tr w14:paraId="746B4D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tcBorders>
                    <w:tl2br w:val="nil"/>
                    <w:tr2bl w:val="nil"/>
                  </w:tcBorders>
                  <w:noWrap w:val="0"/>
                  <w:vAlign w:val="center"/>
                </w:tcPr>
                <w:p w14:paraId="50FF7651">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6</w:t>
                  </w:r>
                </w:p>
              </w:tc>
              <w:tc>
                <w:tcPr>
                  <w:tcW w:w="1150" w:type="pct"/>
                  <w:tcBorders>
                    <w:tl2br w:val="nil"/>
                    <w:tr2bl w:val="nil"/>
                  </w:tcBorders>
                  <w:noWrap w:val="0"/>
                  <w:vAlign w:val="center"/>
                </w:tcPr>
                <w:p w14:paraId="4227A5A8">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H</w:t>
                  </w:r>
                  <w:r>
                    <w:rPr>
                      <w:rFonts w:hint="eastAsia"/>
                      <w:color w:val="000000" w:themeColor="text1"/>
                      <w:highlight w:val="none"/>
                      <w:vertAlign w:val="subscript"/>
                      <w:lang w:val="en-US" w:eastAsia="zh-CN" w:bidi="ar-SA"/>
                      <w14:textFill>
                        <w14:solidFill>
                          <w14:schemeClr w14:val="tx1"/>
                        </w14:solidFill>
                      </w14:textFill>
                    </w:rPr>
                    <w:t>VO</w:t>
                  </w:r>
                  <w:r>
                    <w:rPr>
                      <w:rFonts w:hint="eastAsia"/>
                      <w:color w:val="000000" w:themeColor="text1"/>
                      <w:highlight w:val="none"/>
                      <w:vertAlign w:val="baseline"/>
                      <w:lang w:val="en-US" w:eastAsia="zh-CN" w:bidi="ar-SA"/>
                      <w14:textFill>
                        <w14:solidFill>
                          <w14:schemeClr w14:val="tx1"/>
                        </w14:solidFill>
                      </w14:textFill>
                    </w:rPr>
                    <w:t>（ft）</w:t>
                  </w:r>
                </w:p>
              </w:tc>
              <w:tc>
                <w:tcPr>
                  <w:tcW w:w="5673" w:type="dxa"/>
                  <w:tcBorders>
                    <w:tl2br w:val="nil"/>
                    <w:tr2bl w:val="nil"/>
                  </w:tcBorders>
                  <w:noWrap w:val="0"/>
                  <w:vAlign w:val="center"/>
                </w:tcPr>
                <w:p w14:paraId="442D8E41">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3.98</w:t>
                  </w:r>
                </w:p>
              </w:tc>
            </w:tr>
            <w:tr w14:paraId="09A534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tcBorders>
                    <w:tl2br w:val="nil"/>
                    <w:tr2bl w:val="nil"/>
                  </w:tcBorders>
                  <w:noWrap w:val="0"/>
                  <w:vAlign w:val="center"/>
                </w:tcPr>
                <w:p w14:paraId="097CBEE1">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7</w:t>
                  </w:r>
                </w:p>
              </w:tc>
              <w:tc>
                <w:tcPr>
                  <w:tcW w:w="1150" w:type="pct"/>
                  <w:tcBorders>
                    <w:tl2br w:val="nil"/>
                    <w:tr2bl w:val="nil"/>
                  </w:tcBorders>
                  <w:noWrap w:val="0"/>
                  <w:vAlign w:val="center"/>
                </w:tcPr>
                <w:p w14:paraId="2ACD94DF">
                  <w:pPr>
                    <w:pStyle w:val="26"/>
                    <w:bidi w:val="0"/>
                    <w:ind w:firstLine="0" w:firstLineChars="0"/>
                    <w:jc w:val="center"/>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H</w:t>
                  </w:r>
                  <w:r>
                    <w:rPr>
                      <w:rFonts w:hint="eastAsia"/>
                      <w:color w:val="000000" w:themeColor="text1"/>
                      <w:highlight w:val="none"/>
                      <w:vertAlign w:val="subscript"/>
                      <w:lang w:val="en-US" w:eastAsia="zh-CN" w:bidi="ar-SA"/>
                      <w14:textFill>
                        <w14:solidFill>
                          <w14:schemeClr w14:val="tx1"/>
                        </w14:solidFill>
                      </w14:textFill>
                    </w:rPr>
                    <w:t>S</w:t>
                  </w:r>
                  <w:r>
                    <w:rPr>
                      <w:rFonts w:hint="eastAsia"/>
                      <w:color w:val="000000" w:themeColor="text1"/>
                      <w:highlight w:val="none"/>
                      <w:vertAlign w:val="baseline"/>
                      <w:lang w:val="en-US" w:eastAsia="zh-CN" w:bidi="ar-SA"/>
                      <w14:textFill>
                        <w14:solidFill>
                          <w14:schemeClr w14:val="tx1"/>
                        </w14:solidFill>
                      </w14:textFill>
                    </w:rPr>
                    <w:t>（ft）</w:t>
                  </w:r>
                </w:p>
              </w:tc>
              <w:tc>
                <w:tcPr>
                  <w:tcW w:w="5673" w:type="dxa"/>
                  <w:tcBorders>
                    <w:tl2br w:val="nil"/>
                    <w:tr2bl w:val="nil"/>
                  </w:tcBorders>
                  <w:noWrap w:val="0"/>
                  <w:vAlign w:val="center"/>
                </w:tcPr>
                <w:p w14:paraId="52E14499">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4.592</w:t>
                  </w:r>
                </w:p>
              </w:tc>
            </w:tr>
            <w:tr w14:paraId="16DB16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tcBorders>
                    <w:tl2br w:val="nil"/>
                    <w:tr2bl w:val="nil"/>
                  </w:tcBorders>
                  <w:noWrap w:val="0"/>
                  <w:vAlign w:val="center"/>
                </w:tcPr>
                <w:p w14:paraId="6948782E">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8</w:t>
                  </w:r>
                </w:p>
              </w:tc>
              <w:tc>
                <w:tcPr>
                  <w:tcW w:w="1150" w:type="pct"/>
                  <w:tcBorders>
                    <w:tl2br w:val="nil"/>
                    <w:tr2bl w:val="nil"/>
                  </w:tcBorders>
                  <w:noWrap w:val="0"/>
                  <w:vAlign w:val="center"/>
                </w:tcPr>
                <w:p w14:paraId="4FC9ECB1">
                  <w:pPr>
                    <w:pStyle w:val="26"/>
                    <w:bidi w:val="0"/>
                    <w:ind w:firstLine="0" w:firstLineChars="0"/>
                    <w:jc w:val="center"/>
                    <w:rPr>
                      <w:rFonts w:hint="eastAsia"/>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H</w:t>
                  </w:r>
                  <w:r>
                    <w:rPr>
                      <w:rFonts w:hint="default"/>
                      <w:color w:val="000000" w:themeColor="text1"/>
                      <w:highlight w:val="none"/>
                      <w:vertAlign w:val="subscript"/>
                      <w:lang w:val="en-US" w:eastAsia="zh-CN" w:bidi="ar-SA"/>
                      <w14:textFill>
                        <w14:solidFill>
                          <w14:schemeClr w14:val="tx1"/>
                        </w14:solidFill>
                      </w14:textFill>
                    </w:rPr>
                    <w:t>L</w:t>
                  </w:r>
                  <w:r>
                    <w:rPr>
                      <w:rFonts w:hint="eastAsia"/>
                      <w:color w:val="000000" w:themeColor="text1"/>
                      <w:highlight w:val="none"/>
                      <w:vertAlign w:val="baseline"/>
                      <w:lang w:val="en-US" w:eastAsia="zh-CN" w:bidi="ar-SA"/>
                      <w14:textFill>
                        <w14:solidFill>
                          <w14:schemeClr w14:val="tx1"/>
                        </w14:solidFill>
                      </w14:textFill>
                    </w:rPr>
                    <w:t>（ft）</w:t>
                  </w:r>
                </w:p>
              </w:tc>
              <w:tc>
                <w:tcPr>
                  <w:tcW w:w="5673" w:type="dxa"/>
                  <w:tcBorders>
                    <w:tl2br w:val="nil"/>
                    <w:tr2bl w:val="nil"/>
                  </w:tcBorders>
                  <w:noWrap w:val="0"/>
                  <w:vAlign w:val="center"/>
                </w:tcPr>
                <w:p w14:paraId="0311017A">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3.6736</w:t>
                  </w:r>
                </w:p>
              </w:tc>
            </w:tr>
            <w:tr w14:paraId="302B0D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tcBorders>
                    <w:tl2br w:val="nil"/>
                    <w:tr2bl w:val="nil"/>
                  </w:tcBorders>
                  <w:noWrap w:val="0"/>
                  <w:vAlign w:val="center"/>
                </w:tcPr>
                <w:p w14:paraId="58BE0A3B">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9</w:t>
                  </w:r>
                </w:p>
              </w:tc>
              <w:tc>
                <w:tcPr>
                  <w:tcW w:w="1150" w:type="pct"/>
                  <w:tcBorders>
                    <w:tl2br w:val="nil"/>
                    <w:tr2bl w:val="nil"/>
                  </w:tcBorders>
                  <w:noWrap w:val="0"/>
                  <w:vAlign w:val="center"/>
                </w:tcPr>
                <w:p w14:paraId="03583326">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H</w:t>
                  </w:r>
                  <w:r>
                    <w:rPr>
                      <w:rFonts w:hint="eastAsia"/>
                      <w:color w:val="000000" w:themeColor="text1"/>
                      <w:highlight w:val="none"/>
                      <w:vertAlign w:val="subscript"/>
                      <w:lang w:val="en-US" w:eastAsia="zh-CN" w:bidi="ar-SA"/>
                      <w14:textFill>
                        <w14:solidFill>
                          <w14:schemeClr w14:val="tx1"/>
                        </w14:solidFill>
                      </w14:textFill>
                    </w:rPr>
                    <w:t>RO</w:t>
                  </w:r>
                  <w:r>
                    <w:rPr>
                      <w:rFonts w:hint="eastAsia"/>
                      <w:color w:val="000000" w:themeColor="text1"/>
                      <w:highlight w:val="none"/>
                      <w:vertAlign w:val="baseline"/>
                      <w:lang w:val="en-US" w:eastAsia="zh-CN" w:bidi="ar-SA"/>
                      <w14:textFill>
                        <w14:solidFill>
                          <w14:schemeClr w14:val="tx1"/>
                        </w14:solidFill>
                      </w14:textFill>
                    </w:rPr>
                    <w:t>（ft）</w:t>
                  </w:r>
                </w:p>
              </w:tc>
              <w:tc>
                <w:tcPr>
                  <w:tcW w:w="5673" w:type="dxa"/>
                  <w:tcBorders>
                    <w:tl2br w:val="nil"/>
                    <w:tr2bl w:val="nil"/>
                  </w:tcBorders>
                  <w:noWrap w:val="0"/>
                  <w:vAlign w:val="center"/>
                </w:tcPr>
                <w:p w14:paraId="1B834C9F">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3.06</w:t>
                  </w:r>
                </w:p>
              </w:tc>
            </w:tr>
            <w:tr w14:paraId="2BBEDE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tcBorders>
                    <w:tl2br w:val="nil"/>
                    <w:tr2bl w:val="nil"/>
                  </w:tcBorders>
                  <w:noWrap w:val="0"/>
                  <w:vAlign w:val="center"/>
                </w:tcPr>
                <w:p w14:paraId="620DF2E2">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10</w:t>
                  </w:r>
                </w:p>
              </w:tc>
              <w:tc>
                <w:tcPr>
                  <w:tcW w:w="1150" w:type="pct"/>
                  <w:tcBorders>
                    <w:tl2br w:val="nil"/>
                    <w:tr2bl w:val="nil"/>
                  </w:tcBorders>
                  <w:noWrap w:val="0"/>
                  <w:vAlign w:val="center"/>
                </w:tcPr>
                <w:p w14:paraId="3F284B90">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H</w:t>
                  </w:r>
                  <w:r>
                    <w:rPr>
                      <w:rFonts w:hint="eastAsia"/>
                      <w:color w:val="000000" w:themeColor="text1"/>
                      <w:highlight w:val="none"/>
                      <w:vertAlign w:val="subscript"/>
                      <w:lang w:val="en-US" w:eastAsia="zh-CN" w:bidi="ar-SA"/>
                      <w14:textFill>
                        <w14:solidFill>
                          <w14:schemeClr w14:val="tx1"/>
                        </w14:solidFill>
                      </w14:textFill>
                    </w:rPr>
                    <w:t>R</w:t>
                  </w:r>
                  <w:r>
                    <w:rPr>
                      <w:rFonts w:hint="eastAsia"/>
                      <w:color w:val="000000" w:themeColor="text1"/>
                      <w:highlight w:val="none"/>
                      <w:vertAlign w:val="baseline"/>
                      <w:lang w:val="en-US" w:eastAsia="zh-CN" w:bidi="ar-SA"/>
                      <w14:textFill>
                        <w14:solidFill>
                          <w14:schemeClr w14:val="tx1"/>
                        </w14:solidFill>
                      </w14:textFill>
                    </w:rPr>
                    <w:t>（ft）</w:t>
                  </w:r>
                </w:p>
              </w:tc>
              <w:tc>
                <w:tcPr>
                  <w:tcW w:w="5673" w:type="dxa"/>
                  <w:tcBorders>
                    <w:tl2br w:val="nil"/>
                    <w:tr2bl w:val="nil"/>
                  </w:tcBorders>
                  <w:noWrap w:val="0"/>
                  <w:vAlign w:val="center"/>
                </w:tcPr>
                <w:p w14:paraId="3FCE2D41">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4.592</w:t>
                  </w:r>
                </w:p>
              </w:tc>
            </w:tr>
            <w:tr w14:paraId="24C4F3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tcBorders>
                    <w:tl2br w:val="nil"/>
                    <w:tr2bl w:val="nil"/>
                  </w:tcBorders>
                  <w:noWrap w:val="0"/>
                  <w:vAlign w:val="center"/>
                </w:tcPr>
                <w:p w14:paraId="4D85E0CF">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11</w:t>
                  </w:r>
                </w:p>
              </w:tc>
              <w:tc>
                <w:tcPr>
                  <w:tcW w:w="1150" w:type="pct"/>
                  <w:tcBorders>
                    <w:tl2br w:val="nil"/>
                    <w:tr2bl w:val="nil"/>
                  </w:tcBorders>
                  <w:noWrap w:val="0"/>
                  <w:vAlign w:val="center"/>
                </w:tcPr>
                <w:p w14:paraId="3887C550">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K</w:t>
                  </w:r>
                  <w:r>
                    <w:rPr>
                      <w:rFonts w:hint="eastAsia"/>
                      <w:color w:val="000000" w:themeColor="text1"/>
                      <w:highlight w:val="none"/>
                      <w:vertAlign w:val="subscript"/>
                      <w:lang w:val="en-US" w:eastAsia="zh-CN" w:bidi="ar-SA"/>
                      <w14:textFill>
                        <w14:solidFill>
                          <w14:schemeClr w14:val="tx1"/>
                        </w14:solidFill>
                      </w14:textFill>
                    </w:rPr>
                    <w:t>E</w:t>
                  </w:r>
                </w:p>
              </w:tc>
              <w:tc>
                <w:tcPr>
                  <w:tcW w:w="5673" w:type="dxa"/>
                  <w:tcBorders>
                    <w:tl2br w:val="nil"/>
                    <w:tr2bl w:val="nil"/>
                  </w:tcBorders>
                  <w:noWrap w:val="0"/>
                  <w:vAlign w:val="center"/>
                </w:tcPr>
                <w:p w14:paraId="7FB585FF">
                  <w:pPr>
                    <w:pStyle w:val="26"/>
                    <w:bidi w:val="0"/>
                    <w:jc w:val="center"/>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0.69</w:t>
                  </w:r>
                </w:p>
              </w:tc>
            </w:tr>
            <w:tr w14:paraId="7C3EA4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tcBorders>
                    <w:tl2br w:val="nil"/>
                    <w:tr2bl w:val="nil"/>
                  </w:tcBorders>
                  <w:noWrap w:val="0"/>
                  <w:vAlign w:val="center"/>
                </w:tcPr>
                <w:p w14:paraId="01E732FA">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12</w:t>
                  </w:r>
                </w:p>
              </w:tc>
              <w:tc>
                <w:tcPr>
                  <w:tcW w:w="1150" w:type="pct"/>
                  <w:tcBorders>
                    <w:tl2br w:val="nil"/>
                    <w:tr2bl w:val="nil"/>
                  </w:tcBorders>
                  <w:noWrap w:val="0"/>
                  <w:vAlign w:val="center"/>
                </w:tcPr>
                <w:p w14:paraId="3B4701B5">
                  <w:pPr>
                    <w:pStyle w:val="26"/>
                    <w:bidi w:val="0"/>
                    <w:ind w:firstLine="0" w:firstLineChars="0"/>
                    <w:jc w:val="center"/>
                    <w:rPr>
                      <w:rFonts w:hint="eastAsia" w:eastAsia="宋体"/>
                      <w:color w:val="000000" w:themeColor="text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bidi="ar-SA"/>
                      <w14:textFill>
                        <w14:solidFill>
                          <w14:schemeClr w14:val="tx1"/>
                        </w14:solidFill>
                      </w14:textFill>
                    </w:rPr>
                    <w:t>T</w:t>
                  </w:r>
                  <w:r>
                    <w:rPr>
                      <w:rFonts w:hint="default" w:ascii="Times New Roman" w:hAnsi="Times New Roman" w:eastAsia="宋体" w:cs="Times New Roman"/>
                      <w:color w:val="000000" w:themeColor="text1"/>
                      <w:highlight w:val="none"/>
                      <w:u w:val="none"/>
                      <w:vertAlign w:val="subscript"/>
                      <w:lang w:val="en-US" w:eastAsia="zh-CN" w:bidi="ar-SA"/>
                      <w14:textFill>
                        <w14:solidFill>
                          <w14:schemeClr w14:val="tx1"/>
                        </w14:solidFill>
                      </w14:textFill>
                    </w:rPr>
                    <w:t>AX</w:t>
                  </w:r>
                  <w:r>
                    <w:rPr>
                      <w:rFonts w:hint="eastAsia" w:ascii="Times New Roman" w:hAnsi="Times New Roman" w:eastAsia="宋体" w:cs="Times New Roman"/>
                      <w:color w:val="000000" w:themeColor="text1"/>
                      <w:highlight w:val="none"/>
                      <w:u w:val="none"/>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highlight w:val="none"/>
                      <w:u w:val="none"/>
                      <w:lang w:val="en-US" w:eastAsia="zh-CN" w:bidi="ar-SA"/>
                      <w14:textFill>
                        <w14:solidFill>
                          <w14:schemeClr w14:val="tx1"/>
                        </w14:solidFill>
                      </w14:textFill>
                    </w:rPr>
                    <w:t>T</w:t>
                  </w:r>
                  <w:r>
                    <w:rPr>
                      <w:rFonts w:hint="default" w:ascii="Times New Roman" w:hAnsi="Times New Roman" w:eastAsia="宋体" w:cs="Times New Roman"/>
                      <w:color w:val="000000" w:themeColor="text1"/>
                      <w:highlight w:val="none"/>
                      <w:u w:val="none"/>
                      <w:vertAlign w:val="subscript"/>
                      <w:lang w:val="en-US" w:eastAsia="zh-CN" w:bidi="ar-SA"/>
                      <w14:textFill>
                        <w14:solidFill>
                          <w14:schemeClr w14:val="tx1"/>
                        </w14:solidFill>
                      </w14:textFill>
                    </w:rPr>
                    <w:t>AN</w:t>
                  </w:r>
                  <w:r>
                    <w:rPr>
                      <w:rFonts w:hint="eastAsia"/>
                      <w:color w:val="000000" w:themeColor="text1"/>
                      <w:highlight w:val="none"/>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highlight w:val="none"/>
                      <w:u w:val="none"/>
                      <w:lang w:val="en-US" w:eastAsia="zh-CN" w:bidi="ar-SA"/>
                      <w14:textFill>
                        <w14:solidFill>
                          <w14:schemeClr w14:val="tx1"/>
                        </w14:solidFill>
                      </w14:textFill>
                    </w:rPr>
                    <w:t>°R</w:t>
                  </w:r>
                  <w:r>
                    <w:rPr>
                      <w:rFonts w:hint="eastAsia"/>
                      <w:color w:val="000000" w:themeColor="text1"/>
                      <w:highlight w:val="none"/>
                      <w:vertAlign w:val="baseline"/>
                      <w:lang w:val="en-US" w:eastAsia="zh-CN" w:bidi="ar-SA"/>
                      <w14:textFill>
                        <w14:solidFill>
                          <w14:schemeClr w14:val="tx1"/>
                        </w14:solidFill>
                      </w14:textFill>
                    </w:rPr>
                    <w:t>）</w:t>
                  </w:r>
                </w:p>
              </w:tc>
              <w:tc>
                <w:tcPr>
                  <w:tcW w:w="5673" w:type="dxa"/>
                  <w:tcBorders>
                    <w:tl2br w:val="nil"/>
                    <w:tr2bl w:val="nil"/>
                  </w:tcBorders>
                  <w:noWrap w:val="0"/>
                  <w:vAlign w:val="center"/>
                </w:tcPr>
                <w:p w14:paraId="79C314E9">
                  <w:pPr>
                    <w:pStyle w:val="26"/>
                    <w:bidi w:val="0"/>
                    <w:jc w:val="center"/>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518.67</w:t>
                  </w:r>
                </w:p>
              </w:tc>
            </w:tr>
            <w:tr w14:paraId="668027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tcBorders>
                    <w:tl2br w:val="nil"/>
                    <w:tr2bl w:val="nil"/>
                  </w:tcBorders>
                  <w:noWrap w:val="0"/>
                  <w:vAlign w:val="center"/>
                </w:tcPr>
                <w:p w14:paraId="0D5AF204">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13</w:t>
                  </w:r>
                </w:p>
              </w:tc>
              <w:tc>
                <w:tcPr>
                  <w:tcW w:w="1150" w:type="pct"/>
                  <w:tcBorders>
                    <w:tl2br w:val="nil"/>
                    <w:tr2bl w:val="nil"/>
                  </w:tcBorders>
                  <w:noWrap w:val="0"/>
                  <w:vAlign w:val="center"/>
                </w:tcPr>
                <w:p w14:paraId="502627DD">
                  <w:pPr>
                    <w:pStyle w:val="26"/>
                    <w:bidi w:val="0"/>
                    <w:ind w:firstLine="0" w:firstLineChars="0"/>
                    <w:jc w:val="center"/>
                    <w:rPr>
                      <w:rFonts w:hint="eastAsia"/>
                      <w:color w:val="000000" w:themeColor="text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bidi="ar-SA"/>
                      <w14:textFill>
                        <w14:solidFill>
                          <w14:schemeClr w14:val="tx1"/>
                        </w14:solidFill>
                      </w14:textFill>
                    </w:rPr>
                    <w:t>α</w:t>
                  </w:r>
                </w:p>
              </w:tc>
              <w:tc>
                <w:tcPr>
                  <w:tcW w:w="5673" w:type="dxa"/>
                  <w:tcBorders>
                    <w:tl2br w:val="nil"/>
                    <w:tr2bl w:val="nil"/>
                  </w:tcBorders>
                  <w:noWrap w:val="0"/>
                  <w:vAlign w:val="center"/>
                </w:tcPr>
                <w:p w14:paraId="1A1D7992">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0.34</w:t>
                  </w:r>
                </w:p>
              </w:tc>
            </w:tr>
            <w:tr w14:paraId="235C3B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tcBorders>
                    <w:tl2br w:val="nil"/>
                    <w:tr2bl w:val="nil"/>
                  </w:tcBorders>
                  <w:noWrap w:val="0"/>
                  <w:vAlign w:val="center"/>
                </w:tcPr>
                <w:p w14:paraId="6682A881">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14</w:t>
                  </w:r>
                </w:p>
              </w:tc>
              <w:tc>
                <w:tcPr>
                  <w:tcW w:w="1150" w:type="pct"/>
                  <w:tcBorders>
                    <w:tl2br w:val="nil"/>
                    <w:tr2bl w:val="nil"/>
                  </w:tcBorders>
                  <w:noWrap w:val="0"/>
                  <w:vAlign w:val="center"/>
                </w:tcPr>
                <w:p w14:paraId="5FFB60D1">
                  <w:pPr>
                    <w:pStyle w:val="26"/>
                    <w:bidi w:val="0"/>
                    <w:ind w:firstLine="0" w:firstLineChars="0"/>
                    <w:jc w:val="center"/>
                    <w:rPr>
                      <w:rFonts w:hint="eastAsia" w:eastAsia="宋体"/>
                      <w:color w:val="000000" w:themeColor="text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bidi="ar-SA"/>
                      <w14:textFill>
                        <w14:solidFill>
                          <w14:schemeClr w14:val="tx1"/>
                        </w14:solidFill>
                      </w14:textFill>
                    </w:rPr>
                    <w:t>I</w:t>
                  </w:r>
                  <w:r>
                    <w:rPr>
                      <w:rFonts w:hint="eastAsia" w:ascii="Times New Roman" w:hAnsi="Times New Roman" w:eastAsia="宋体" w:cs="Times New Roman"/>
                      <w:color w:val="000000" w:themeColor="text1"/>
                      <w:highlight w:val="none"/>
                      <w:u w:val="none"/>
                      <w:lang w:val="en-US" w:eastAsia="zh-CN" w:bidi="ar-SA"/>
                      <w14:textFill>
                        <w14:solidFill>
                          <w14:schemeClr w14:val="tx1"/>
                        </w14:solidFill>
                      </w14:textFill>
                    </w:rPr>
                    <w:t>（</w:t>
                  </w:r>
                  <w:r>
                    <w:rPr>
                      <w:rFonts w:hint="default" w:ascii="Times New Roman" w:hAnsi="Times New Roman" w:eastAsia="宋体" w:cs="Times New Roman"/>
                      <w:color w:val="000000" w:themeColor="text1"/>
                      <w:highlight w:val="none"/>
                      <w:u w:val="none"/>
                      <w:lang w:val="en-US" w:eastAsia="zh-CN" w:bidi="ar-SA"/>
                      <w14:textFill>
                        <w14:solidFill>
                          <w14:schemeClr w14:val="tx1"/>
                        </w14:solidFill>
                      </w14:textFill>
                    </w:rPr>
                    <w:t>Btu/ft</w:t>
                  </w:r>
                  <w:r>
                    <w:rPr>
                      <w:rFonts w:hint="default" w:ascii="Times New Roman" w:hAnsi="Times New Roman" w:eastAsia="宋体" w:cs="Times New Roman"/>
                      <w:color w:val="000000" w:themeColor="text1"/>
                      <w:highlight w:val="none"/>
                      <w:u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highlight w:val="none"/>
                      <w:u w:val="none"/>
                      <w:lang w:val="en-US" w:eastAsia="zh-CN" w:bidi="ar-SA"/>
                      <w14:textFill>
                        <w14:solidFill>
                          <w14:schemeClr w14:val="tx1"/>
                        </w14:solidFill>
                      </w14:textFill>
                    </w:rPr>
                    <w:t>·day</w:t>
                  </w:r>
                  <w:r>
                    <w:rPr>
                      <w:rFonts w:hint="eastAsia" w:ascii="Times New Roman" w:hAnsi="Times New Roman" w:eastAsia="宋体" w:cs="Times New Roman"/>
                      <w:color w:val="000000" w:themeColor="text1"/>
                      <w:highlight w:val="none"/>
                      <w:u w:val="none"/>
                      <w:lang w:val="en-US" w:eastAsia="zh-CN" w:bidi="ar-SA"/>
                      <w14:textFill>
                        <w14:solidFill>
                          <w14:schemeClr w14:val="tx1"/>
                        </w14:solidFill>
                      </w14:textFill>
                    </w:rPr>
                    <w:t>）</w:t>
                  </w:r>
                </w:p>
              </w:tc>
              <w:tc>
                <w:tcPr>
                  <w:tcW w:w="5673" w:type="dxa"/>
                  <w:tcBorders>
                    <w:tl2br w:val="nil"/>
                    <w:tr2bl w:val="nil"/>
                  </w:tcBorders>
                  <w:noWrap w:val="0"/>
                  <w:vAlign w:val="center"/>
                </w:tcPr>
                <w:p w14:paraId="0E39F5C6">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1243</w:t>
                  </w:r>
                </w:p>
              </w:tc>
            </w:tr>
            <w:tr w14:paraId="2C4752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tcBorders>
                    <w:tl2br w:val="nil"/>
                    <w:tr2bl w:val="nil"/>
                  </w:tcBorders>
                  <w:noWrap w:val="0"/>
                  <w:vAlign w:val="center"/>
                </w:tcPr>
                <w:p w14:paraId="240638F5">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15</w:t>
                  </w:r>
                </w:p>
              </w:tc>
              <w:tc>
                <w:tcPr>
                  <w:tcW w:w="1150" w:type="pct"/>
                  <w:tcBorders>
                    <w:tl2br w:val="nil"/>
                    <w:tr2bl w:val="nil"/>
                  </w:tcBorders>
                  <w:noWrap w:val="0"/>
                  <w:vAlign w:val="center"/>
                </w:tcPr>
                <w:p w14:paraId="00EE85F0">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Ks</w:t>
                  </w:r>
                  <w:r>
                    <w:rPr>
                      <w:rFonts w:hint="eastAsia"/>
                      <w:color w:val="000000" w:themeColor="text1"/>
                      <w:highlight w:val="none"/>
                      <w:vertAlign w:val="baseline"/>
                      <w:lang w:val="en-US" w:eastAsia="zh-CN" w:bidi="ar-SA"/>
                      <w14:textFill>
                        <w14:solidFill>
                          <w14:schemeClr w14:val="tx1"/>
                        </w14:solidFill>
                      </w14:textFill>
                    </w:rPr>
                    <w:t>（</w:t>
                  </w:r>
                  <w:r>
                    <w:rPr>
                      <w:rFonts w:hint="eastAsia"/>
                      <w:color w:val="000000" w:themeColor="text1"/>
                      <w:highlight w:val="none"/>
                      <w:lang w:val="en-US" w:eastAsia="zh-CN" w:bidi="ar-SA"/>
                      <w14:textFill>
                        <w14:solidFill>
                          <w14:schemeClr w14:val="tx1"/>
                        </w14:solidFill>
                      </w14:textFill>
                    </w:rPr>
                    <w:t>lb/ft</w:t>
                  </w:r>
                  <w:r>
                    <w:rPr>
                      <w:rFonts w:hint="eastAsia"/>
                      <w:color w:val="000000" w:themeColor="text1"/>
                      <w:highlight w:val="none"/>
                      <w:vertAlign w:val="superscript"/>
                      <w:lang w:val="en-US" w:eastAsia="zh-CN" w:bidi="ar-SA"/>
                      <w14:textFill>
                        <w14:solidFill>
                          <w14:schemeClr w14:val="tx1"/>
                        </w14:solidFill>
                      </w14:textFill>
                    </w:rPr>
                    <w:t>2</w:t>
                  </w:r>
                  <w:r>
                    <w:rPr>
                      <w:rFonts w:hint="eastAsia"/>
                      <w:color w:val="000000" w:themeColor="text1"/>
                      <w:highlight w:val="none"/>
                      <w:vertAlign w:val="baseline"/>
                      <w:lang w:val="en-US" w:eastAsia="zh-CN" w:bidi="ar-SA"/>
                      <w14:textFill>
                        <w14:solidFill>
                          <w14:schemeClr w14:val="tx1"/>
                        </w14:solidFill>
                      </w14:textFill>
                    </w:rPr>
                    <w:t>）</w:t>
                  </w:r>
                </w:p>
              </w:tc>
              <w:tc>
                <w:tcPr>
                  <w:tcW w:w="5673" w:type="dxa"/>
                  <w:tcBorders>
                    <w:tl2br w:val="nil"/>
                    <w:tr2bl w:val="nil"/>
                  </w:tcBorders>
                  <w:noWrap w:val="0"/>
                  <w:vAlign w:val="center"/>
                </w:tcPr>
                <w:p w14:paraId="0BAD01B3">
                  <w:pPr>
                    <w:pStyle w:val="26"/>
                    <w:bidi w:val="0"/>
                    <w:jc w:val="center"/>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0.85</w:t>
                  </w:r>
                </w:p>
              </w:tc>
            </w:tr>
            <w:tr w14:paraId="07A5AD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tcBorders>
                    <w:tl2br w:val="nil"/>
                    <w:tr2bl w:val="nil"/>
                  </w:tcBorders>
                  <w:noWrap w:val="0"/>
                  <w:vAlign w:val="center"/>
                </w:tcPr>
                <w:p w14:paraId="17B70F6D">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16</w:t>
                  </w:r>
                </w:p>
              </w:tc>
              <w:tc>
                <w:tcPr>
                  <w:tcW w:w="1150" w:type="pct"/>
                  <w:tcBorders>
                    <w:tl2br w:val="nil"/>
                    <w:tr2bl w:val="nil"/>
                  </w:tcBorders>
                  <w:noWrap w:val="0"/>
                  <w:vAlign w:val="center"/>
                </w:tcPr>
                <w:p w14:paraId="4D090BD3">
                  <w:pPr>
                    <w:pStyle w:val="26"/>
                    <w:bidi w:val="0"/>
                    <w:ind w:firstLine="0" w:firstLineChars="0"/>
                    <w:jc w:val="center"/>
                    <w:rPr>
                      <w:rFonts w:hint="eastAsia"/>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P</w:t>
                  </w:r>
                  <w:r>
                    <w:rPr>
                      <w:rFonts w:hint="default"/>
                      <w:color w:val="000000" w:themeColor="text1"/>
                      <w:highlight w:val="none"/>
                      <w:vertAlign w:val="subscript"/>
                      <w:lang w:val="en-US" w:eastAsia="zh-CN" w:bidi="ar-SA"/>
                      <w14:textFill>
                        <w14:solidFill>
                          <w14:schemeClr w14:val="tx1"/>
                        </w14:solidFill>
                      </w14:textFill>
                    </w:rPr>
                    <w:t>VA</w:t>
                  </w:r>
                  <w:r>
                    <w:rPr>
                      <w:rFonts w:hint="eastAsia"/>
                      <w:color w:val="000000" w:themeColor="text1"/>
                      <w:highlight w:val="none"/>
                      <w:vertAlign w:val="baseline"/>
                      <w:lang w:val="en-US" w:eastAsia="zh-CN" w:bidi="ar-SA"/>
                      <w14:textFill>
                        <w14:solidFill>
                          <w14:schemeClr w14:val="tx1"/>
                        </w14:solidFill>
                      </w14:textFill>
                    </w:rPr>
                    <w:t>（</w:t>
                  </w:r>
                  <w:r>
                    <w:rPr>
                      <w:rFonts w:hint="default"/>
                      <w:color w:val="000000" w:themeColor="text1"/>
                      <w:highlight w:val="none"/>
                      <w:vertAlign w:val="baseline"/>
                      <w:lang w:val="en-US" w:eastAsia="zh-CN" w:bidi="ar-SA"/>
                      <w14:textFill>
                        <w14:solidFill>
                          <w14:schemeClr w14:val="tx1"/>
                        </w14:solidFill>
                      </w14:textFill>
                    </w:rPr>
                    <w:t>psia</w:t>
                  </w:r>
                  <w:r>
                    <w:rPr>
                      <w:rFonts w:hint="eastAsia"/>
                      <w:color w:val="000000" w:themeColor="text1"/>
                      <w:highlight w:val="none"/>
                      <w:vertAlign w:val="baseline"/>
                      <w:lang w:val="en-US" w:eastAsia="zh-CN" w:bidi="ar-SA"/>
                      <w14:textFill>
                        <w14:solidFill>
                          <w14:schemeClr w14:val="tx1"/>
                        </w14:solidFill>
                      </w14:textFill>
                    </w:rPr>
                    <w:t>）</w:t>
                  </w:r>
                </w:p>
              </w:tc>
              <w:tc>
                <w:tcPr>
                  <w:tcW w:w="5673" w:type="dxa"/>
                  <w:tcBorders>
                    <w:tl2br w:val="nil"/>
                    <w:tr2bl w:val="nil"/>
                  </w:tcBorders>
                  <w:noWrap w:val="0"/>
                  <w:vAlign w:val="center"/>
                </w:tcPr>
                <w:p w14:paraId="5B088B48">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0.84</w:t>
                  </w:r>
                </w:p>
              </w:tc>
            </w:tr>
            <w:tr w14:paraId="56AF2E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tcBorders>
                    <w:tl2br w:val="nil"/>
                    <w:tr2bl w:val="nil"/>
                  </w:tcBorders>
                  <w:noWrap w:val="0"/>
                  <w:vAlign w:val="center"/>
                </w:tcPr>
                <w:p w14:paraId="3F425B6B">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17</w:t>
                  </w:r>
                </w:p>
              </w:tc>
              <w:tc>
                <w:tcPr>
                  <w:tcW w:w="1150" w:type="pct"/>
                  <w:tcBorders>
                    <w:tl2br w:val="nil"/>
                    <w:tr2bl w:val="nil"/>
                  </w:tcBorders>
                  <w:noWrap w:val="0"/>
                  <w:vAlign w:val="center"/>
                </w:tcPr>
                <w:p w14:paraId="4FBCA549">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Wv（</w:t>
                  </w:r>
                  <w:r>
                    <w:rPr>
                      <w:rFonts w:hint="default"/>
                      <w:color w:val="000000" w:themeColor="text1"/>
                      <w:highlight w:val="none"/>
                      <w:lang w:val="en-US" w:eastAsia="zh-CN" w:bidi="ar-SA"/>
                      <w14:textFill>
                        <w14:solidFill>
                          <w14:schemeClr w14:val="tx1"/>
                        </w14:solidFill>
                      </w14:textFill>
                    </w:rPr>
                    <w:t>lb/ft</w:t>
                  </w:r>
                  <w:r>
                    <w:rPr>
                      <w:rFonts w:hint="default"/>
                      <w:color w:val="000000" w:themeColor="text1"/>
                      <w:highlight w:val="none"/>
                      <w:vertAlign w:val="superscript"/>
                      <w:lang w:val="en-US" w:eastAsia="zh-CN" w:bidi="ar-SA"/>
                      <w14:textFill>
                        <w14:solidFill>
                          <w14:schemeClr w14:val="tx1"/>
                        </w14:solidFill>
                      </w14:textFill>
                    </w:rPr>
                    <w:t>3</w:t>
                  </w:r>
                  <w:r>
                    <w:rPr>
                      <w:rFonts w:hint="eastAsia"/>
                      <w:color w:val="000000" w:themeColor="text1"/>
                      <w:highlight w:val="none"/>
                      <w:lang w:val="en-US" w:eastAsia="zh-CN" w:bidi="ar-SA"/>
                      <w14:textFill>
                        <w14:solidFill>
                          <w14:schemeClr w14:val="tx1"/>
                        </w14:solidFill>
                      </w14:textFill>
                    </w:rPr>
                    <w:t>）</w:t>
                  </w:r>
                </w:p>
              </w:tc>
              <w:tc>
                <w:tcPr>
                  <w:tcW w:w="5673" w:type="dxa"/>
                  <w:tcBorders>
                    <w:tl2br w:val="nil"/>
                    <w:tr2bl w:val="nil"/>
                  </w:tcBorders>
                  <w:noWrap w:val="0"/>
                  <w:vAlign w:val="center"/>
                </w:tcPr>
                <w:p w14:paraId="42946554">
                  <w:pPr>
                    <w:pStyle w:val="26"/>
                    <w:bidi w:val="0"/>
                    <w:jc w:val="center"/>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1.47E-05</w:t>
                  </w:r>
                </w:p>
              </w:tc>
            </w:tr>
            <w:tr w14:paraId="6C9106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tcBorders>
                    <w:tl2br w:val="nil"/>
                    <w:tr2bl w:val="nil"/>
                  </w:tcBorders>
                  <w:noWrap w:val="0"/>
                  <w:vAlign w:val="center"/>
                </w:tcPr>
                <w:p w14:paraId="5F59DB54">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18</w:t>
                  </w:r>
                </w:p>
              </w:tc>
              <w:tc>
                <w:tcPr>
                  <w:tcW w:w="1150" w:type="pct"/>
                  <w:tcBorders>
                    <w:tl2br w:val="nil"/>
                    <w:tr2bl w:val="nil"/>
                  </w:tcBorders>
                  <w:noWrap w:val="0"/>
                  <w:vAlign w:val="center"/>
                </w:tcPr>
                <w:p w14:paraId="2999FB9E">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Mv（</w:t>
                  </w:r>
                  <w:r>
                    <w:rPr>
                      <w:rFonts w:hint="default"/>
                      <w:color w:val="000000" w:themeColor="text1"/>
                      <w:highlight w:val="none"/>
                      <w:lang w:val="en-US" w:eastAsia="zh-CN" w:bidi="ar-SA"/>
                      <w14:textFill>
                        <w14:solidFill>
                          <w14:schemeClr w14:val="tx1"/>
                        </w14:solidFill>
                      </w14:textFill>
                    </w:rPr>
                    <w:t>lb/lb-mol</w:t>
                  </w:r>
                  <w:r>
                    <w:rPr>
                      <w:rFonts w:hint="eastAsia"/>
                      <w:color w:val="000000" w:themeColor="text1"/>
                      <w:highlight w:val="none"/>
                      <w:lang w:val="en-US" w:eastAsia="zh-CN" w:bidi="ar-SA"/>
                      <w14:textFill>
                        <w14:solidFill>
                          <w14:schemeClr w14:val="tx1"/>
                        </w14:solidFill>
                      </w14:textFill>
                    </w:rPr>
                    <w:t>）</w:t>
                  </w:r>
                </w:p>
              </w:tc>
              <w:tc>
                <w:tcPr>
                  <w:tcW w:w="5673" w:type="dxa"/>
                  <w:tcBorders>
                    <w:tl2br w:val="nil"/>
                    <w:tr2bl w:val="nil"/>
                  </w:tcBorders>
                  <w:noWrap w:val="0"/>
                  <w:vAlign w:val="center"/>
                </w:tcPr>
                <w:p w14:paraId="477A9B22">
                  <w:pPr>
                    <w:pStyle w:val="26"/>
                    <w:bidi w:val="0"/>
                    <w:jc w:val="center"/>
                    <w:rPr>
                      <w:rFonts w:hint="eastAsia"/>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0.1</w:t>
                  </w:r>
                </w:p>
              </w:tc>
            </w:tr>
            <w:tr w14:paraId="52852C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tcBorders>
                    <w:tl2br w:val="nil"/>
                    <w:tr2bl w:val="nil"/>
                  </w:tcBorders>
                  <w:noWrap w:val="0"/>
                  <w:vAlign w:val="center"/>
                </w:tcPr>
                <w:p w14:paraId="7B2F7001">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19</w:t>
                  </w:r>
                </w:p>
              </w:tc>
              <w:tc>
                <w:tcPr>
                  <w:tcW w:w="1150" w:type="pct"/>
                  <w:tcBorders>
                    <w:tl2br w:val="nil"/>
                    <w:tr2bl w:val="nil"/>
                  </w:tcBorders>
                  <w:noWrap w:val="0"/>
                  <w:vAlign w:val="center"/>
                </w:tcPr>
                <w:p w14:paraId="0CEF6429">
                  <w:pPr>
                    <w:pStyle w:val="26"/>
                    <w:bidi w:val="0"/>
                    <w:ind w:firstLine="0" w:firstLineChars="0"/>
                    <w:jc w:val="center"/>
                    <w:rPr>
                      <w:rFonts w:hint="eastAsia" w:eastAsia="宋体"/>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R（</w:t>
                  </w:r>
                  <w:r>
                    <w:rPr>
                      <w:rFonts w:hint="default"/>
                      <w:color w:val="000000" w:themeColor="text1"/>
                      <w:highlight w:val="none"/>
                      <w:lang w:val="en-US" w:eastAsia="zh-CN" w:bidi="ar-SA"/>
                      <w14:textFill>
                        <w14:solidFill>
                          <w14:schemeClr w14:val="tx1"/>
                        </w14:solidFill>
                      </w14:textFill>
                    </w:rPr>
                    <w:t>lb/lb-mol·ft·°R</w:t>
                  </w:r>
                  <w:r>
                    <w:rPr>
                      <w:rFonts w:hint="eastAsia"/>
                      <w:color w:val="000000" w:themeColor="text1"/>
                      <w:highlight w:val="none"/>
                      <w:lang w:val="en-US" w:eastAsia="zh-CN" w:bidi="ar-SA"/>
                      <w14:textFill>
                        <w14:solidFill>
                          <w14:schemeClr w14:val="tx1"/>
                        </w14:solidFill>
                      </w14:textFill>
                    </w:rPr>
                    <w:t>）</w:t>
                  </w:r>
                </w:p>
              </w:tc>
              <w:tc>
                <w:tcPr>
                  <w:tcW w:w="5673" w:type="dxa"/>
                  <w:tcBorders>
                    <w:tl2br w:val="nil"/>
                    <w:tr2bl w:val="nil"/>
                  </w:tcBorders>
                  <w:noWrap w:val="0"/>
                  <w:vAlign w:val="center"/>
                </w:tcPr>
                <w:p w14:paraId="3EDF3865">
                  <w:pPr>
                    <w:pStyle w:val="26"/>
                    <w:bidi w:val="0"/>
                    <w:jc w:val="center"/>
                    <w:rPr>
                      <w:rFonts w:hint="eastAsia"/>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10.741</w:t>
                  </w:r>
                </w:p>
              </w:tc>
            </w:tr>
            <w:tr w14:paraId="7A733D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tcBorders>
                    <w:tl2br w:val="nil"/>
                    <w:tr2bl w:val="nil"/>
                  </w:tcBorders>
                  <w:noWrap w:val="0"/>
                  <w:vAlign w:val="center"/>
                </w:tcPr>
                <w:p w14:paraId="17AA6154">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20</w:t>
                  </w:r>
                </w:p>
              </w:tc>
              <w:tc>
                <w:tcPr>
                  <w:tcW w:w="1150" w:type="pct"/>
                  <w:tcBorders>
                    <w:tl2br w:val="nil"/>
                    <w:tr2bl w:val="nil"/>
                  </w:tcBorders>
                  <w:noWrap w:val="0"/>
                  <w:vAlign w:val="center"/>
                </w:tcPr>
                <w:p w14:paraId="2DAE4F8C">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T</w:t>
                  </w:r>
                  <w:r>
                    <w:rPr>
                      <w:rFonts w:hint="eastAsia"/>
                      <w:color w:val="000000" w:themeColor="text1"/>
                      <w:highlight w:val="none"/>
                      <w:vertAlign w:val="subscript"/>
                      <w:lang w:val="en-US" w:eastAsia="zh-CN" w:bidi="ar-SA"/>
                      <w14:textFill>
                        <w14:solidFill>
                          <w14:schemeClr w14:val="tx1"/>
                        </w14:solidFill>
                      </w14:textFill>
                    </w:rPr>
                    <w:t>LA</w:t>
                  </w:r>
                  <w:r>
                    <w:rPr>
                      <w:rFonts w:hint="eastAsia"/>
                      <w:color w:val="000000" w:themeColor="text1"/>
                      <w:highlight w:val="none"/>
                      <w:lang w:val="en-US" w:eastAsia="zh-CN" w:bidi="ar-SA"/>
                      <w14:textFill>
                        <w14:solidFill>
                          <w14:schemeClr w14:val="tx1"/>
                        </w14:solidFill>
                      </w14:textFill>
                    </w:rPr>
                    <w:t>（</w:t>
                  </w:r>
                  <w:r>
                    <w:rPr>
                      <w:rFonts w:hint="default"/>
                      <w:color w:val="000000" w:themeColor="text1"/>
                      <w:highlight w:val="none"/>
                      <w:lang w:val="en-US" w:eastAsia="zh-CN" w:bidi="ar-SA"/>
                      <w14:textFill>
                        <w14:solidFill>
                          <w14:schemeClr w14:val="tx1"/>
                        </w14:solidFill>
                      </w14:textFill>
                    </w:rPr>
                    <w:t>°R</w:t>
                  </w:r>
                  <w:r>
                    <w:rPr>
                      <w:rFonts w:hint="eastAsia"/>
                      <w:color w:val="000000" w:themeColor="text1"/>
                      <w:highlight w:val="none"/>
                      <w:lang w:val="en-US" w:eastAsia="zh-CN" w:bidi="ar-SA"/>
                      <w14:textFill>
                        <w14:solidFill>
                          <w14:schemeClr w14:val="tx1"/>
                        </w14:solidFill>
                      </w14:textFill>
                    </w:rPr>
                    <w:t>）</w:t>
                  </w:r>
                </w:p>
              </w:tc>
              <w:tc>
                <w:tcPr>
                  <w:tcW w:w="5673" w:type="dxa"/>
                  <w:tcBorders>
                    <w:tl2br w:val="nil"/>
                    <w:tr2bl w:val="nil"/>
                  </w:tcBorders>
                  <w:noWrap w:val="0"/>
                  <w:vAlign w:val="center"/>
                </w:tcPr>
                <w:p w14:paraId="168F683D">
                  <w:pPr>
                    <w:pStyle w:val="26"/>
                    <w:bidi w:val="0"/>
                    <w:jc w:val="center"/>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532.17</w:t>
                  </w:r>
                </w:p>
              </w:tc>
            </w:tr>
            <w:tr w14:paraId="220BE8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tcBorders>
                    <w:tl2br w:val="nil"/>
                    <w:tr2bl w:val="nil"/>
                  </w:tcBorders>
                  <w:noWrap w:val="0"/>
                  <w:vAlign w:val="center"/>
                </w:tcPr>
                <w:p w14:paraId="7C7B7079">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21</w:t>
                  </w:r>
                </w:p>
              </w:tc>
              <w:tc>
                <w:tcPr>
                  <w:tcW w:w="1150" w:type="pct"/>
                  <w:tcBorders>
                    <w:tl2br w:val="nil"/>
                    <w:tr2bl w:val="nil"/>
                  </w:tcBorders>
                  <w:noWrap w:val="0"/>
                  <w:vAlign w:val="center"/>
                </w:tcPr>
                <w:p w14:paraId="3B8C0AEA">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TAA（</w:t>
                  </w:r>
                  <w:r>
                    <w:rPr>
                      <w:rFonts w:hint="default"/>
                      <w:color w:val="000000" w:themeColor="text1"/>
                      <w:highlight w:val="none"/>
                      <w:lang w:val="en-US" w:eastAsia="zh-CN" w:bidi="ar-SA"/>
                      <w14:textFill>
                        <w14:solidFill>
                          <w14:schemeClr w14:val="tx1"/>
                        </w14:solidFill>
                      </w14:textFill>
                    </w:rPr>
                    <w:t>°R</w:t>
                  </w:r>
                  <w:r>
                    <w:rPr>
                      <w:rFonts w:hint="eastAsia"/>
                      <w:color w:val="000000" w:themeColor="text1"/>
                      <w:highlight w:val="none"/>
                      <w:lang w:val="en-US" w:eastAsia="zh-CN" w:bidi="ar-SA"/>
                      <w14:textFill>
                        <w14:solidFill>
                          <w14:schemeClr w14:val="tx1"/>
                        </w14:solidFill>
                      </w14:textFill>
                    </w:rPr>
                    <w:t>）</w:t>
                  </w:r>
                </w:p>
              </w:tc>
              <w:tc>
                <w:tcPr>
                  <w:tcW w:w="5673" w:type="dxa"/>
                  <w:tcBorders>
                    <w:tl2br w:val="nil"/>
                    <w:tr2bl w:val="nil"/>
                  </w:tcBorders>
                  <w:noWrap w:val="0"/>
                  <w:vAlign w:val="center"/>
                </w:tcPr>
                <w:p w14:paraId="68788C31">
                  <w:pPr>
                    <w:pStyle w:val="26"/>
                    <w:bidi w:val="0"/>
                    <w:jc w:val="center"/>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528.25</w:t>
                  </w:r>
                </w:p>
              </w:tc>
            </w:tr>
            <w:tr w14:paraId="057141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tcBorders>
                    <w:tl2br w:val="nil"/>
                    <w:tr2bl w:val="nil"/>
                  </w:tcBorders>
                  <w:noWrap w:val="0"/>
                  <w:vAlign w:val="center"/>
                </w:tcPr>
                <w:p w14:paraId="53F330F6">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22</w:t>
                  </w:r>
                </w:p>
              </w:tc>
              <w:tc>
                <w:tcPr>
                  <w:tcW w:w="1150" w:type="pct"/>
                  <w:tcBorders>
                    <w:tl2br w:val="nil"/>
                    <w:tr2bl w:val="nil"/>
                  </w:tcBorders>
                  <w:noWrap w:val="0"/>
                  <w:vAlign w:val="center"/>
                </w:tcPr>
                <w:p w14:paraId="40BC9402">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TB（</w:t>
                  </w:r>
                  <w:r>
                    <w:rPr>
                      <w:rFonts w:hint="default"/>
                      <w:color w:val="000000" w:themeColor="text1"/>
                      <w:highlight w:val="none"/>
                      <w:lang w:val="en-US" w:eastAsia="zh-CN" w:bidi="ar-SA"/>
                      <w14:textFill>
                        <w14:solidFill>
                          <w14:schemeClr w14:val="tx1"/>
                        </w14:solidFill>
                      </w14:textFill>
                    </w:rPr>
                    <w:t>°R</w:t>
                  </w:r>
                  <w:r>
                    <w:rPr>
                      <w:rFonts w:hint="eastAsia"/>
                      <w:color w:val="000000" w:themeColor="text1"/>
                      <w:highlight w:val="none"/>
                      <w:lang w:val="en-US" w:eastAsia="zh-CN" w:bidi="ar-SA"/>
                      <w14:textFill>
                        <w14:solidFill>
                          <w14:schemeClr w14:val="tx1"/>
                        </w14:solidFill>
                      </w14:textFill>
                    </w:rPr>
                    <w:t>）</w:t>
                  </w:r>
                </w:p>
              </w:tc>
              <w:tc>
                <w:tcPr>
                  <w:tcW w:w="5673" w:type="dxa"/>
                  <w:tcBorders>
                    <w:tl2br w:val="nil"/>
                    <w:tr2bl w:val="nil"/>
                  </w:tcBorders>
                  <w:noWrap w:val="0"/>
                  <w:vAlign w:val="center"/>
                </w:tcPr>
                <w:p w14:paraId="55D36C25">
                  <w:pPr>
                    <w:pStyle w:val="26"/>
                    <w:bidi w:val="0"/>
                    <w:jc w:val="center"/>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529.29</w:t>
                  </w:r>
                </w:p>
              </w:tc>
            </w:tr>
            <w:tr w14:paraId="1B9C1E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tcBorders>
                    <w:tl2br w:val="nil"/>
                    <w:tr2bl w:val="nil"/>
                  </w:tcBorders>
                  <w:noWrap w:val="0"/>
                  <w:vAlign w:val="center"/>
                </w:tcPr>
                <w:p w14:paraId="5DF363A7">
                  <w:pPr>
                    <w:pStyle w:val="26"/>
                    <w:bidi w:val="0"/>
                    <w:jc w:val="center"/>
                    <w:rPr>
                      <w:rFonts w:hint="default" w:eastAsia="宋体"/>
                      <w:color w:val="000000" w:themeColor="text1"/>
                      <w:highlight w:val="none"/>
                      <w:lang w:val="en-US" w:eastAsia="zh-CN" w:bidi="ar-SA"/>
                      <w14:textFill>
                        <w14:solidFill>
                          <w14:schemeClr w14:val="tx1"/>
                        </w14:solidFill>
                      </w14:textFill>
                    </w:rPr>
                  </w:pPr>
                  <w:r>
                    <w:rPr>
                      <w:rFonts w:hint="eastAsia" w:eastAsia="宋体"/>
                      <w:color w:val="000000" w:themeColor="text1"/>
                      <w:highlight w:val="none"/>
                      <w:lang w:val="en-US" w:eastAsia="zh-CN" w:bidi="ar-SA"/>
                      <w14:textFill>
                        <w14:solidFill>
                          <w14:schemeClr w14:val="tx1"/>
                        </w14:solidFill>
                      </w14:textFill>
                    </w:rPr>
                    <w:t>23</w:t>
                  </w:r>
                </w:p>
              </w:tc>
              <w:tc>
                <w:tcPr>
                  <w:tcW w:w="1150" w:type="pct"/>
                  <w:tcBorders>
                    <w:tl2br w:val="nil"/>
                    <w:tr2bl w:val="nil"/>
                  </w:tcBorders>
                  <w:noWrap w:val="0"/>
                  <w:vAlign w:val="center"/>
                </w:tcPr>
                <w:p w14:paraId="512CE47B">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单罐L</w:t>
                  </w:r>
                  <w:r>
                    <w:rPr>
                      <w:rFonts w:hint="eastAsia"/>
                      <w:color w:val="000000" w:themeColor="text1"/>
                      <w:highlight w:val="none"/>
                      <w:vertAlign w:val="subscript"/>
                      <w:lang w:val="en-US" w:eastAsia="zh-CN" w:bidi="ar-SA"/>
                      <w14:textFill>
                        <w14:solidFill>
                          <w14:schemeClr w14:val="tx1"/>
                        </w14:solidFill>
                      </w14:textFill>
                    </w:rPr>
                    <w:t>S</w:t>
                  </w:r>
                  <w:r>
                    <w:rPr>
                      <w:rFonts w:hint="eastAsia"/>
                      <w:color w:val="000000" w:themeColor="text1"/>
                      <w:highlight w:val="none"/>
                      <w:lang w:val="en-US" w:eastAsia="zh-CN" w:bidi="ar-SA"/>
                      <w14:textFill>
                        <w14:solidFill>
                          <w14:schemeClr w14:val="tx1"/>
                        </w14:solidFill>
                      </w14:textFill>
                    </w:rPr>
                    <w:t>（1b/a）</w:t>
                  </w:r>
                </w:p>
              </w:tc>
              <w:tc>
                <w:tcPr>
                  <w:tcW w:w="5673" w:type="dxa"/>
                  <w:tcBorders>
                    <w:tl2br w:val="nil"/>
                    <w:tr2bl w:val="nil"/>
                  </w:tcBorders>
                  <w:noWrap w:val="0"/>
                  <w:vAlign w:val="center"/>
                </w:tcPr>
                <w:p w14:paraId="297BF403">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0.3447</w:t>
                  </w:r>
                </w:p>
              </w:tc>
            </w:tr>
            <w:tr w14:paraId="61BBD1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pct"/>
                  <w:tcBorders>
                    <w:tl2br w:val="nil"/>
                    <w:tr2bl w:val="nil"/>
                  </w:tcBorders>
                  <w:noWrap w:val="0"/>
                  <w:vAlign w:val="center"/>
                </w:tcPr>
                <w:p w14:paraId="127041A7">
                  <w:pPr>
                    <w:pStyle w:val="26"/>
                    <w:bidi w:val="0"/>
                    <w:jc w:val="center"/>
                    <w:rPr>
                      <w:rFonts w:hint="default" w:eastAsia="宋体"/>
                      <w:color w:val="000000" w:themeColor="text1"/>
                      <w:highlight w:val="none"/>
                      <w:lang w:val="en-US" w:eastAsia="zh-CN" w:bidi="ar-SA"/>
                      <w14:textFill>
                        <w14:solidFill>
                          <w14:schemeClr w14:val="tx1"/>
                        </w14:solidFill>
                      </w14:textFill>
                    </w:rPr>
                  </w:pPr>
                  <w:r>
                    <w:rPr>
                      <w:rFonts w:hint="eastAsia" w:eastAsia="宋体"/>
                      <w:color w:val="000000" w:themeColor="text1"/>
                      <w:highlight w:val="none"/>
                      <w:lang w:val="en-US" w:eastAsia="zh-CN" w:bidi="ar-SA"/>
                      <w14:textFill>
                        <w14:solidFill>
                          <w14:schemeClr w14:val="tx1"/>
                        </w14:solidFill>
                      </w14:textFill>
                    </w:rPr>
                    <w:t>24</w:t>
                  </w:r>
                </w:p>
              </w:tc>
              <w:tc>
                <w:tcPr>
                  <w:tcW w:w="1150" w:type="pct"/>
                  <w:tcBorders>
                    <w:tl2br w:val="nil"/>
                    <w:tr2bl w:val="nil"/>
                  </w:tcBorders>
                  <w:noWrap w:val="0"/>
                  <w:vAlign w:val="center"/>
                </w:tcPr>
                <w:p w14:paraId="167232EB">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总L</w:t>
                  </w:r>
                  <w:r>
                    <w:rPr>
                      <w:rFonts w:hint="eastAsia"/>
                      <w:color w:val="000000" w:themeColor="text1"/>
                      <w:highlight w:val="none"/>
                      <w:vertAlign w:val="subscript"/>
                      <w:lang w:val="en-US" w:eastAsia="zh-CN" w:bidi="ar-SA"/>
                      <w14:textFill>
                        <w14:solidFill>
                          <w14:schemeClr w14:val="tx1"/>
                        </w14:solidFill>
                      </w14:textFill>
                    </w:rPr>
                    <w:t>S</w:t>
                  </w:r>
                  <w:r>
                    <w:rPr>
                      <w:rFonts w:hint="eastAsia"/>
                      <w:color w:val="000000" w:themeColor="text1"/>
                      <w:highlight w:val="none"/>
                      <w:lang w:val="en-US" w:eastAsia="zh-CN" w:bidi="ar-SA"/>
                      <w14:textFill>
                        <w14:solidFill>
                          <w14:schemeClr w14:val="tx1"/>
                        </w14:solidFill>
                      </w14:textFill>
                    </w:rPr>
                    <w:t>（t/a）</w:t>
                  </w:r>
                </w:p>
              </w:tc>
              <w:tc>
                <w:tcPr>
                  <w:tcW w:w="5673" w:type="dxa"/>
                  <w:tcBorders>
                    <w:tl2br w:val="nil"/>
                    <w:tr2bl w:val="nil"/>
                  </w:tcBorders>
                  <w:noWrap w:val="0"/>
                  <w:vAlign w:val="center"/>
                </w:tcPr>
                <w:p w14:paraId="25653990">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0.00031</w:t>
                  </w:r>
                </w:p>
              </w:tc>
            </w:tr>
          </w:tbl>
          <w:p w14:paraId="05C00A32">
            <w:pPr>
              <w:pStyle w:val="30"/>
              <w:bidi w:val="0"/>
              <w:rPr>
                <w:rFonts w:hint="default"/>
                <w:color w:val="000000" w:themeColor="text1"/>
                <w:highlight w:val="none"/>
                <w:lang w:val="en-US" w:eastAsia="zh-CN"/>
                <w14:textFill>
                  <w14:solidFill>
                    <w14:schemeClr w14:val="tx1"/>
                  </w14:solidFill>
                </w14:textFill>
              </w:rPr>
            </w:pPr>
            <w:bookmarkStart w:id="182" w:name="_Ref19483"/>
            <w:r>
              <w:rPr>
                <w:rFonts w:hint="eastAsia"/>
                <w:color w:val="000000" w:themeColor="text1"/>
                <w:highlight w:val="none"/>
                <w:lang w:val="en-US" w:eastAsia="zh-CN"/>
                <w14:textFill>
                  <w14:solidFill>
                    <w14:schemeClr w14:val="tx1"/>
                  </w14:solidFill>
                </w14:textFill>
              </w:rPr>
              <w:t>乙醇储罐总损耗一览表（二期工程）</w:t>
            </w:r>
            <w:bookmarkEnd w:id="182"/>
          </w:p>
          <w:tbl>
            <w:tblPr>
              <w:tblStyle w:val="1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95"/>
              <w:gridCol w:w="5409"/>
            </w:tblGrid>
            <w:tr w14:paraId="21D1C0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43" w:type="pct"/>
                  <w:tcBorders>
                    <w:tl2br w:val="nil"/>
                    <w:tr2bl w:val="nil"/>
                  </w:tcBorders>
                  <w:noWrap w:val="0"/>
                  <w:vAlign w:val="center"/>
                </w:tcPr>
                <w:p w14:paraId="5DF4E79F">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类型</w:t>
                  </w:r>
                </w:p>
              </w:tc>
              <w:tc>
                <w:tcPr>
                  <w:tcW w:w="3256" w:type="pct"/>
                  <w:tcBorders>
                    <w:tl2br w:val="nil"/>
                    <w:tr2bl w:val="nil"/>
                  </w:tcBorders>
                  <w:noWrap w:val="0"/>
                  <w:vAlign w:val="center"/>
                </w:tcPr>
                <w:p w14:paraId="69E4E01E">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损耗量（t/a）</w:t>
                  </w:r>
                </w:p>
              </w:tc>
            </w:tr>
            <w:tr w14:paraId="56FC97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43" w:type="pct"/>
                  <w:tcBorders>
                    <w:tl2br w:val="nil"/>
                    <w:tr2bl w:val="nil"/>
                  </w:tcBorders>
                  <w:noWrap w:val="0"/>
                  <w:vAlign w:val="center"/>
                </w:tcPr>
                <w:p w14:paraId="463F9FC9">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工作损失</w:t>
                  </w:r>
                  <w:r>
                    <w:rPr>
                      <w:rFonts w:hint="eastAsia"/>
                      <w:color w:val="000000" w:themeColor="text1"/>
                      <w:highlight w:val="none"/>
                      <w:lang w:val="en-US" w:eastAsia="zh-CN" w:bidi="ar-SA"/>
                      <w14:textFill>
                        <w14:solidFill>
                          <w14:schemeClr w14:val="tx1"/>
                        </w14:solidFill>
                      </w14:textFill>
                    </w:rPr>
                    <w:t>L</w:t>
                  </w:r>
                  <w:r>
                    <w:rPr>
                      <w:rFonts w:hint="eastAsia"/>
                      <w:color w:val="000000" w:themeColor="text1"/>
                      <w:highlight w:val="none"/>
                      <w:vertAlign w:val="subscript"/>
                      <w:lang w:val="en-US" w:eastAsia="zh-CN" w:bidi="ar-SA"/>
                      <w14:textFill>
                        <w14:solidFill>
                          <w14:schemeClr w14:val="tx1"/>
                        </w14:solidFill>
                      </w14:textFill>
                    </w:rPr>
                    <w:t>W</w:t>
                  </w:r>
                </w:p>
              </w:tc>
              <w:tc>
                <w:tcPr>
                  <w:tcW w:w="5409" w:type="dxa"/>
                  <w:tcBorders>
                    <w:tl2br w:val="nil"/>
                    <w:tr2bl w:val="nil"/>
                  </w:tcBorders>
                  <w:noWrap w:val="0"/>
                  <w:vAlign w:val="center"/>
                </w:tcPr>
                <w:p w14:paraId="2F51DC56">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0.00091</w:t>
                  </w:r>
                </w:p>
              </w:tc>
            </w:tr>
            <w:tr w14:paraId="2D4975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43" w:type="pct"/>
                  <w:tcBorders>
                    <w:tl2br w:val="nil"/>
                    <w:tr2bl w:val="nil"/>
                  </w:tcBorders>
                  <w:noWrap w:val="0"/>
                  <w:vAlign w:val="center"/>
                </w:tcPr>
                <w:p w14:paraId="597F4D96">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静置储藏损失</w:t>
                  </w:r>
                  <w:r>
                    <w:rPr>
                      <w:rFonts w:hint="eastAsia"/>
                      <w:color w:val="000000" w:themeColor="text1"/>
                      <w:highlight w:val="none"/>
                      <w:lang w:val="en-US" w:eastAsia="zh-CN" w:bidi="ar-SA"/>
                      <w14:textFill>
                        <w14:solidFill>
                          <w14:schemeClr w14:val="tx1"/>
                        </w14:solidFill>
                      </w14:textFill>
                    </w:rPr>
                    <w:t>L</w:t>
                  </w:r>
                  <w:r>
                    <w:rPr>
                      <w:rFonts w:hint="eastAsia"/>
                      <w:color w:val="000000" w:themeColor="text1"/>
                      <w:highlight w:val="none"/>
                      <w:vertAlign w:val="subscript"/>
                      <w:lang w:val="en-US" w:eastAsia="zh-CN" w:bidi="ar-SA"/>
                      <w14:textFill>
                        <w14:solidFill>
                          <w14:schemeClr w14:val="tx1"/>
                        </w14:solidFill>
                      </w14:textFill>
                    </w:rPr>
                    <w:t>S</w:t>
                  </w:r>
                </w:p>
              </w:tc>
              <w:tc>
                <w:tcPr>
                  <w:tcW w:w="5409" w:type="dxa"/>
                  <w:tcBorders>
                    <w:tl2br w:val="nil"/>
                    <w:tr2bl w:val="nil"/>
                  </w:tcBorders>
                  <w:noWrap w:val="0"/>
                  <w:vAlign w:val="center"/>
                </w:tcPr>
                <w:p w14:paraId="5DE3EFB4">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0.00031</w:t>
                  </w:r>
                </w:p>
              </w:tc>
            </w:tr>
            <w:tr w14:paraId="6D4AEB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43" w:type="pct"/>
                  <w:tcBorders>
                    <w:tl2br w:val="nil"/>
                    <w:tr2bl w:val="nil"/>
                  </w:tcBorders>
                  <w:noWrap w:val="0"/>
                  <w:vAlign w:val="center"/>
                </w:tcPr>
                <w:p w14:paraId="6DD58DCE">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总损失</w:t>
                  </w:r>
                  <w:r>
                    <w:rPr>
                      <w:rFonts w:hint="eastAsia"/>
                      <w:color w:val="000000" w:themeColor="text1"/>
                      <w:highlight w:val="none"/>
                      <w:lang w:val="en-US" w:eastAsia="zh-CN" w:bidi="ar-SA"/>
                      <w14:textFill>
                        <w14:solidFill>
                          <w14:schemeClr w14:val="tx1"/>
                        </w14:solidFill>
                      </w14:textFill>
                    </w:rPr>
                    <w:t>L</w:t>
                  </w:r>
                  <w:r>
                    <w:rPr>
                      <w:rFonts w:hint="eastAsia"/>
                      <w:color w:val="000000" w:themeColor="text1"/>
                      <w:highlight w:val="none"/>
                      <w:vertAlign w:val="subscript"/>
                      <w:lang w:val="en-US" w:eastAsia="zh-CN" w:bidi="ar-SA"/>
                      <w14:textFill>
                        <w14:solidFill>
                          <w14:schemeClr w14:val="tx1"/>
                        </w14:solidFill>
                      </w14:textFill>
                    </w:rPr>
                    <w:t>T</w:t>
                  </w:r>
                </w:p>
              </w:tc>
              <w:tc>
                <w:tcPr>
                  <w:tcW w:w="5409" w:type="dxa"/>
                  <w:tcBorders>
                    <w:tl2br w:val="nil"/>
                    <w:tr2bl w:val="nil"/>
                  </w:tcBorders>
                  <w:noWrap w:val="0"/>
                  <w:vAlign w:val="center"/>
                </w:tcPr>
                <w:p w14:paraId="7E6989CF">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0.00123</w:t>
                  </w:r>
                </w:p>
              </w:tc>
            </w:tr>
          </w:tbl>
          <w:p w14:paraId="0517122C">
            <w:pPr>
              <w:pStyle w:val="4"/>
              <w:bidi w:val="0"/>
              <w:rPr>
                <w:rFonts w:hint="eastAsia"/>
                <w:color w:val="000000" w:themeColor="text1"/>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集气管风量计算</w:t>
            </w:r>
          </w:p>
          <w:p w14:paraId="6F518F9D">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（1）一期工程集气管风量</w:t>
            </w:r>
          </w:p>
          <w:p w14:paraId="4D044DDA">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项目</w:t>
            </w:r>
            <w:r>
              <w:rPr>
                <w:rFonts w:hint="eastAsia"/>
                <w:color w:val="000000" w:themeColor="text1"/>
                <w:highlight w:val="none"/>
                <w:lang w:val="en-US" w:eastAsia="zh-CN"/>
                <w14:textFill>
                  <w14:solidFill>
                    <w14:schemeClr w14:val="tx1"/>
                  </w14:solidFill>
                </w14:textFill>
              </w:rPr>
              <w:t>干燥机、电弧炉</w:t>
            </w:r>
            <w:r>
              <w:rPr>
                <w:rFonts w:hint="default"/>
                <w:color w:val="000000" w:themeColor="text1"/>
                <w:highlight w:val="none"/>
                <w:lang w:val="en-US" w:eastAsia="zh-CN"/>
                <w14:textFill>
                  <w14:solidFill>
                    <w14:schemeClr w14:val="tx1"/>
                  </w14:solidFill>
                </w14:textFill>
              </w:rPr>
              <w:t>、球磨机、喷雾干燥系统</w:t>
            </w:r>
            <w:r>
              <w:rPr>
                <w:rFonts w:hint="eastAsia"/>
                <w:color w:val="000000" w:themeColor="text1"/>
                <w:highlight w:val="none"/>
                <w:lang w:val="en-US" w:eastAsia="zh-CN"/>
                <w14:textFill>
                  <w14:solidFill>
                    <w14:schemeClr w14:val="tx1"/>
                  </w14:solidFill>
                </w14:textFill>
              </w:rPr>
              <w:t>、包覆机</w:t>
            </w:r>
            <w:r>
              <w:rPr>
                <w:rFonts w:hint="default"/>
                <w:color w:val="000000" w:themeColor="text1"/>
                <w:highlight w:val="none"/>
                <w:lang w:val="en-US" w:eastAsia="zh-CN"/>
                <w14:textFill>
                  <w14:solidFill>
                    <w14:schemeClr w14:val="tx1"/>
                  </w14:solidFill>
                </w14:textFill>
              </w:rPr>
              <w:t>均通过设备自带排气管对有机废气进行收集。</w:t>
            </w:r>
            <w:r>
              <w:rPr>
                <w:rFonts w:hint="eastAsia"/>
                <w:color w:val="000000" w:themeColor="text1"/>
                <w:highlight w:val="none"/>
                <w:lang w:val="en-US" w:eastAsia="zh-CN"/>
                <w14:textFill>
                  <w14:solidFill>
                    <w14:schemeClr w14:val="tx1"/>
                  </w14:solidFill>
                </w14:textFill>
              </w:rPr>
              <w:t>集气管风量</w:t>
            </w:r>
            <w:r>
              <w:rPr>
                <w:rFonts w:hint="default"/>
                <w:color w:val="000000" w:themeColor="text1"/>
                <w:highlight w:val="none"/>
                <w:lang w:val="en-US" w:eastAsia="zh-CN"/>
                <w14:textFill>
                  <w14:solidFill>
                    <w14:schemeClr w14:val="tx1"/>
                  </w14:solidFill>
                </w14:textFill>
              </w:rPr>
              <w:t>根据《环境工程设计手册》</w:t>
            </w:r>
            <w:r>
              <w:rPr>
                <w:rFonts w:hint="eastAsia"/>
                <w:color w:val="000000" w:themeColor="text1"/>
                <w:highlight w:val="none"/>
                <w:lang w:val="en-US" w:eastAsia="zh-CN"/>
                <w14:textFill>
                  <w14:solidFill>
                    <w14:schemeClr w14:val="tx1"/>
                  </w14:solidFill>
                </w14:textFill>
              </w:rPr>
              <w:t>中</w:t>
            </w:r>
            <w:r>
              <w:rPr>
                <w:rFonts w:hint="default"/>
                <w:color w:val="000000" w:themeColor="text1"/>
                <w:highlight w:val="none"/>
                <w:lang w:val="en-US" w:eastAsia="zh-CN"/>
                <w14:textFill>
                  <w14:solidFill>
                    <w14:schemeClr w14:val="tx1"/>
                  </w14:solidFill>
                </w14:textFill>
              </w:rPr>
              <w:t>集气管公式</w:t>
            </w:r>
            <w:r>
              <w:rPr>
                <w:rFonts w:hint="eastAsia"/>
                <w:color w:val="000000" w:themeColor="text1"/>
                <w:highlight w:val="none"/>
                <w:lang w:val="en-US" w:eastAsia="zh-CN"/>
                <w14:textFill>
                  <w14:solidFill>
                    <w14:schemeClr w14:val="tx1"/>
                  </w14:solidFill>
                </w14:textFill>
              </w:rPr>
              <w:t>计算：</w:t>
            </w:r>
          </w:p>
          <w:p w14:paraId="7FF1C965">
            <w:pPr>
              <w:ind w:left="0" w:leftChars="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position w:val="-10"/>
                <w:highlight w:val="none"/>
                <w:lang w:val="en-US" w:eastAsia="zh-CN"/>
                <w14:textFill>
                  <w14:solidFill>
                    <w14:schemeClr w14:val="tx1"/>
                  </w14:solidFill>
                </w14:textFill>
              </w:rPr>
              <w:object>
                <v:shape id="_x0000_i1029" o:spt="75" type="#_x0000_t75" style="height:18pt;width:125pt;" o:ole="t" filled="f" o:preferrelative="t" stroked="f" coordsize="21600,21600">
                  <v:path/>
                  <v:fill on="f" focussize="0,0"/>
                  <v:stroke on="f"/>
                  <v:imagedata r:id="rId39" o:title=""/>
                  <o:lock v:ext="edit" aspectratio="t"/>
                  <w10:wrap type="none"/>
                  <w10:anchorlock/>
                </v:shape>
                <o:OLEObject Type="Embed" ProgID="Equation.KSEE3" ShapeID="_x0000_i1029" DrawAspect="Content" ObjectID="_1468075729" r:id="rId38">
                  <o:LockedField>false</o:LockedField>
                </o:OLEObject>
              </w:object>
            </w:r>
            <w:r>
              <w:rPr>
                <w:rFonts w:hint="eastAsia"/>
                <w:color w:val="000000" w:themeColor="text1"/>
                <w:highlight w:val="none"/>
                <w:lang w:val="en-US" w:eastAsia="zh-CN"/>
                <w14:textFill>
                  <w14:solidFill>
                    <w14:schemeClr w14:val="tx1"/>
                  </w14:solidFill>
                </w14:textFill>
              </w:rPr>
              <w:t>（公式18）</w:t>
            </w:r>
          </w:p>
          <w:p w14:paraId="4B57307A">
            <w:pPr>
              <w:keepNext w:val="0"/>
              <w:keepLines w:val="0"/>
              <w:pageBreakBefore w:val="0"/>
              <w:widowControl w:val="0"/>
              <w:kinsoku/>
              <w:wordWrap/>
              <w:overflowPunct/>
              <w:topLinePunct w:val="0"/>
              <w:autoSpaceDE/>
              <w:autoSpaceDN/>
              <w:bidi w:val="0"/>
              <w:adjustRightInd/>
              <w:snapToGrid/>
              <w:ind w:left="0" w:leftChars="0" w:firstLine="480" w:firstLineChars="200"/>
              <w:jc w:val="lef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式中：L——集气管风量，m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/h；</w:t>
            </w:r>
          </w:p>
          <w:p w14:paraId="542C8E1C">
            <w:pPr>
              <w:keepNext w:val="0"/>
              <w:keepLines w:val="0"/>
              <w:pageBreakBefore w:val="0"/>
              <w:widowControl w:val="0"/>
              <w:kinsoku/>
              <w:wordWrap/>
              <w:overflowPunct/>
              <w:topLinePunct w:val="0"/>
              <w:autoSpaceDE/>
              <w:autoSpaceDN/>
              <w:bidi w:val="0"/>
              <w:adjustRightInd/>
              <w:snapToGrid/>
              <w:ind w:left="720" w:leftChars="300" w:firstLine="480" w:firstLineChars="200"/>
              <w:jc w:val="lef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D——风管直径，m；</w:t>
            </w:r>
          </w:p>
          <w:p w14:paraId="79EA991B">
            <w:pPr>
              <w:keepNext w:val="0"/>
              <w:keepLines w:val="0"/>
              <w:pageBreakBefore w:val="0"/>
              <w:widowControl w:val="0"/>
              <w:kinsoku/>
              <w:wordWrap/>
              <w:overflowPunct/>
              <w:topLinePunct w:val="0"/>
              <w:autoSpaceDE/>
              <w:autoSpaceDN/>
              <w:bidi w:val="0"/>
              <w:adjustRightInd/>
              <w:snapToGrid/>
              <w:ind w:left="720" w:leftChars="300" w:firstLine="480" w:firstLineChars="200"/>
              <w:jc w:val="lef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V——断面平均风速，m/s；根据《环境工程设计手册》中表1.4.3 一般排风系统风管内常用流速可知，钢板及塑料风管风速设置在2~8 m/s（本项目一期工程取5 m/s）。</w:t>
            </w:r>
          </w:p>
          <w:p w14:paraId="79B1FCC8">
            <w:pPr>
              <w:keepNext w:val="0"/>
              <w:keepLines w:val="0"/>
              <w:pageBreakBefore w:val="0"/>
              <w:widowControl w:val="0"/>
              <w:kinsoku/>
              <w:wordWrap/>
              <w:overflowPunct/>
              <w:topLinePunct w:val="0"/>
              <w:autoSpaceDE/>
              <w:autoSpaceDN/>
              <w:bidi w:val="0"/>
              <w:adjustRightInd/>
              <w:snapToGrid/>
              <w:ind w:left="0" w:leftChars="0" w:firstLine="480" w:firstLineChars="200"/>
              <w:jc w:val="lef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根据上述公式，集气管风量的计算见</w:t>
            </w:r>
            <w:r>
              <w:rPr>
                <w:rFonts w:hint="eastAsia"/>
                <w:color w:val="000000" w:themeColor="text1"/>
                <w:highlight w:val="none"/>
                <w:lang w:val="en-US" w:eastAsia="zh-CN"/>
                <w14:textFill>
                  <w14:solidFill>
                    <w14:schemeClr w14:val="tx1"/>
                  </w14:solidFill>
                </w14:textFill>
              </w:rPr>
              <w:fldChar w:fldCharType="begin"/>
            </w:r>
            <w:r>
              <w:rPr>
                <w:rFonts w:hint="eastAsia"/>
                <w:color w:val="000000" w:themeColor="text1"/>
                <w:highlight w:val="none"/>
                <w:lang w:val="en-US" w:eastAsia="zh-CN"/>
                <w14:textFill>
                  <w14:solidFill>
                    <w14:schemeClr w14:val="tx1"/>
                  </w14:solidFill>
                </w14:textFill>
              </w:rPr>
              <w:instrText xml:space="preserve"> REF _Ref31628 \n \h </w:instrText>
            </w:r>
            <w:r>
              <w:rPr>
                <w:rFonts w:hint="eastAsia"/>
                <w:color w:val="000000" w:themeColor="text1"/>
                <w:highlight w:val="none"/>
                <w:lang w:val="en-US" w:eastAsia="zh-CN"/>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表4.1-16</w:t>
            </w:r>
            <w:r>
              <w:rPr>
                <w:rFonts w:hint="eastAsia"/>
                <w:color w:val="000000" w:themeColor="text1"/>
                <w:highlight w:val="none"/>
                <w:lang w:val="en-US" w:eastAsia="zh-CN"/>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w:t>
            </w:r>
          </w:p>
          <w:p w14:paraId="490238EA">
            <w:pPr>
              <w:pStyle w:val="30"/>
              <w:bidi w:val="0"/>
              <w:rPr>
                <w:rFonts w:hint="default"/>
                <w:color w:val="000000" w:themeColor="text1"/>
                <w:lang w:val="en-US" w:eastAsia="zh-CN"/>
                <w14:textFill>
                  <w14:solidFill>
                    <w14:schemeClr w14:val="tx1"/>
                  </w14:solidFill>
                </w14:textFill>
              </w:rPr>
            </w:pPr>
            <w:bookmarkStart w:id="183" w:name="_Ref31628"/>
            <w:r>
              <w:rPr>
                <w:rFonts w:hint="eastAsia"/>
                <w:color w:val="000000" w:themeColor="text1"/>
                <w:lang w:val="en-US" w:eastAsia="zh-CN"/>
                <w14:textFill>
                  <w14:solidFill>
                    <w14:schemeClr w14:val="tx1"/>
                  </w14:solidFill>
                </w14:textFill>
              </w:rPr>
              <w:t>一期工程集气管所需风量计算表</w:t>
            </w:r>
            <w:bookmarkEnd w:id="183"/>
          </w:p>
          <w:tbl>
            <w:tblPr>
              <w:tblStyle w:val="1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1646"/>
              <w:gridCol w:w="1075"/>
              <w:gridCol w:w="1266"/>
              <w:gridCol w:w="1512"/>
              <w:gridCol w:w="1490"/>
            </w:tblGrid>
            <w:tr w14:paraId="38A127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83" w:type="pct"/>
                  <w:gridSpan w:val="2"/>
                  <w:tcBorders>
                    <w:tl2br w:val="nil"/>
                    <w:tr2bl w:val="nil"/>
                  </w:tcBorders>
                  <w:vAlign w:val="center"/>
                </w:tcPr>
                <w:p w14:paraId="065E9D89">
                  <w:pPr>
                    <w:pStyle w:val="26"/>
                    <w:bidi w:val="0"/>
                    <w:jc w:val="center"/>
                    <w:rPr>
                      <w:rFonts w:hint="default"/>
                      <w:color w:val="000000" w:themeColor="text1"/>
                      <w:lang w:val="en-US" w:eastAsia="zh-CN" w:bidi="ar-SA"/>
                      <w14:textFill>
                        <w14:solidFill>
                          <w14:schemeClr w14:val="tx1"/>
                        </w14:solidFill>
                      </w14:textFill>
                    </w:rPr>
                  </w:pPr>
                  <w:r>
                    <w:rPr>
                      <w:rFonts w:hint="eastAsia"/>
                      <w:color w:val="000000" w:themeColor="text1"/>
                      <w:lang w:val="en-US" w:eastAsia="zh-CN" w:bidi="ar-SA"/>
                      <w14:textFill>
                        <w14:solidFill>
                          <w14:schemeClr w14:val="tx1"/>
                        </w14:solidFill>
                      </w14:textFill>
                    </w:rPr>
                    <w:t>设备名称</w:t>
                  </w:r>
                </w:p>
              </w:tc>
              <w:tc>
                <w:tcPr>
                  <w:tcW w:w="647" w:type="pct"/>
                  <w:tcBorders>
                    <w:tl2br w:val="nil"/>
                    <w:tr2bl w:val="nil"/>
                  </w:tcBorders>
                  <w:vAlign w:val="center"/>
                </w:tcPr>
                <w:p w14:paraId="278A0169">
                  <w:pPr>
                    <w:pStyle w:val="26"/>
                    <w:bidi w:val="0"/>
                    <w:jc w:val="center"/>
                    <w:rPr>
                      <w:rFonts w:hint="default"/>
                      <w:color w:val="000000" w:themeColor="text1"/>
                      <w:lang w:val="en-US" w:eastAsia="zh-CN" w:bidi="ar-SA"/>
                      <w14:textFill>
                        <w14:solidFill>
                          <w14:schemeClr w14:val="tx1"/>
                        </w14:solidFill>
                      </w14:textFill>
                    </w:rPr>
                  </w:pPr>
                  <w:r>
                    <w:rPr>
                      <w:rFonts w:hint="eastAsia"/>
                      <w:color w:val="000000" w:themeColor="text1"/>
                      <w:lang w:val="en-US" w:eastAsia="zh-CN" w:bidi="ar-SA"/>
                      <w14:textFill>
                        <w14:solidFill>
                          <w14:schemeClr w14:val="tx1"/>
                        </w14:solidFill>
                      </w14:textFill>
                    </w:rPr>
                    <w:t>数量（台）</w:t>
                  </w:r>
                </w:p>
              </w:tc>
              <w:tc>
                <w:tcPr>
                  <w:tcW w:w="762" w:type="pct"/>
                  <w:tcBorders>
                    <w:tl2br w:val="nil"/>
                    <w:tr2bl w:val="nil"/>
                  </w:tcBorders>
                  <w:vAlign w:val="center"/>
                </w:tcPr>
                <w:p w14:paraId="368D64D5">
                  <w:pPr>
                    <w:pStyle w:val="26"/>
                    <w:bidi w:val="0"/>
                    <w:jc w:val="center"/>
                    <w:rPr>
                      <w:rFonts w:hint="default"/>
                      <w:color w:val="000000" w:themeColor="text1"/>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风管直径D（m）</w:t>
                  </w:r>
                </w:p>
              </w:tc>
              <w:tc>
                <w:tcPr>
                  <w:tcW w:w="909" w:type="pct"/>
                  <w:tcBorders>
                    <w:tl2br w:val="nil"/>
                    <w:tr2bl w:val="nil"/>
                  </w:tcBorders>
                  <w:vAlign w:val="center"/>
                </w:tcPr>
                <w:p w14:paraId="173B2D87">
                  <w:pPr>
                    <w:pStyle w:val="26"/>
                    <w:bidi w:val="0"/>
                    <w:jc w:val="center"/>
                    <w:rPr>
                      <w:rFonts w:hint="default"/>
                      <w:color w:val="000000" w:themeColor="text1"/>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集气管风量L（m</w:t>
                  </w:r>
                  <w:r>
                    <w:rPr>
                      <w:rFonts w:hint="eastAsia"/>
                      <w:color w:val="000000" w:themeColor="text1"/>
                      <w:highlight w:val="none"/>
                      <w:vertAlign w:val="superscript"/>
                      <w:lang w:val="en-US" w:eastAsia="zh-CN" w:bidi="ar-SA"/>
                      <w14:textFill>
                        <w14:solidFill>
                          <w14:schemeClr w14:val="tx1"/>
                        </w14:solidFill>
                      </w14:textFill>
                    </w:rPr>
                    <w:t>3</w:t>
                  </w:r>
                  <w:r>
                    <w:rPr>
                      <w:rFonts w:hint="eastAsia"/>
                      <w:color w:val="000000" w:themeColor="text1"/>
                      <w:highlight w:val="none"/>
                      <w:lang w:val="en-US" w:eastAsia="zh-CN" w:bidi="ar-SA"/>
                      <w14:textFill>
                        <w14:solidFill>
                          <w14:schemeClr w14:val="tx1"/>
                        </w14:solidFill>
                      </w14:textFill>
                    </w:rPr>
                    <w:t>/h）</w:t>
                  </w:r>
                </w:p>
              </w:tc>
              <w:tc>
                <w:tcPr>
                  <w:tcW w:w="897" w:type="pct"/>
                  <w:tcBorders>
                    <w:tl2br w:val="nil"/>
                    <w:tr2bl w:val="nil"/>
                  </w:tcBorders>
                  <w:vAlign w:val="center"/>
                </w:tcPr>
                <w:p w14:paraId="2A77FBA4">
                  <w:pPr>
                    <w:pStyle w:val="26"/>
                    <w:bidi w:val="0"/>
                    <w:jc w:val="center"/>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风量合计</w:t>
                  </w:r>
                </w:p>
                <w:p w14:paraId="237F6C9E">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L</w:t>
                  </w:r>
                  <w:r>
                    <w:rPr>
                      <w:rFonts w:hint="eastAsia"/>
                      <w:color w:val="000000" w:themeColor="text1"/>
                      <w:highlight w:val="none"/>
                      <w:vertAlign w:val="subscript"/>
                      <w:lang w:val="en-US" w:eastAsia="zh-CN" w:bidi="ar-SA"/>
                      <w14:textFill>
                        <w14:solidFill>
                          <w14:schemeClr w14:val="tx1"/>
                        </w14:solidFill>
                      </w14:textFill>
                    </w:rPr>
                    <w:t>总</w:t>
                  </w:r>
                  <w:r>
                    <w:rPr>
                      <w:rFonts w:hint="eastAsia"/>
                      <w:color w:val="000000" w:themeColor="text1"/>
                      <w:highlight w:val="none"/>
                      <w:lang w:val="en-US" w:eastAsia="zh-CN" w:bidi="ar-SA"/>
                      <w14:textFill>
                        <w14:solidFill>
                          <w14:schemeClr w14:val="tx1"/>
                        </w14:solidFill>
                      </w14:textFill>
                    </w:rPr>
                    <w:t>（m</w:t>
                  </w:r>
                  <w:r>
                    <w:rPr>
                      <w:rFonts w:hint="eastAsia"/>
                      <w:color w:val="000000" w:themeColor="text1"/>
                      <w:highlight w:val="none"/>
                      <w:vertAlign w:val="superscript"/>
                      <w:lang w:val="en-US" w:eastAsia="zh-CN" w:bidi="ar-SA"/>
                      <w14:textFill>
                        <w14:solidFill>
                          <w14:schemeClr w14:val="tx1"/>
                        </w14:solidFill>
                      </w14:textFill>
                    </w:rPr>
                    <w:t>3</w:t>
                  </w:r>
                  <w:r>
                    <w:rPr>
                      <w:rFonts w:hint="eastAsia"/>
                      <w:color w:val="000000" w:themeColor="text1"/>
                      <w:highlight w:val="none"/>
                      <w:lang w:val="en-US" w:eastAsia="zh-CN" w:bidi="ar-SA"/>
                      <w14:textFill>
                        <w14:solidFill>
                          <w14:schemeClr w14:val="tx1"/>
                        </w14:solidFill>
                      </w14:textFill>
                    </w:rPr>
                    <w:t>/h）</w:t>
                  </w:r>
                </w:p>
              </w:tc>
            </w:tr>
            <w:tr w14:paraId="1BCAFE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2" w:type="pct"/>
                  <w:vMerge w:val="restart"/>
                  <w:tcBorders>
                    <w:tl2br w:val="nil"/>
                    <w:tr2bl w:val="nil"/>
                  </w:tcBorders>
                  <w:vAlign w:val="center"/>
                </w:tcPr>
                <w:p w14:paraId="6B945F43">
                  <w:pPr>
                    <w:pStyle w:val="26"/>
                    <w:bidi w:val="0"/>
                    <w:jc w:val="center"/>
                    <w:rPr>
                      <w:rFonts w:hint="default"/>
                      <w:color w:val="000000" w:themeColor="text1"/>
                      <w:lang w:val="en-US" w:eastAsia="zh-CN" w:bidi="ar-SA"/>
                      <w14:textFill>
                        <w14:solidFill>
                          <w14:schemeClr w14:val="tx1"/>
                        </w14:solidFill>
                      </w14:textFill>
                    </w:rPr>
                  </w:pPr>
                  <w:r>
                    <w:rPr>
                      <w:rFonts w:hint="eastAsia" w:eastAsia="宋体"/>
                      <w:color w:val="000000" w:themeColor="text1"/>
                      <w:highlight w:val="none"/>
                      <w:lang w:val="en-US" w:eastAsia="zh-CN" w:bidi="ar-SA"/>
                      <w14:textFill>
                        <w14:solidFill>
                          <w14:schemeClr w14:val="tx1"/>
                        </w14:solidFill>
                      </w14:textFill>
                    </w:rPr>
                    <w:t>单壁碳纳米管</w:t>
                  </w:r>
                </w:p>
              </w:tc>
              <w:tc>
                <w:tcPr>
                  <w:tcW w:w="991" w:type="pct"/>
                  <w:tcBorders>
                    <w:tl2br w:val="nil"/>
                    <w:tr2bl w:val="nil"/>
                  </w:tcBorders>
                  <w:vAlign w:val="center"/>
                </w:tcPr>
                <w:p w14:paraId="01ED5AF0">
                  <w:pPr>
                    <w:pStyle w:val="26"/>
                    <w:bidi w:val="0"/>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干燥机</w:t>
                  </w:r>
                </w:p>
              </w:tc>
              <w:tc>
                <w:tcPr>
                  <w:tcW w:w="647" w:type="pct"/>
                  <w:tcBorders>
                    <w:tl2br w:val="nil"/>
                    <w:tr2bl w:val="nil"/>
                  </w:tcBorders>
                  <w:vAlign w:val="center"/>
                </w:tcPr>
                <w:p w14:paraId="273C7CA3">
                  <w:pPr>
                    <w:pStyle w:val="26"/>
                    <w:bidi w:val="0"/>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1</w:t>
                  </w:r>
                </w:p>
              </w:tc>
              <w:tc>
                <w:tcPr>
                  <w:tcW w:w="762" w:type="pct"/>
                  <w:tcBorders>
                    <w:tl2br w:val="nil"/>
                    <w:tr2bl w:val="nil"/>
                  </w:tcBorders>
                  <w:vAlign w:val="center"/>
                </w:tcPr>
                <w:p w14:paraId="7F9A8246">
                  <w:pPr>
                    <w:pStyle w:val="26"/>
                    <w:bidi w:val="0"/>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120</w:t>
                  </w:r>
                </w:p>
              </w:tc>
              <w:tc>
                <w:tcPr>
                  <w:tcW w:w="909" w:type="pct"/>
                  <w:tcBorders>
                    <w:tl2br w:val="nil"/>
                    <w:tr2bl w:val="nil"/>
                  </w:tcBorders>
                  <w:vAlign w:val="center"/>
                </w:tcPr>
                <w:p w14:paraId="337871BE">
                  <w:pPr>
                    <w:pStyle w:val="26"/>
                    <w:bidi w:val="0"/>
                    <w:jc w:val="center"/>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203.58</w:t>
                  </w:r>
                </w:p>
              </w:tc>
              <w:tc>
                <w:tcPr>
                  <w:tcW w:w="897" w:type="pct"/>
                  <w:tcBorders>
                    <w:tl2br w:val="nil"/>
                    <w:tr2bl w:val="nil"/>
                  </w:tcBorders>
                  <w:vAlign w:val="center"/>
                </w:tcPr>
                <w:p w14:paraId="246579A4">
                  <w:pPr>
                    <w:pStyle w:val="26"/>
                    <w:bidi w:val="0"/>
                    <w:jc w:val="center"/>
                    <w:rPr>
                      <w:rFonts w:hint="default"/>
                      <w:color w:val="000000" w:themeColor="text1"/>
                      <w:lang w:val="en-US" w:eastAsia="zh-CN" w:bidi="ar-SA"/>
                      <w14:textFill>
                        <w14:solidFill>
                          <w14:schemeClr w14:val="tx1"/>
                        </w14:solidFill>
                      </w14:textFill>
                    </w:rPr>
                  </w:pPr>
                  <w:r>
                    <w:rPr>
                      <w:rFonts w:hint="eastAsia"/>
                      <w:color w:val="000000" w:themeColor="text1"/>
                      <w:lang w:val="en-US" w:eastAsia="zh-CN" w:bidi="ar-SA"/>
                      <w14:textFill>
                        <w14:solidFill>
                          <w14:schemeClr w14:val="tx1"/>
                        </w14:solidFill>
                      </w14:textFill>
                    </w:rPr>
                    <w:t>203.58</w:t>
                  </w:r>
                </w:p>
              </w:tc>
            </w:tr>
            <w:tr w14:paraId="18EE20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2" w:type="pct"/>
                  <w:vMerge w:val="continue"/>
                  <w:tcBorders>
                    <w:tl2br w:val="nil"/>
                    <w:tr2bl w:val="nil"/>
                  </w:tcBorders>
                  <w:vAlign w:val="center"/>
                </w:tcPr>
                <w:p w14:paraId="179B2F5F">
                  <w:pPr>
                    <w:pStyle w:val="26"/>
                    <w:bidi w:val="0"/>
                    <w:jc w:val="center"/>
                    <w:rPr>
                      <w:rFonts w:hint="default"/>
                      <w:color w:val="000000" w:themeColor="text1"/>
                      <w:lang w:val="en-US" w:eastAsia="zh-CN" w:bidi="ar-SA"/>
                      <w14:textFill>
                        <w14:solidFill>
                          <w14:schemeClr w14:val="tx1"/>
                        </w14:solidFill>
                      </w14:textFill>
                    </w:rPr>
                  </w:pPr>
                </w:p>
              </w:tc>
              <w:tc>
                <w:tcPr>
                  <w:tcW w:w="991" w:type="pct"/>
                  <w:tcBorders>
                    <w:tl2br w:val="nil"/>
                    <w:tr2bl w:val="nil"/>
                  </w:tcBorders>
                  <w:vAlign w:val="center"/>
                </w:tcPr>
                <w:p w14:paraId="2AD02980">
                  <w:pPr>
                    <w:pStyle w:val="26"/>
                    <w:bidi w:val="0"/>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等离子电弧炉</w:t>
                  </w:r>
                </w:p>
              </w:tc>
              <w:tc>
                <w:tcPr>
                  <w:tcW w:w="647" w:type="pct"/>
                  <w:tcBorders>
                    <w:tl2br w:val="nil"/>
                    <w:tr2bl w:val="nil"/>
                  </w:tcBorders>
                  <w:vAlign w:val="center"/>
                </w:tcPr>
                <w:p w14:paraId="2BD0AA09">
                  <w:pPr>
                    <w:pStyle w:val="26"/>
                    <w:bidi w:val="0"/>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60</w:t>
                  </w:r>
                </w:p>
              </w:tc>
              <w:tc>
                <w:tcPr>
                  <w:tcW w:w="762" w:type="pct"/>
                  <w:tcBorders>
                    <w:tl2br w:val="nil"/>
                    <w:tr2bl w:val="nil"/>
                  </w:tcBorders>
                  <w:vAlign w:val="center"/>
                </w:tcPr>
                <w:p w14:paraId="7E3EF6D5">
                  <w:pPr>
                    <w:pStyle w:val="26"/>
                    <w:bidi w:val="0"/>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40</w:t>
                  </w:r>
                </w:p>
              </w:tc>
              <w:tc>
                <w:tcPr>
                  <w:tcW w:w="909" w:type="pct"/>
                  <w:tcBorders>
                    <w:tl2br w:val="nil"/>
                    <w:tr2bl w:val="nil"/>
                  </w:tcBorders>
                  <w:vAlign w:val="center"/>
                </w:tcPr>
                <w:p w14:paraId="49A4CF8D">
                  <w:pPr>
                    <w:pStyle w:val="26"/>
                    <w:bidi w:val="0"/>
                    <w:jc w:val="center"/>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22.62</w:t>
                  </w:r>
                </w:p>
              </w:tc>
              <w:tc>
                <w:tcPr>
                  <w:tcW w:w="897" w:type="pct"/>
                  <w:tcBorders>
                    <w:tl2br w:val="nil"/>
                    <w:tr2bl w:val="nil"/>
                  </w:tcBorders>
                  <w:vAlign w:val="center"/>
                </w:tcPr>
                <w:p w14:paraId="1ED0DCDC">
                  <w:pPr>
                    <w:pStyle w:val="26"/>
                    <w:bidi w:val="0"/>
                    <w:jc w:val="center"/>
                    <w:rPr>
                      <w:rFonts w:hint="default"/>
                      <w:color w:val="000000" w:themeColor="text1"/>
                      <w:lang w:val="en-US" w:eastAsia="zh-CN" w:bidi="ar-SA"/>
                      <w14:textFill>
                        <w14:solidFill>
                          <w14:schemeClr w14:val="tx1"/>
                        </w14:solidFill>
                      </w14:textFill>
                    </w:rPr>
                  </w:pPr>
                  <w:r>
                    <w:rPr>
                      <w:rFonts w:hint="eastAsia"/>
                      <w:color w:val="000000" w:themeColor="text1"/>
                      <w:lang w:val="en-US" w:eastAsia="zh-CN" w:bidi="ar-SA"/>
                      <w14:textFill>
                        <w14:solidFill>
                          <w14:schemeClr w14:val="tx1"/>
                        </w14:solidFill>
                      </w14:textFill>
                    </w:rPr>
                    <w:t>1357.17</w:t>
                  </w:r>
                </w:p>
              </w:tc>
            </w:tr>
            <w:tr w14:paraId="13A821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2" w:type="pct"/>
                  <w:vMerge w:val="restart"/>
                  <w:tcBorders>
                    <w:tl2br w:val="nil"/>
                    <w:tr2bl w:val="nil"/>
                  </w:tcBorders>
                  <w:vAlign w:val="center"/>
                </w:tcPr>
                <w:p w14:paraId="0D91C0D6">
                  <w:pPr>
                    <w:pStyle w:val="26"/>
                    <w:bidi w:val="0"/>
                    <w:jc w:val="center"/>
                    <w:rPr>
                      <w:rFonts w:hint="default"/>
                      <w:color w:val="000000" w:themeColor="text1"/>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硅碳负极材料</w:t>
                  </w:r>
                </w:p>
              </w:tc>
              <w:tc>
                <w:tcPr>
                  <w:tcW w:w="991" w:type="pct"/>
                  <w:tcBorders>
                    <w:tl2br w:val="nil"/>
                    <w:tr2bl w:val="nil"/>
                  </w:tcBorders>
                  <w:vAlign w:val="center"/>
                </w:tcPr>
                <w:p w14:paraId="7EE7C9D2">
                  <w:pPr>
                    <w:pStyle w:val="26"/>
                    <w:bidi w:val="0"/>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球磨机</w:t>
                  </w:r>
                </w:p>
              </w:tc>
              <w:tc>
                <w:tcPr>
                  <w:tcW w:w="647" w:type="pct"/>
                  <w:tcBorders>
                    <w:tl2br w:val="nil"/>
                    <w:tr2bl w:val="nil"/>
                  </w:tcBorders>
                  <w:vAlign w:val="center"/>
                </w:tcPr>
                <w:p w14:paraId="4E04A30B">
                  <w:pPr>
                    <w:pStyle w:val="26"/>
                    <w:bidi w:val="0"/>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2</w:t>
                  </w:r>
                </w:p>
              </w:tc>
              <w:tc>
                <w:tcPr>
                  <w:tcW w:w="762" w:type="pct"/>
                  <w:tcBorders>
                    <w:tl2br w:val="nil"/>
                    <w:tr2bl w:val="nil"/>
                  </w:tcBorders>
                  <w:vAlign w:val="center"/>
                </w:tcPr>
                <w:p w14:paraId="2E745D37">
                  <w:pPr>
                    <w:pStyle w:val="26"/>
                    <w:bidi w:val="0"/>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90</w:t>
                  </w:r>
                </w:p>
              </w:tc>
              <w:tc>
                <w:tcPr>
                  <w:tcW w:w="909" w:type="pct"/>
                  <w:tcBorders>
                    <w:tl2br w:val="nil"/>
                    <w:tr2bl w:val="nil"/>
                  </w:tcBorders>
                  <w:vAlign w:val="center"/>
                </w:tcPr>
                <w:p w14:paraId="727538CC">
                  <w:pPr>
                    <w:pStyle w:val="26"/>
                    <w:bidi w:val="0"/>
                    <w:jc w:val="center"/>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114.51</w:t>
                  </w:r>
                </w:p>
              </w:tc>
              <w:tc>
                <w:tcPr>
                  <w:tcW w:w="897" w:type="pct"/>
                  <w:tcBorders>
                    <w:tl2br w:val="nil"/>
                    <w:tr2bl w:val="nil"/>
                  </w:tcBorders>
                  <w:vAlign w:val="center"/>
                </w:tcPr>
                <w:p w14:paraId="5EA8D53E">
                  <w:pPr>
                    <w:pStyle w:val="26"/>
                    <w:bidi w:val="0"/>
                    <w:jc w:val="center"/>
                    <w:rPr>
                      <w:rFonts w:hint="default"/>
                      <w:color w:val="000000" w:themeColor="text1"/>
                      <w:lang w:val="en-US" w:eastAsia="zh-CN" w:bidi="ar-SA"/>
                      <w14:textFill>
                        <w14:solidFill>
                          <w14:schemeClr w14:val="tx1"/>
                        </w14:solidFill>
                      </w14:textFill>
                    </w:rPr>
                  </w:pPr>
                  <w:r>
                    <w:rPr>
                      <w:rFonts w:hint="eastAsia"/>
                      <w:color w:val="000000" w:themeColor="text1"/>
                      <w:lang w:val="en-US" w:eastAsia="zh-CN" w:bidi="ar-SA"/>
                      <w14:textFill>
                        <w14:solidFill>
                          <w14:schemeClr w14:val="tx1"/>
                        </w14:solidFill>
                      </w14:textFill>
                    </w:rPr>
                    <w:t>229.02</w:t>
                  </w:r>
                </w:p>
              </w:tc>
            </w:tr>
            <w:tr w14:paraId="746F3A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2" w:type="pct"/>
                  <w:vMerge w:val="continue"/>
                  <w:tcBorders>
                    <w:tl2br w:val="nil"/>
                    <w:tr2bl w:val="nil"/>
                  </w:tcBorders>
                  <w:vAlign w:val="center"/>
                </w:tcPr>
                <w:p w14:paraId="41B34344">
                  <w:pPr>
                    <w:pStyle w:val="26"/>
                    <w:bidi w:val="0"/>
                    <w:jc w:val="center"/>
                    <w:rPr>
                      <w:rFonts w:hint="default"/>
                      <w:color w:val="000000" w:themeColor="text1"/>
                      <w:lang w:val="en-US" w:eastAsia="zh-CN" w:bidi="ar-SA"/>
                      <w14:textFill>
                        <w14:solidFill>
                          <w14:schemeClr w14:val="tx1"/>
                        </w14:solidFill>
                      </w14:textFill>
                    </w:rPr>
                  </w:pPr>
                </w:p>
              </w:tc>
              <w:tc>
                <w:tcPr>
                  <w:tcW w:w="991" w:type="pct"/>
                  <w:tcBorders>
                    <w:tl2br w:val="nil"/>
                    <w:tr2bl w:val="nil"/>
                  </w:tcBorders>
                  <w:vAlign w:val="center"/>
                </w:tcPr>
                <w:p w14:paraId="016562F4">
                  <w:pPr>
                    <w:pStyle w:val="26"/>
                    <w:bidi w:val="0"/>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真空干燥</w:t>
                  </w:r>
                </w:p>
              </w:tc>
              <w:tc>
                <w:tcPr>
                  <w:tcW w:w="647" w:type="pct"/>
                  <w:tcBorders>
                    <w:tl2br w:val="nil"/>
                    <w:tr2bl w:val="nil"/>
                  </w:tcBorders>
                  <w:vAlign w:val="center"/>
                </w:tcPr>
                <w:p w14:paraId="665474A6">
                  <w:pPr>
                    <w:pStyle w:val="26"/>
                    <w:bidi w:val="0"/>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2</w:t>
                  </w:r>
                </w:p>
              </w:tc>
              <w:tc>
                <w:tcPr>
                  <w:tcW w:w="762" w:type="pct"/>
                  <w:tcBorders>
                    <w:tl2br w:val="nil"/>
                    <w:tr2bl w:val="nil"/>
                  </w:tcBorders>
                  <w:vAlign w:val="center"/>
                </w:tcPr>
                <w:p w14:paraId="5507F7A2">
                  <w:pPr>
                    <w:pStyle w:val="26"/>
                    <w:bidi w:val="0"/>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220</w:t>
                  </w:r>
                </w:p>
              </w:tc>
              <w:tc>
                <w:tcPr>
                  <w:tcW w:w="909" w:type="pct"/>
                  <w:tcBorders>
                    <w:tl2br w:val="nil"/>
                    <w:tr2bl w:val="nil"/>
                  </w:tcBorders>
                  <w:vAlign w:val="center"/>
                </w:tcPr>
                <w:p w14:paraId="6B6B8498">
                  <w:pPr>
                    <w:pStyle w:val="26"/>
                    <w:bidi w:val="0"/>
                    <w:jc w:val="center"/>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684.24</w:t>
                  </w:r>
                </w:p>
              </w:tc>
              <w:tc>
                <w:tcPr>
                  <w:tcW w:w="897" w:type="pct"/>
                  <w:tcBorders>
                    <w:tl2br w:val="nil"/>
                    <w:tr2bl w:val="nil"/>
                  </w:tcBorders>
                  <w:vAlign w:val="center"/>
                </w:tcPr>
                <w:p w14:paraId="0D0E38CC">
                  <w:pPr>
                    <w:pStyle w:val="26"/>
                    <w:bidi w:val="0"/>
                    <w:jc w:val="center"/>
                    <w:rPr>
                      <w:rFonts w:hint="default"/>
                      <w:color w:val="000000" w:themeColor="text1"/>
                      <w:lang w:val="en-US" w:eastAsia="zh-CN" w:bidi="ar-SA"/>
                      <w14:textFill>
                        <w14:solidFill>
                          <w14:schemeClr w14:val="tx1"/>
                        </w14:solidFill>
                      </w14:textFill>
                    </w:rPr>
                  </w:pPr>
                  <w:r>
                    <w:rPr>
                      <w:rFonts w:hint="eastAsia"/>
                      <w:color w:val="000000" w:themeColor="text1"/>
                      <w:lang w:val="en-US" w:eastAsia="zh-CN" w:bidi="ar-SA"/>
                      <w14:textFill>
                        <w14:solidFill>
                          <w14:schemeClr w14:val="tx1"/>
                        </w14:solidFill>
                      </w14:textFill>
                    </w:rPr>
                    <w:t>1368.48</w:t>
                  </w:r>
                </w:p>
              </w:tc>
            </w:tr>
            <w:tr w14:paraId="633880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2" w:type="pct"/>
                  <w:vMerge w:val="continue"/>
                  <w:tcBorders>
                    <w:tl2br w:val="nil"/>
                    <w:tr2bl w:val="nil"/>
                  </w:tcBorders>
                  <w:vAlign w:val="center"/>
                </w:tcPr>
                <w:p w14:paraId="0F47E11D">
                  <w:pPr>
                    <w:pStyle w:val="26"/>
                    <w:bidi w:val="0"/>
                    <w:jc w:val="center"/>
                    <w:rPr>
                      <w:rFonts w:hint="default"/>
                      <w:color w:val="000000" w:themeColor="text1"/>
                      <w:lang w:val="en-US" w:eastAsia="zh-CN" w:bidi="ar-SA"/>
                      <w14:textFill>
                        <w14:solidFill>
                          <w14:schemeClr w14:val="tx1"/>
                        </w14:solidFill>
                      </w14:textFill>
                    </w:rPr>
                  </w:pPr>
                </w:p>
              </w:tc>
              <w:tc>
                <w:tcPr>
                  <w:tcW w:w="991" w:type="pct"/>
                  <w:tcBorders>
                    <w:tl2br w:val="nil"/>
                    <w:tr2bl w:val="nil"/>
                  </w:tcBorders>
                  <w:vAlign w:val="center"/>
                </w:tcPr>
                <w:p w14:paraId="476F8155">
                  <w:pPr>
                    <w:pStyle w:val="26"/>
                    <w:bidi w:val="0"/>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喷雾干燥</w:t>
                  </w:r>
                </w:p>
              </w:tc>
              <w:tc>
                <w:tcPr>
                  <w:tcW w:w="647" w:type="pct"/>
                  <w:tcBorders>
                    <w:tl2br w:val="nil"/>
                    <w:tr2bl w:val="nil"/>
                  </w:tcBorders>
                  <w:vAlign w:val="center"/>
                </w:tcPr>
                <w:p w14:paraId="7671AA15">
                  <w:pPr>
                    <w:pStyle w:val="26"/>
                    <w:bidi w:val="0"/>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1</w:t>
                  </w:r>
                </w:p>
              </w:tc>
              <w:tc>
                <w:tcPr>
                  <w:tcW w:w="762" w:type="pct"/>
                  <w:tcBorders>
                    <w:tl2br w:val="nil"/>
                    <w:tr2bl w:val="nil"/>
                  </w:tcBorders>
                  <w:vAlign w:val="center"/>
                </w:tcPr>
                <w:p w14:paraId="57D1E622">
                  <w:pPr>
                    <w:pStyle w:val="26"/>
                    <w:bidi w:val="0"/>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280</w:t>
                  </w:r>
                </w:p>
              </w:tc>
              <w:tc>
                <w:tcPr>
                  <w:tcW w:w="909" w:type="pct"/>
                  <w:tcBorders>
                    <w:tl2br w:val="nil"/>
                    <w:tr2bl w:val="nil"/>
                  </w:tcBorders>
                  <w:vAlign w:val="center"/>
                </w:tcPr>
                <w:p w14:paraId="13F6CA05">
                  <w:pPr>
                    <w:pStyle w:val="26"/>
                    <w:bidi w:val="0"/>
                    <w:jc w:val="center"/>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1108.35</w:t>
                  </w:r>
                </w:p>
              </w:tc>
              <w:tc>
                <w:tcPr>
                  <w:tcW w:w="897" w:type="pct"/>
                  <w:tcBorders>
                    <w:tl2br w:val="nil"/>
                    <w:tr2bl w:val="nil"/>
                  </w:tcBorders>
                  <w:vAlign w:val="center"/>
                </w:tcPr>
                <w:p w14:paraId="5097CF70">
                  <w:pPr>
                    <w:pStyle w:val="26"/>
                    <w:bidi w:val="0"/>
                    <w:jc w:val="center"/>
                    <w:rPr>
                      <w:rFonts w:hint="default"/>
                      <w:color w:val="000000" w:themeColor="text1"/>
                      <w:lang w:val="en-US" w:eastAsia="zh-CN" w:bidi="ar-SA"/>
                      <w14:textFill>
                        <w14:solidFill>
                          <w14:schemeClr w14:val="tx1"/>
                        </w14:solidFill>
                      </w14:textFill>
                    </w:rPr>
                  </w:pPr>
                  <w:r>
                    <w:rPr>
                      <w:rFonts w:hint="eastAsia"/>
                      <w:color w:val="000000" w:themeColor="text1"/>
                      <w:lang w:val="en-US" w:eastAsia="zh-CN" w:bidi="ar-SA"/>
                      <w14:textFill>
                        <w14:solidFill>
                          <w14:schemeClr w14:val="tx1"/>
                        </w14:solidFill>
                      </w14:textFill>
                    </w:rPr>
                    <w:t>1108.35</w:t>
                  </w:r>
                </w:p>
              </w:tc>
            </w:tr>
            <w:tr w14:paraId="7D7E54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2" w:type="pct"/>
                  <w:vMerge w:val="continue"/>
                  <w:tcBorders>
                    <w:tl2br w:val="nil"/>
                    <w:tr2bl w:val="nil"/>
                  </w:tcBorders>
                  <w:vAlign w:val="center"/>
                </w:tcPr>
                <w:p w14:paraId="2C2F2AD3">
                  <w:pPr>
                    <w:pStyle w:val="26"/>
                    <w:bidi w:val="0"/>
                    <w:jc w:val="center"/>
                    <w:rPr>
                      <w:rFonts w:hint="default"/>
                      <w:color w:val="000000" w:themeColor="text1"/>
                      <w:lang w:val="en-US" w:eastAsia="zh-CN" w:bidi="ar-SA"/>
                      <w14:textFill>
                        <w14:solidFill>
                          <w14:schemeClr w14:val="tx1"/>
                        </w14:solidFill>
                      </w14:textFill>
                    </w:rPr>
                  </w:pPr>
                </w:p>
              </w:tc>
              <w:tc>
                <w:tcPr>
                  <w:tcW w:w="991" w:type="pct"/>
                  <w:tcBorders>
                    <w:tl2br w:val="nil"/>
                    <w:tr2bl w:val="nil"/>
                  </w:tcBorders>
                  <w:vAlign w:val="center"/>
                </w:tcPr>
                <w:p w14:paraId="0EA8D50E">
                  <w:pPr>
                    <w:pStyle w:val="26"/>
                    <w:bidi w:val="0"/>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高温包覆机</w:t>
                  </w:r>
                </w:p>
              </w:tc>
              <w:tc>
                <w:tcPr>
                  <w:tcW w:w="647" w:type="pct"/>
                  <w:tcBorders>
                    <w:tl2br w:val="nil"/>
                    <w:tr2bl w:val="nil"/>
                  </w:tcBorders>
                  <w:vAlign w:val="center"/>
                </w:tcPr>
                <w:p w14:paraId="3D26BC88">
                  <w:pPr>
                    <w:pStyle w:val="26"/>
                    <w:bidi w:val="0"/>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2</w:t>
                  </w:r>
                </w:p>
              </w:tc>
              <w:tc>
                <w:tcPr>
                  <w:tcW w:w="762" w:type="pct"/>
                  <w:tcBorders>
                    <w:tl2br w:val="nil"/>
                    <w:tr2bl w:val="nil"/>
                  </w:tcBorders>
                  <w:vAlign w:val="center"/>
                </w:tcPr>
                <w:p w14:paraId="0D781890">
                  <w:pPr>
                    <w:pStyle w:val="26"/>
                    <w:bidi w:val="0"/>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280</w:t>
                  </w:r>
                </w:p>
              </w:tc>
              <w:tc>
                <w:tcPr>
                  <w:tcW w:w="909" w:type="pct"/>
                  <w:tcBorders>
                    <w:tl2br w:val="nil"/>
                    <w:tr2bl w:val="nil"/>
                  </w:tcBorders>
                  <w:vAlign w:val="center"/>
                </w:tcPr>
                <w:p w14:paraId="746DFD3C">
                  <w:pPr>
                    <w:pStyle w:val="26"/>
                    <w:bidi w:val="0"/>
                    <w:jc w:val="center"/>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1108.35</w:t>
                  </w:r>
                </w:p>
              </w:tc>
              <w:tc>
                <w:tcPr>
                  <w:tcW w:w="897" w:type="pct"/>
                  <w:tcBorders>
                    <w:tl2br w:val="nil"/>
                    <w:tr2bl w:val="nil"/>
                  </w:tcBorders>
                  <w:vAlign w:val="center"/>
                </w:tcPr>
                <w:p w14:paraId="02F38339">
                  <w:pPr>
                    <w:pStyle w:val="26"/>
                    <w:bidi w:val="0"/>
                    <w:jc w:val="center"/>
                    <w:rPr>
                      <w:rFonts w:hint="default"/>
                      <w:color w:val="000000" w:themeColor="text1"/>
                      <w:lang w:val="en-US" w:eastAsia="zh-CN" w:bidi="ar-SA"/>
                      <w14:textFill>
                        <w14:solidFill>
                          <w14:schemeClr w14:val="tx1"/>
                        </w14:solidFill>
                      </w14:textFill>
                    </w:rPr>
                  </w:pPr>
                  <w:r>
                    <w:rPr>
                      <w:rFonts w:hint="eastAsia"/>
                      <w:color w:val="000000" w:themeColor="text1"/>
                      <w:lang w:val="en-US" w:eastAsia="zh-CN" w:bidi="ar-SA"/>
                      <w14:textFill>
                        <w14:solidFill>
                          <w14:schemeClr w14:val="tx1"/>
                        </w14:solidFill>
                      </w14:textFill>
                    </w:rPr>
                    <w:t>2216.71</w:t>
                  </w:r>
                </w:p>
              </w:tc>
            </w:tr>
            <w:tr w14:paraId="642488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2" w:type="pct"/>
                  <w:vMerge w:val="continue"/>
                  <w:tcBorders>
                    <w:tl2br w:val="nil"/>
                    <w:tr2bl w:val="nil"/>
                  </w:tcBorders>
                  <w:vAlign w:val="center"/>
                </w:tcPr>
                <w:p w14:paraId="0EAA2DC7">
                  <w:pPr>
                    <w:pStyle w:val="26"/>
                    <w:bidi w:val="0"/>
                    <w:jc w:val="center"/>
                    <w:rPr>
                      <w:rFonts w:hint="default"/>
                      <w:color w:val="000000" w:themeColor="text1"/>
                      <w:lang w:val="en-US" w:eastAsia="zh-CN" w:bidi="ar-SA"/>
                      <w14:textFill>
                        <w14:solidFill>
                          <w14:schemeClr w14:val="tx1"/>
                        </w14:solidFill>
                      </w14:textFill>
                    </w:rPr>
                  </w:pPr>
                </w:p>
              </w:tc>
              <w:tc>
                <w:tcPr>
                  <w:tcW w:w="991" w:type="pct"/>
                  <w:tcBorders>
                    <w:tl2br w:val="nil"/>
                    <w:tr2bl w:val="nil"/>
                  </w:tcBorders>
                  <w:vAlign w:val="center"/>
                </w:tcPr>
                <w:p w14:paraId="6041AC04">
                  <w:pPr>
                    <w:pStyle w:val="26"/>
                    <w:bidi w:val="0"/>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融合包覆机</w:t>
                  </w:r>
                </w:p>
              </w:tc>
              <w:tc>
                <w:tcPr>
                  <w:tcW w:w="647" w:type="pct"/>
                  <w:tcBorders>
                    <w:tl2br w:val="nil"/>
                    <w:tr2bl w:val="nil"/>
                  </w:tcBorders>
                  <w:vAlign w:val="center"/>
                </w:tcPr>
                <w:p w14:paraId="4CB32CCE">
                  <w:pPr>
                    <w:pStyle w:val="26"/>
                    <w:bidi w:val="0"/>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2</w:t>
                  </w:r>
                </w:p>
              </w:tc>
              <w:tc>
                <w:tcPr>
                  <w:tcW w:w="762" w:type="pct"/>
                  <w:tcBorders>
                    <w:tl2br w:val="nil"/>
                    <w:tr2bl w:val="nil"/>
                  </w:tcBorders>
                  <w:vAlign w:val="center"/>
                </w:tcPr>
                <w:p w14:paraId="26BFC34C">
                  <w:pPr>
                    <w:pStyle w:val="26"/>
                    <w:bidi w:val="0"/>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200</w:t>
                  </w:r>
                </w:p>
              </w:tc>
              <w:tc>
                <w:tcPr>
                  <w:tcW w:w="909" w:type="pct"/>
                  <w:tcBorders>
                    <w:tl2br w:val="nil"/>
                    <w:tr2bl w:val="nil"/>
                  </w:tcBorders>
                  <w:vAlign w:val="center"/>
                </w:tcPr>
                <w:p w14:paraId="605065B5">
                  <w:pPr>
                    <w:pStyle w:val="26"/>
                    <w:bidi w:val="0"/>
                    <w:jc w:val="center"/>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565.49</w:t>
                  </w:r>
                </w:p>
              </w:tc>
              <w:tc>
                <w:tcPr>
                  <w:tcW w:w="897" w:type="pct"/>
                  <w:tcBorders>
                    <w:tl2br w:val="nil"/>
                    <w:tr2bl w:val="nil"/>
                  </w:tcBorders>
                  <w:vAlign w:val="center"/>
                </w:tcPr>
                <w:p w14:paraId="7AFF8D2B">
                  <w:pPr>
                    <w:pStyle w:val="26"/>
                    <w:bidi w:val="0"/>
                    <w:jc w:val="center"/>
                    <w:rPr>
                      <w:rFonts w:hint="default"/>
                      <w:color w:val="000000" w:themeColor="text1"/>
                      <w:lang w:val="en-US" w:eastAsia="zh-CN" w:bidi="ar-SA"/>
                      <w14:textFill>
                        <w14:solidFill>
                          <w14:schemeClr w14:val="tx1"/>
                        </w14:solidFill>
                      </w14:textFill>
                    </w:rPr>
                  </w:pPr>
                  <w:r>
                    <w:rPr>
                      <w:rFonts w:hint="eastAsia"/>
                      <w:color w:val="000000" w:themeColor="text1"/>
                      <w:lang w:val="en-US" w:eastAsia="zh-CN" w:bidi="ar-SA"/>
                      <w14:textFill>
                        <w14:solidFill>
                          <w14:schemeClr w14:val="tx1"/>
                        </w14:solidFill>
                      </w14:textFill>
                    </w:rPr>
                    <w:t>1130.97</w:t>
                  </w:r>
                </w:p>
              </w:tc>
            </w:tr>
            <w:tr w14:paraId="0F2F4D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2" w:type="pct"/>
                  <w:vMerge w:val="continue"/>
                  <w:tcBorders>
                    <w:tl2br w:val="nil"/>
                    <w:tr2bl w:val="nil"/>
                  </w:tcBorders>
                  <w:vAlign w:val="center"/>
                </w:tcPr>
                <w:p w14:paraId="282B2D24">
                  <w:pPr>
                    <w:pStyle w:val="26"/>
                    <w:bidi w:val="0"/>
                    <w:jc w:val="center"/>
                    <w:rPr>
                      <w:rFonts w:hint="default"/>
                      <w:color w:val="000000" w:themeColor="text1"/>
                      <w:lang w:val="en-US" w:eastAsia="zh-CN" w:bidi="ar-SA"/>
                      <w14:textFill>
                        <w14:solidFill>
                          <w14:schemeClr w14:val="tx1"/>
                        </w14:solidFill>
                      </w14:textFill>
                    </w:rPr>
                  </w:pPr>
                </w:p>
              </w:tc>
              <w:tc>
                <w:tcPr>
                  <w:tcW w:w="991" w:type="pct"/>
                  <w:tcBorders>
                    <w:tl2br w:val="nil"/>
                    <w:tr2bl w:val="nil"/>
                  </w:tcBorders>
                  <w:vAlign w:val="center"/>
                </w:tcPr>
                <w:p w14:paraId="4C0C9C57">
                  <w:pPr>
                    <w:pStyle w:val="26"/>
                    <w:bidi w:val="0"/>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电弧炉</w:t>
                  </w:r>
                </w:p>
              </w:tc>
              <w:tc>
                <w:tcPr>
                  <w:tcW w:w="647" w:type="pct"/>
                  <w:tcBorders>
                    <w:tl2br w:val="nil"/>
                    <w:tr2bl w:val="nil"/>
                  </w:tcBorders>
                  <w:vAlign w:val="center"/>
                </w:tcPr>
                <w:p w14:paraId="5437FC14">
                  <w:pPr>
                    <w:pStyle w:val="26"/>
                    <w:bidi w:val="0"/>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1</w:t>
                  </w:r>
                </w:p>
              </w:tc>
              <w:tc>
                <w:tcPr>
                  <w:tcW w:w="762" w:type="pct"/>
                  <w:tcBorders>
                    <w:tl2br w:val="nil"/>
                    <w:tr2bl w:val="nil"/>
                  </w:tcBorders>
                  <w:vAlign w:val="center"/>
                </w:tcPr>
                <w:p w14:paraId="315FEF98">
                  <w:pPr>
                    <w:pStyle w:val="26"/>
                    <w:bidi w:val="0"/>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40</w:t>
                  </w:r>
                </w:p>
              </w:tc>
              <w:tc>
                <w:tcPr>
                  <w:tcW w:w="909" w:type="pct"/>
                  <w:tcBorders>
                    <w:tl2br w:val="nil"/>
                    <w:tr2bl w:val="nil"/>
                  </w:tcBorders>
                  <w:vAlign w:val="center"/>
                </w:tcPr>
                <w:p w14:paraId="4EC05EC2">
                  <w:pPr>
                    <w:pStyle w:val="26"/>
                    <w:bidi w:val="0"/>
                    <w:jc w:val="center"/>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22.62</w:t>
                  </w:r>
                </w:p>
              </w:tc>
              <w:tc>
                <w:tcPr>
                  <w:tcW w:w="897" w:type="pct"/>
                  <w:tcBorders>
                    <w:tl2br w:val="nil"/>
                    <w:tr2bl w:val="nil"/>
                  </w:tcBorders>
                  <w:vAlign w:val="center"/>
                </w:tcPr>
                <w:p w14:paraId="0D0DB2F8">
                  <w:pPr>
                    <w:pStyle w:val="26"/>
                    <w:bidi w:val="0"/>
                    <w:jc w:val="center"/>
                    <w:rPr>
                      <w:rFonts w:hint="default"/>
                      <w:color w:val="000000" w:themeColor="text1"/>
                      <w:lang w:val="en-US" w:eastAsia="zh-CN" w:bidi="ar-SA"/>
                      <w14:textFill>
                        <w14:solidFill>
                          <w14:schemeClr w14:val="tx1"/>
                        </w14:solidFill>
                      </w14:textFill>
                    </w:rPr>
                  </w:pPr>
                  <w:r>
                    <w:rPr>
                      <w:rFonts w:hint="eastAsia"/>
                      <w:color w:val="000000" w:themeColor="text1"/>
                      <w:lang w:val="en-US" w:eastAsia="zh-CN" w:bidi="ar-SA"/>
                      <w14:textFill>
                        <w14:solidFill>
                          <w14:schemeClr w14:val="tx1"/>
                        </w14:solidFill>
                      </w14:textFill>
                    </w:rPr>
                    <w:t>22.62</w:t>
                  </w:r>
                </w:p>
              </w:tc>
            </w:tr>
            <w:tr w14:paraId="5B647F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02" w:type="pct"/>
                  <w:gridSpan w:val="5"/>
                  <w:tcBorders>
                    <w:tl2br w:val="nil"/>
                    <w:tr2bl w:val="nil"/>
                  </w:tcBorders>
                  <w:vAlign w:val="center"/>
                </w:tcPr>
                <w:p w14:paraId="551CCA5D">
                  <w:pPr>
                    <w:pStyle w:val="26"/>
                    <w:bidi w:val="0"/>
                    <w:jc w:val="center"/>
                    <w:rPr>
                      <w:rFonts w:hint="default"/>
                      <w:color w:val="000000" w:themeColor="text1"/>
                      <w:lang w:val="en-US" w:eastAsia="zh-CN" w:bidi="ar-SA"/>
                      <w14:textFill>
                        <w14:solidFill>
                          <w14:schemeClr w14:val="tx1"/>
                        </w14:solidFill>
                      </w14:textFill>
                    </w:rPr>
                  </w:pPr>
                  <w:r>
                    <w:rPr>
                      <w:rFonts w:hint="eastAsia"/>
                      <w:color w:val="000000" w:themeColor="text1"/>
                      <w:lang w:val="en-US" w:eastAsia="zh-CN" w:bidi="ar-SA"/>
                      <w14:textFill>
                        <w14:solidFill>
                          <w14:schemeClr w14:val="tx1"/>
                        </w14:solidFill>
                      </w14:textFill>
                    </w:rPr>
                    <w:t>合计</w:t>
                  </w:r>
                </w:p>
              </w:tc>
              <w:tc>
                <w:tcPr>
                  <w:tcW w:w="897" w:type="pct"/>
                  <w:tcBorders>
                    <w:tl2br w:val="nil"/>
                    <w:tr2bl w:val="nil"/>
                  </w:tcBorders>
                  <w:vAlign w:val="center"/>
                </w:tcPr>
                <w:p w14:paraId="0FDBFFCE">
                  <w:pPr>
                    <w:pStyle w:val="26"/>
                    <w:bidi w:val="0"/>
                    <w:jc w:val="center"/>
                    <w:rPr>
                      <w:rFonts w:hint="default"/>
                      <w:color w:val="000000" w:themeColor="text1"/>
                      <w:lang w:val="en-US" w:eastAsia="zh-CN" w:bidi="ar-SA"/>
                      <w14:textFill>
                        <w14:solidFill>
                          <w14:schemeClr w14:val="tx1"/>
                        </w14:solidFill>
                      </w14:textFill>
                    </w:rPr>
                  </w:pPr>
                  <w:r>
                    <w:rPr>
                      <w:rFonts w:hint="eastAsia"/>
                      <w:color w:val="000000" w:themeColor="text1"/>
                      <w:lang w:val="en-US" w:eastAsia="zh-CN" w:bidi="ar-SA"/>
                      <w14:textFill>
                        <w14:solidFill>
                          <w14:schemeClr w14:val="tx1"/>
                        </w14:solidFill>
                      </w14:textFill>
                    </w:rPr>
                    <w:t>7637</w:t>
                  </w:r>
                </w:p>
              </w:tc>
            </w:tr>
          </w:tbl>
          <w:p w14:paraId="1BA71D5C">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因此，本项目一期工程所需的总集气风量为7637 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/h，根据《吸附法工业有机废气治理工程技术规范》（HJ 2026-2013），有机废气的设计风量宜按照最大废气排放量的120%进行设计，即一期工程总风量为9476 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/h，考虑风量损失确保废气充分收集，项目风机风量设置为10000 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/h。</w:t>
            </w:r>
          </w:p>
          <w:p w14:paraId="52EAB8BE">
            <w:pP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（2）二期建成后全厂集气管风量</w:t>
            </w:r>
          </w:p>
          <w:p w14:paraId="2A57C4BD">
            <w:pP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二期工程建成后，项目全厂干燥机、电弧炉</w:t>
            </w:r>
            <w:r>
              <w:rPr>
                <w:rFonts w:hint="default"/>
                <w:color w:val="000000" w:themeColor="text1"/>
                <w:highlight w:val="none"/>
                <w:lang w:val="en-US" w:eastAsia="zh-CN"/>
                <w14:textFill>
                  <w14:solidFill>
                    <w14:schemeClr w14:val="tx1"/>
                  </w14:solidFill>
                </w14:textFill>
              </w:rPr>
              <w:t>、球磨机、喷雾干燥系统</w:t>
            </w:r>
            <w:r>
              <w:rPr>
                <w:rFonts w:hint="eastAsia"/>
                <w:color w:val="000000" w:themeColor="text1"/>
                <w:highlight w:val="none"/>
                <w:lang w:val="en-US" w:eastAsia="zh-CN"/>
                <w14:textFill>
                  <w14:solidFill>
                    <w14:schemeClr w14:val="tx1"/>
                  </w14:solidFill>
                </w14:textFill>
              </w:rPr>
              <w:t>、包覆机</w:t>
            </w:r>
            <w:r>
              <w:rPr>
                <w:rFonts w:hint="default"/>
                <w:color w:val="000000" w:themeColor="text1"/>
                <w:highlight w:val="none"/>
                <w:lang w:val="en-US" w:eastAsia="zh-CN"/>
                <w14:textFill>
                  <w14:solidFill>
                    <w14:schemeClr w14:val="tx1"/>
                  </w14:solidFill>
                </w14:textFill>
              </w:rPr>
              <w:t>均通过设备自带排气管对有机废气进行收集。</w:t>
            </w:r>
            <w:r>
              <w:rPr>
                <w:rFonts w:hint="eastAsia"/>
                <w:color w:val="000000" w:themeColor="text1"/>
                <w:highlight w:val="none"/>
                <w:lang w:val="en-US" w:eastAsia="zh-CN"/>
                <w14:textFill>
                  <w14:solidFill>
                    <w14:schemeClr w14:val="tx1"/>
                  </w14:solidFill>
                </w14:textFill>
              </w:rPr>
              <w:t>集气管风量</w:t>
            </w:r>
            <w:r>
              <w:rPr>
                <w:rFonts w:hint="default"/>
                <w:color w:val="000000" w:themeColor="text1"/>
                <w:highlight w:val="none"/>
                <w:lang w:val="en-US" w:eastAsia="zh-CN"/>
                <w14:textFill>
                  <w14:solidFill>
                    <w14:schemeClr w14:val="tx1"/>
                  </w14:solidFill>
                </w14:textFill>
              </w:rPr>
              <w:t>根据</w:t>
            </w:r>
            <w:r>
              <w:rPr>
                <w:rFonts w:hint="eastAsia"/>
                <w:color w:val="000000" w:themeColor="text1"/>
                <w:highlight w:val="none"/>
                <w:lang w:val="en-US" w:eastAsia="zh-CN"/>
                <w14:textFill>
                  <w14:solidFill>
                    <w14:schemeClr w14:val="tx1"/>
                  </w14:solidFill>
                </w14:textFill>
              </w:rPr>
              <w:t>公式18进行计算，则二期工程建成后全厂集气管风量的计算见</w:t>
            </w:r>
            <w:r>
              <w:rPr>
                <w:rFonts w:hint="eastAsia"/>
                <w:color w:val="000000" w:themeColor="text1"/>
                <w:highlight w:val="none"/>
                <w:lang w:val="en-US" w:eastAsia="zh-CN"/>
                <w14:textFill>
                  <w14:solidFill>
                    <w14:schemeClr w14:val="tx1"/>
                  </w14:solidFill>
                </w14:textFill>
              </w:rPr>
              <w:fldChar w:fldCharType="begin"/>
            </w:r>
            <w:r>
              <w:rPr>
                <w:rFonts w:hint="eastAsia"/>
                <w:color w:val="000000" w:themeColor="text1"/>
                <w:highlight w:val="none"/>
                <w:lang w:val="en-US" w:eastAsia="zh-CN"/>
                <w14:textFill>
                  <w14:solidFill>
                    <w14:schemeClr w14:val="tx1"/>
                  </w14:solidFill>
                </w14:textFill>
              </w:rPr>
              <w:instrText xml:space="preserve"> REF _Ref5717 \n \h </w:instrText>
            </w:r>
            <w:r>
              <w:rPr>
                <w:rFonts w:hint="eastAsia"/>
                <w:color w:val="000000" w:themeColor="text1"/>
                <w:highlight w:val="none"/>
                <w:lang w:val="en-US" w:eastAsia="zh-CN"/>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表4.1-17</w:t>
            </w:r>
            <w:r>
              <w:rPr>
                <w:rFonts w:hint="eastAsia"/>
                <w:color w:val="000000" w:themeColor="text1"/>
                <w:highlight w:val="none"/>
                <w:lang w:val="en-US" w:eastAsia="zh-CN"/>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w:t>
            </w:r>
          </w:p>
          <w:p w14:paraId="7EE94D61">
            <w:pPr>
              <w:pStyle w:val="30"/>
              <w:bidi w:val="0"/>
              <w:rPr>
                <w:rFonts w:hint="eastAsia"/>
                <w:color w:val="000000" w:themeColor="text1"/>
                <w:lang w:val="en-US" w:eastAsia="zh-CN"/>
                <w14:textFill>
                  <w14:solidFill>
                    <w14:schemeClr w14:val="tx1"/>
                  </w14:solidFill>
                </w14:textFill>
              </w:rPr>
            </w:pPr>
            <w:bookmarkStart w:id="184" w:name="_Ref5717"/>
            <w:r>
              <w:rPr>
                <w:rFonts w:hint="eastAsia"/>
                <w:color w:val="000000" w:themeColor="text1"/>
                <w:highlight w:val="none"/>
                <w:lang w:val="en-US" w:eastAsia="zh-CN"/>
                <w14:textFill>
                  <w14:solidFill>
                    <w14:schemeClr w14:val="tx1"/>
                  </w14:solidFill>
                </w14:textFill>
              </w:rPr>
              <w:t>二期工程建成后全厂集气管</w:t>
            </w:r>
            <w:r>
              <w:rPr>
                <w:rFonts w:hint="eastAsia"/>
                <w:color w:val="000000" w:themeColor="text1"/>
                <w:lang w:val="en-US" w:eastAsia="zh-CN"/>
                <w14:textFill>
                  <w14:solidFill>
                    <w14:schemeClr w14:val="tx1"/>
                  </w14:solidFill>
                </w14:textFill>
              </w:rPr>
              <w:t>所需</w:t>
            </w:r>
            <w:r>
              <w:rPr>
                <w:rFonts w:hint="eastAsia"/>
                <w:color w:val="000000" w:themeColor="text1"/>
                <w:highlight w:val="none"/>
                <w:lang w:val="en-US" w:eastAsia="zh-CN"/>
                <w14:textFill>
                  <w14:solidFill>
                    <w14:schemeClr w14:val="tx1"/>
                  </w14:solidFill>
                </w14:textFill>
              </w:rPr>
              <w:t>风量计算</w:t>
            </w:r>
            <w:r>
              <w:rPr>
                <w:rFonts w:hint="eastAsia"/>
                <w:color w:val="000000" w:themeColor="text1"/>
                <w:lang w:val="en-US" w:eastAsia="zh-CN"/>
                <w14:textFill>
                  <w14:solidFill>
                    <w14:schemeClr w14:val="tx1"/>
                  </w14:solidFill>
                </w14:textFill>
              </w:rPr>
              <w:t>表</w:t>
            </w:r>
            <w:bookmarkEnd w:id="184"/>
          </w:p>
          <w:tbl>
            <w:tblPr>
              <w:tblStyle w:val="1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3"/>
              <w:gridCol w:w="1646"/>
              <w:gridCol w:w="1075"/>
              <w:gridCol w:w="1266"/>
              <w:gridCol w:w="1513"/>
              <w:gridCol w:w="1491"/>
            </w:tblGrid>
            <w:tr w14:paraId="2719F7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82" w:type="pct"/>
                  <w:gridSpan w:val="2"/>
                  <w:tcBorders>
                    <w:tl2br w:val="nil"/>
                    <w:tr2bl w:val="nil"/>
                  </w:tcBorders>
                  <w:vAlign w:val="center"/>
                </w:tcPr>
                <w:p w14:paraId="42EE0FA3">
                  <w:pPr>
                    <w:pStyle w:val="26"/>
                    <w:bidi w:val="0"/>
                    <w:jc w:val="center"/>
                    <w:rPr>
                      <w:rFonts w:hint="default"/>
                      <w:color w:val="000000" w:themeColor="text1"/>
                      <w:lang w:val="en-US" w:eastAsia="zh-CN" w:bidi="ar-SA"/>
                      <w14:textFill>
                        <w14:solidFill>
                          <w14:schemeClr w14:val="tx1"/>
                        </w14:solidFill>
                      </w14:textFill>
                    </w:rPr>
                  </w:pPr>
                  <w:r>
                    <w:rPr>
                      <w:rFonts w:hint="eastAsia"/>
                      <w:color w:val="000000" w:themeColor="text1"/>
                      <w:lang w:val="en-US" w:eastAsia="zh-CN" w:bidi="ar-SA"/>
                      <w14:textFill>
                        <w14:solidFill>
                          <w14:schemeClr w14:val="tx1"/>
                        </w14:solidFill>
                      </w14:textFill>
                    </w:rPr>
                    <w:t>设备名称</w:t>
                  </w:r>
                </w:p>
              </w:tc>
              <w:tc>
                <w:tcPr>
                  <w:tcW w:w="647" w:type="pct"/>
                  <w:tcBorders>
                    <w:tl2br w:val="nil"/>
                    <w:tr2bl w:val="nil"/>
                  </w:tcBorders>
                  <w:vAlign w:val="center"/>
                </w:tcPr>
                <w:p w14:paraId="542FA3FD">
                  <w:pPr>
                    <w:pStyle w:val="26"/>
                    <w:bidi w:val="0"/>
                    <w:jc w:val="center"/>
                    <w:rPr>
                      <w:rFonts w:hint="default"/>
                      <w:color w:val="000000" w:themeColor="text1"/>
                      <w:lang w:val="en-US" w:eastAsia="zh-CN" w:bidi="ar-SA"/>
                      <w14:textFill>
                        <w14:solidFill>
                          <w14:schemeClr w14:val="tx1"/>
                        </w14:solidFill>
                      </w14:textFill>
                    </w:rPr>
                  </w:pPr>
                  <w:r>
                    <w:rPr>
                      <w:rFonts w:hint="eastAsia"/>
                      <w:color w:val="000000" w:themeColor="text1"/>
                      <w:lang w:val="en-US" w:eastAsia="zh-CN" w:bidi="ar-SA"/>
                      <w14:textFill>
                        <w14:solidFill>
                          <w14:schemeClr w14:val="tx1"/>
                        </w14:solidFill>
                      </w14:textFill>
                    </w:rPr>
                    <w:t>数量（台）</w:t>
                  </w:r>
                </w:p>
              </w:tc>
              <w:tc>
                <w:tcPr>
                  <w:tcW w:w="762" w:type="pct"/>
                  <w:tcBorders>
                    <w:tl2br w:val="nil"/>
                    <w:tr2bl w:val="nil"/>
                  </w:tcBorders>
                  <w:vAlign w:val="center"/>
                </w:tcPr>
                <w:p w14:paraId="02CCF7A2">
                  <w:pPr>
                    <w:pStyle w:val="26"/>
                    <w:bidi w:val="0"/>
                    <w:jc w:val="center"/>
                    <w:rPr>
                      <w:rFonts w:hint="default"/>
                      <w:color w:val="000000" w:themeColor="text1"/>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风管直径D（m）</w:t>
                  </w:r>
                </w:p>
              </w:tc>
              <w:tc>
                <w:tcPr>
                  <w:tcW w:w="910" w:type="pct"/>
                  <w:tcBorders>
                    <w:tl2br w:val="nil"/>
                    <w:tr2bl w:val="nil"/>
                  </w:tcBorders>
                  <w:vAlign w:val="center"/>
                </w:tcPr>
                <w:p w14:paraId="539414AB">
                  <w:pPr>
                    <w:pStyle w:val="26"/>
                    <w:bidi w:val="0"/>
                    <w:jc w:val="center"/>
                    <w:rPr>
                      <w:rFonts w:hint="default"/>
                      <w:color w:val="000000" w:themeColor="text1"/>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集气管风量L（m</w:t>
                  </w:r>
                  <w:r>
                    <w:rPr>
                      <w:rFonts w:hint="eastAsia"/>
                      <w:color w:val="000000" w:themeColor="text1"/>
                      <w:highlight w:val="none"/>
                      <w:vertAlign w:val="superscript"/>
                      <w:lang w:val="en-US" w:eastAsia="zh-CN" w:bidi="ar-SA"/>
                      <w14:textFill>
                        <w14:solidFill>
                          <w14:schemeClr w14:val="tx1"/>
                        </w14:solidFill>
                      </w14:textFill>
                    </w:rPr>
                    <w:t>3</w:t>
                  </w:r>
                  <w:r>
                    <w:rPr>
                      <w:rFonts w:hint="eastAsia"/>
                      <w:color w:val="000000" w:themeColor="text1"/>
                      <w:highlight w:val="none"/>
                      <w:lang w:val="en-US" w:eastAsia="zh-CN" w:bidi="ar-SA"/>
                      <w14:textFill>
                        <w14:solidFill>
                          <w14:schemeClr w14:val="tx1"/>
                        </w14:solidFill>
                      </w14:textFill>
                    </w:rPr>
                    <w:t>/h）</w:t>
                  </w:r>
                </w:p>
              </w:tc>
              <w:tc>
                <w:tcPr>
                  <w:tcW w:w="897" w:type="pct"/>
                  <w:tcBorders>
                    <w:tl2br w:val="nil"/>
                    <w:tr2bl w:val="nil"/>
                  </w:tcBorders>
                  <w:vAlign w:val="center"/>
                </w:tcPr>
                <w:p w14:paraId="76AD0664">
                  <w:pPr>
                    <w:pStyle w:val="26"/>
                    <w:bidi w:val="0"/>
                    <w:jc w:val="center"/>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风量合计</w:t>
                  </w:r>
                </w:p>
                <w:p w14:paraId="04A15919">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L</w:t>
                  </w:r>
                  <w:r>
                    <w:rPr>
                      <w:rFonts w:hint="eastAsia"/>
                      <w:color w:val="000000" w:themeColor="text1"/>
                      <w:highlight w:val="none"/>
                      <w:vertAlign w:val="subscript"/>
                      <w:lang w:val="en-US" w:eastAsia="zh-CN" w:bidi="ar-SA"/>
                      <w14:textFill>
                        <w14:solidFill>
                          <w14:schemeClr w14:val="tx1"/>
                        </w14:solidFill>
                      </w14:textFill>
                    </w:rPr>
                    <w:t>总</w:t>
                  </w:r>
                  <w:r>
                    <w:rPr>
                      <w:rFonts w:hint="eastAsia"/>
                      <w:color w:val="000000" w:themeColor="text1"/>
                      <w:highlight w:val="none"/>
                      <w:lang w:val="en-US" w:eastAsia="zh-CN" w:bidi="ar-SA"/>
                      <w14:textFill>
                        <w14:solidFill>
                          <w14:schemeClr w14:val="tx1"/>
                        </w14:solidFill>
                      </w14:textFill>
                    </w:rPr>
                    <w:t>（m</w:t>
                  </w:r>
                  <w:r>
                    <w:rPr>
                      <w:rFonts w:hint="eastAsia"/>
                      <w:color w:val="000000" w:themeColor="text1"/>
                      <w:highlight w:val="none"/>
                      <w:vertAlign w:val="superscript"/>
                      <w:lang w:val="en-US" w:eastAsia="zh-CN" w:bidi="ar-SA"/>
                      <w14:textFill>
                        <w14:solidFill>
                          <w14:schemeClr w14:val="tx1"/>
                        </w14:solidFill>
                      </w14:textFill>
                    </w:rPr>
                    <w:t>3</w:t>
                  </w:r>
                  <w:r>
                    <w:rPr>
                      <w:rFonts w:hint="eastAsia"/>
                      <w:color w:val="000000" w:themeColor="text1"/>
                      <w:highlight w:val="none"/>
                      <w:lang w:val="en-US" w:eastAsia="zh-CN" w:bidi="ar-SA"/>
                      <w14:textFill>
                        <w14:solidFill>
                          <w14:schemeClr w14:val="tx1"/>
                        </w14:solidFill>
                      </w14:textFill>
                    </w:rPr>
                    <w:t>/h）</w:t>
                  </w:r>
                </w:p>
              </w:tc>
            </w:tr>
            <w:tr w14:paraId="26B0E0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1" w:type="pct"/>
                  <w:vMerge w:val="restart"/>
                  <w:tcBorders>
                    <w:tl2br w:val="nil"/>
                    <w:tr2bl w:val="nil"/>
                  </w:tcBorders>
                  <w:vAlign w:val="center"/>
                </w:tcPr>
                <w:p w14:paraId="357D827D">
                  <w:pPr>
                    <w:pStyle w:val="26"/>
                    <w:bidi w:val="0"/>
                    <w:jc w:val="center"/>
                    <w:rPr>
                      <w:rFonts w:hint="default"/>
                      <w:color w:val="000000" w:themeColor="text1"/>
                      <w:lang w:val="en-US" w:eastAsia="zh-CN" w:bidi="ar-SA"/>
                      <w14:textFill>
                        <w14:solidFill>
                          <w14:schemeClr w14:val="tx1"/>
                        </w14:solidFill>
                      </w14:textFill>
                    </w:rPr>
                  </w:pPr>
                  <w:r>
                    <w:rPr>
                      <w:rFonts w:hint="eastAsia" w:eastAsia="宋体"/>
                      <w:color w:val="000000" w:themeColor="text1"/>
                      <w:highlight w:val="none"/>
                      <w:lang w:val="en-US" w:eastAsia="zh-CN" w:bidi="ar-SA"/>
                      <w14:textFill>
                        <w14:solidFill>
                          <w14:schemeClr w14:val="tx1"/>
                        </w14:solidFill>
                      </w14:textFill>
                    </w:rPr>
                    <w:t>单壁碳纳米管</w:t>
                  </w:r>
                </w:p>
              </w:tc>
              <w:tc>
                <w:tcPr>
                  <w:tcW w:w="991" w:type="pct"/>
                  <w:tcBorders>
                    <w:tl2br w:val="nil"/>
                    <w:tr2bl w:val="nil"/>
                  </w:tcBorders>
                  <w:vAlign w:val="center"/>
                </w:tcPr>
                <w:p w14:paraId="2352E022">
                  <w:pPr>
                    <w:pStyle w:val="26"/>
                    <w:bidi w:val="0"/>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干燥机</w:t>
                  </w:r>
                </w:p>
              </w:tc>
              <w:tc>
                <w:tcPr>
                  <w:tcW w:w="1075" w:type="dxa"/>
                  <w:tcBorders>
                    <w:tl2br w:val="nil"/>
                    <w:tr2bl w:val="nil"/>
                  </w:tcBorders>
                  <w:vAlign w:val="center"/>
                </w:tcPr>
                <w:p w14:paraId="2F6F9DF2">
                  <w:pPr>
                    <w:pStyle w:val="26"/>
                    <w:bidi w:val="0"/>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5</w:t>
                  </w:r>
                </w:p>
              </w:tc>
              <w:tc>
                <w:tcPr>
                  <w:tcW w:w="762" w:type="pct"/>
                  <w:tcBorders>
                    <w:tl2br w:val="nil"/>
                    <w:tr2bl w:val="nil"/>
                  </w:tcBorders>
                  <w:vAlign w:val="center"/>
                </w:tcPr>
                <w:p w14:paraId="112BCE0D">
                  <w:pPr>
                    <w:pStyle w:val="26"/>
                    <w:bidi w:val="0"/>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120</w:t>
                  </w:r>
                </w:p>
              </w:tc>
              <w:tc>
                <w:tcPr>
                  <w:tcW w:w="1513" w:type="dxa"/>
                  <w:tcBorders>
                    <w:tl2br w:val="nil"/>
                    <w:tr2bl w:val="nil"/>
                  </w:tcBorders>
                  <w:vAlign w:val="center"/>
                </w:tcPr>
                <w:p w14:paraId="23FFF062">
                  <w:pPr>
                    <w:pStyle w:val="26"/>
                    <w:bidi w:val="0"/>
                    <w:jc w:val="center"/>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122.15</w:t>
                  </w:r>
                </w:p>
              </w:tc>
              <w:tc>
                <w:tcPr>
                  <w:tcW w:w="1491" w:type="dxa"/>
                  <w:tcBorders>
                    <w:tl2br w:val="nil"/>
                    <w:tr2bl w:val="nil"/>
                  </w:tcBorders>
                  <w:vAlign w:val="center"/>
                </w:tcPr>
                <w:p w14:paraId="69F2299E">
                  <w:pPr>
                    <w:pStyle w:val="26"/>
                    <w:bidi w:val="0"/>
                    <w:jc w:val="center"/>
                    <w:rPr>
                      <w:rFonts w:hint="default"/>
                      <w:color w:val="000000" w:themeColor="text1"/>
                      <w:lang w:val="en-US" w:eastAsia="zh-CN" w:bidi="ar-SA"/>
                      <w14:textFill>
                        <w14:solidFill>
                          <w14:schemeClr w14:val="tx1"/>
                        </w14:solidFill>
                      </w14:textFill>
                    </w:rPr>
                  </w:pPr>
                  <w:r>
                    <w:rPr>
                      <w:rFonts w:hint="eastAsia"/>
                      <w:color w:val="000000" w:themeColor="text1"/>
                      <w:lang w:val="en-US" w:eastAsia="zh-CN" w:bidi="ar-SA"/>
                      <w14:textFill>
                        <w14:solidFill>
                          <w14:schemeClr w14:val="tx1"/>
                        </w14:solidFill>
                      </w14:textFill>
                    </w:rPr>
                    <w:t>610.73</w:t>
                  </w:r>
                </w:p>
              </w:tc>
            </w:tr>
            <w:tr w14:paraId="4CCE00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1" w:type="pct"/>
                  <w:vMerge w:val="continue"/>
                  <w:tcBorders>
                    <w:tl2br w:val="nil"/>
                    <w:tr2bl w:val="nil"/>
                  </w:tcBorders>
                  <w:vAlign w:val="center"/>
                </w:tcPr>
                <w:p w14:paraId="67BE660D">
                  <w:pPr>
                    <w:pStyle w:val="26"/>
                    <w:bidi w:val="0"/>
                    <w:jc w:val="center"/>
                    <w:rPr>
                      <w:rFonts w:hint="default"/>
                      <w:color w:val="000000" w:themeColor="text1"/>
                      <w:lang w:val="en-US" w:eastAsia="zh-CN" w:bidi="ar-SA"/>
                      <w14:textFill>
                        <w14:solidFill>
                          <w14:schemeClr w14:val="tx1"/>
                        </w14:solidFill>
                      </w14:textFill>
                    </w:rPr>
                  </w:pPr>
                </w:p>
              </w:tc>
              <w:tc>
                <w:tcPr>
                  <w:tcW w:w="991" w:type="pct"/>
                  <w:tcBorders>
                    <w:tl2br w:val="nil"/>
                    <w:tr2bl w:val="nil"/>
                  </w:tcBorders>
                  <w:vAlign w:val="center"/>
                </w:tcPr>
                <w:p w14:paraId="2BD8249D">
                  <w:pPr>
                    <w:pStyle w:val="26"/>
                    <w:bidi w:val="0"/>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等离子电弧炉</w:t>
                  </w:r>
                </w:p>
              </w:tc>
              <w:tc>
                <w:tcPr>
                  <w:tcW w:w="1075" w:type="dxa"/>
                  <w:tcBorders>
                    <w:tl2br w:val="nil"/>
                    <w:tr2bl w:val="nil"/>
                  </w:tcBorders>
                  <w:vAlign w:val="center"/>
                </w:tcPr>
                <w:p w14:paraId="13B8382C">
                  <w:pPr>
                    <w:pStyle w:val="26"/>
                    <w:bidi w:val="0"/>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200</w:t>
                  </w:r>
                </w:p>
              </w:tc>
              <w:tc>
                <w:tcPr>
                  <w:tcW w:w="762" w:type="pct"/>
                  <w:tcBorders>
                    <w:tl2br w:val="nil"/>
                    <w:tr2bl w:val="nil"/>
                  </w:tcBorders>
                  <w:vAlign w:val="center"/>
                </w:tcPr>
                <w:p w14:paraId="3432B15A">
                  <w:pPr>
                    <w:pStyle w:val="26"/>
                    <w:bidi w:val="0"/>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40</w:t>
                  </w:r>
                </w:p>
              </w:tc>
              <w:tc>
                <w:tcPr>
                  <w:tcW w:w="1513" w:type="dxa"/>
                  <w:tcBorders>
                    <w:tl2br w:val="nil"/>
                    <w:tr2bl w:val="nil"/>
                  </w:tcBorders>
                  <w:vAlign w:val="center"/>
                </w:tcPr>
                <w:p w14:paraId="39C4E12D">
                  <w:pPr>
                    <w:pStyle w:val="26"/>
                    <w:bidi w:val="0"/>
                    <w:jc w:val="center"/>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13.57</w:t>
                  </w:r>
                </w:p>
              </w:tc>
              <w:tc>
                <w:tcPr>
                  <w:tcW w:w="1491" w:type="dxa"/>
                  <w:tcBorders>
                    <w:tl2br w:val="nil"/>
                    <w:tr2bl w:val="nil"/>
                  </w:tcBorders>
                  <w:vAlign w:val="center"/>
                </w:tcPr>
                <w:p w14:paraId="44E791C5">
                  <w:pPr>
                    <w:pStyle w:val="26"/>
                    <w:bidi w:val="0"/>
                    <w:jc w:val="center"/>
                    <w:rPr>
                      <w:rFonts w:hint="default"/>
                      <w:color w:val="000000" w:themeColor="text1"/>
                      <w:lang w:val="en-US" w:eastAsia="zh-CN" w:bidi="ar-SA"/>
                      <w14:textFill>
                        <w14:solidFill>
                          <w14:schemeClr w14:val="tx1"/>
                        </w14:solidFill>
                      </w14:textFill>
                    </w:rPr>
                  </w:pPr>
                  <w:r>
                    <w:rPr>
                      <w:rFonts w:hint="eastAsia"/>
                      <w:color w:val="000000" w:themeColor="text1"/>
                      <w:lang w:val="en-US" w:eastAsia="zh-CN" w:bidi="ar-SA"/>
                      <w14:textFill>
                        <w14:solidFill>
                          <w14:schemeClr w14:val="tx1"/>
                        </w14:solidFill>
                      </w14:textFill>
                    </w:rPr>
                    <w:t>2714.34</w:t>
                  </w:r>
                </w:p>
              </w:tc>
            </w:tr>
            <w:tr w14:paraId="686386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1" w:type="pct"/>
                  <w:vMerge w:val="restart"/>
                  <w:tcBorders>
                    <w:tl2br w:val="nil"/>
                    <w:tr2bl w:val="nil"/>
                  </w:tcBorders>
                  <w:vAlign w:val="center"/>
                </w:tcPr>
                <w:p w14:paraId="0F8AAD1D">
                  <w:pPr>
                    <w:pStyle w:val="26"/>
                    <w:bidi w:val="0"/>
                    <w:jc w:val="center"/>
                    <w:rPr>
                      <w:rFonts w:hint="default"/>
                      <w:color w:val="000000" w:themeColor="text1"/>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硅碳负极材料</w:t>
                  </w:r>
                </w:p>
              </w:tc>
              <w:tc>
                <w:tcPr>
                  <w:tcW w:w="991" w:type="pct"/>
                  <w:tcBorders>
                    <w:tl2br w:val="nil"/>
                    <w:tr2bl w:val="nil"/>
                  </w:tcBorders>
                  <w:vAlign w:val="center"/>
                </w:tcPr>
                <w:p w14:paraId="11FDEAFE">
                  <w:pPr>
                    <w:pStyle w:val="26"/>
                    <w:bidi w:val="0"/>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球磨机</w:t>
                  </w:r>
                </w:p>
              </w:tc>
              <w:tc>
                <w:tcPr>
                  <w:tcW w:w="1075" w:type="dxa"/>
                  <w:tcBorders>
                    <w:tl2br w:val="nil"/>
                    <w:tr2bl w:val="nil"/>
                  </w:tcBorders>
                  <w:vAlign w:val="center"/>
                </w:tcPr>
                <w:p w14:paraId="3F991BC3">
                  <w:pPr>
                    <w:pStyle w:val="26"/>
                    <w:bidi w:val="0"/>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6</w:t>
                  </w:r>
                </w:p>
              </w:tc>
              <w:tc>
                <w:tcPr>
                  <w:tcW w:w="762" w:type="pct"/>
                  <w:tcBorders>
                    <w:tl2br w:val="nil"/>
                    <w:tr2bl w:val="nil"/>
                  </w:tcBorders>
                  <w:vAlign w:val="center"/>
                </w:tcPr>
                <w:p w14:paraId="14406385">
                  <w:pPr>
                    <w:pStyle w:val="26"/>
                    <w:bidi w:val="0"/>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90</w:t>
                  </w:r>
                </w:p>
              </w:tc>
              <w:tc>
                <w:tcPr>
                  <w:tcW w:w="1513" w:type="dxa"/>
                  <w:tcBorders>
                    <w:tl2br w:val="nil"/>
                    <w:tr2bl w:val="nil"/>
                  </w:tcBorders>
                  <w:vAlign w:val="center"/>
                </w:tcPr>
                <w:p w14:paraId="3ADADC4D">
                  <w:pPr>
                    <w:pStyle w:val="26"/>
                    <w:bidi w:val="0"/>
                    <w:jc w:val="center"/>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68.71</w:t>
                  </w:r>
                </w:p>
              </w:tc>
              <w:tc>
                <w:tcPr>
                  <w:tcW w:w="1491" w:type="dxa"/>
                  <w:tcBorders>
                    <w:tl2br w:val="nil"/>
                    <w:tr2bl w:val="nil"/>
                  </w:tcBorders>
                  <w:vAlign w:val="center"/>
                </w:tcPr>
                <w:p w14:paraId="3A671143">
                  <w:pPr>
                    <w:pStyle w:val="26"/>
                    <w:bidi w:val="0"/>
                    <w:jc w:val="center"/>
                    <w:rPr>
                      <w:rFonts w:hint="default"/>
                      <w:color w:val="000000" w:themeColor="text1"/>
                      <w:lang w:val="en-US" w:eastAsia="zh-CN" w:bidi="ar-SA"/>
                      <w14:textFill>
                        <w14:solidFill>
                          <w14:schemeClr w14:val="tx1"/>
                        </w14:solidFill>
                      </w14:textFill>
                    </w:rPr>
                  </w:pPr>
                  <w:r>
                    <w:rPr>
                      <w:rFonts w:hint="eastAsia"/>
                      <w:color w:val="000000" w:themeColor="text1"/>
                      <w:lang w:val="en-US" w:eastAsia="zh-CN" w:bidi="ar-SA"/>
                      <w14:textFill>
                        <w14:solidFill>
                          <w14:schemeClr w14:val="tx1"/>
                        </w14:solidFill>
                      </w14:textFill>
                    </w:rPr>
                    <w:t>412.24</w:t>
                  </w:r>
                </w:p>
              </w:tc>
            </w:tr>
            <w:tr w14:paraId="2A70B7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1" w:type="pct"/>
                  <w:vMerge w:val="continue"/>
                  <w:tcBorders>
                    <w:tl2br w:val="nil"/>
                    <w:tr2bl w:val="nil"/>
                  </w:tcBorders>
                  <w:vAlign w:val="center"/>
                </w:tcPr>
                <w:p w14:paraId="0FABF463">
                  <w:pPr>
                    <w:pStyle w:val="26"/>
                    <w:bidi w:val="0"/>
                    <w:jc w:val="center"/>
                    <w:rPr>
                      <w:rFonts w:hint="default"/>
                      <w:color w:val="000000" w:themeColor="text1"/>
                      <w:lang w:val="en-US" w:eastAsia="zh-CN" w:bidi="ar-SA"/>
                      <w14:textFill>
                        <w14:solidFill>
                          <w14:schemeClr w14:val="tx1"/>
                        </w14:solidFill>
                      </w14:textFill>
                    </w:rPr>
                  </w:pPr>
                </w:p>
              </w:tc>
              <w:tc>
                <w:tcPr>
                  <w:tcW w:w="991" w:type="pct"/>
                  <w:tcBorders>
                    <w:tl2br w:val="nil"/>
                    <w:tr2bl w:val="nil"/>
                  </w:tcBorders>
                  <w:vAlign w:val="center"/>
                </w:tcPr>
                <w:p w14:paraId="525B5E28">
                  <w:pPr>
                    <w:pStyle w:val="26"/>
                    <w:bidi w:val="0"/>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真空干燥</w:t>
                  </w:r>
                </w:p>
              </w:tc>
              <w:tc>
                <w:tcPr>
                  <w:tcW w:w="1075" w:type="dxa"/>
                  <w:tcBorders>
                    <w:tl2br w:val="nil"/>
                    <w:tr2bl w:val="nil"/>
                  </w:tcBorders>
                  <w:vAlign w:val="center"/>
                </w:tcPr>
                <w:p w14:paraId="03B0769F">
                  <w:pPr>
                    <w:pStyle w:val="26"/>
                    <w:bidi w:val="0"/>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6</w:t>
                  </w:r>
                </w:p>
              </w:tc>
              <w:tc>
                <w:tcPr>
                  <w:tcW w:w="762" w:type="pct"/>
                  <w:tcBorders>
                    <w:tl2br w:val="nil"/>
                    <w:tr2bl w:val="nil"/>
                  </w:tcBorders>
                  <w:vAlign w:val="center"/>
                </w:tcPr>
                <w:p w14:paraId="3FC34471">
                  <w:pPr>
                    <w:pStyle w:val="26"/>
                    <w:bidi w:val="0"/>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220</w:t>
                  </w:r>
                </w:p>
              </w:tc>
              <w:tc>
                <w:tcPr>
                  <w:tcW w:w="1513" w:type="dxa"/>
                  <w:tcBorders>
                    <w:tl2br w:val="nil"/>
                    <w:tr2bl w:val="nil"/>
                  </w:tcBorders>
                  <w:vAlign w:val="center"/>
                </w:tcPr>
                <w:p w14:paraId="2BB81DFA">
                  <w:pPr>
                    <w:pStyle w:val="26"/>
                    <w:bidi w:val="0"/>
                    <w:jc w:val="center"/>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488.58</w:t>
                  </w:r>
                </w:p>
              </w:tc>
              <w:tc>
                <w:tcPr>
                  <w:tcW w:w="1491" w:type="dxa"/>
                  <w:tcBorders>
                    <w:tl2br w:val="nil"/>
                    <w:tr2bl w:val="nil"/>
                  </w:tcBorders>
                  <w:vAlign w:val="center"/>
                </w:tcPr>
                <w:p w14:paraId="11669AE5">
                  <w:pPr>
                    <w:pStyle w:val="26"/>
                    <w:bidi w:val="0"/>
                    <w:jc w:val="center"/>
                    <w:rPr>
                      <w:rFonts w:hint="default"/>
                      <w:color w:val="000000" w:themeColor="text1"/>
                      <w:lang w:val="en-US" w:eastAsia="zh-CN" w:bidi="ar-SA"/>
                      <w14:textFill>
                        <w14:solidFill>
                          <w14:schemeClr w14:val="tx1"/>
                        </w14:solidFill>
                      </w14:textFill>
                    </w:rPr>
                  </w:pPr>
                  <w:r>
                    <w:rPr>
                      <w:rFonts w:hint="eastAsia"/>
                      <w:color w:val="000000" w:themeColor="text1"/>
                      <w:lang w:val="en-US" w:eastAsia="zh-CN" w:bidi="ar-SA"/>
                      <w14:textFill>
                        <w14:solidFill>
                          <w14:schemeClr w14:val="tx1"/>
                        </w14:solidFill>
                      </w14:textFill>
                    </w:rPr>
                    <w:t>2931.48</w:t>
                  </w:r>
                </w:p>
              </w:tc>
            </w:tr>
            <w:tr w14:paraId="212CC5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1" w:type="pct"/>
                  <w:vMerge w:val="continue"/>
                  <w:tcBorders>
                    <w:tl2br w:val="nil"/>
                    <w:tr2bl w:val="nil"/>
                  </w:tcBorders>
                  <w:vAlign w:val="center"/>
                </w:tcPr>
                <w:p w14:paraId="66EA0BCA">
                  <w:pPr>
                    <w:pStyle w:val="26"/>
                    <w:bidi w:val="0"/>
                    <w:jc w:val="center"/>
                    <w:rPr>
                      <w:rFonts w:hint="default"/>
                      <w:color w:val="000000" w:themeColor="text1"/>
                      <w:lang w:val="en-US" w:eastAsia="zh-CN" w:bidi="ar-SA"/>
                      <w14:textFill>
                        <w14:solidFill>
                          <w14:schemeClr w14:val="tx1"/>
                        </w14:solidFill>
                      </w14:textFill>
                    </w:rPr>
                  </w:pPr>
                </w:p>
              </w:tc>
              <w:tc>
                <w:tcPr>
                  <w:tcW w:w="991" w:type="pct"/>
                  <w:tcBorders>
                    <w:tl2br w:val="nil"/>
                    <w:tr2bl w:val="nil"/>
                  </w:tcBorders>
                  <w:vAlign w:val="center"/>
                </w:tcPr>
                <w:p w14:paraId="1DF4F16B">
                  <w:pPr>
                    <w:pStyle w:val="26"/>
                    <w:bidi w:val="0"/>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喷雾干燥</w:t>
                  </w:r>
                </w:p>
              </w:tc>
              <w:tc>
                <w:tcPr>
                  <w:tcW w:w="1075" w:type="dxa"/>
                  <w:tcBorders>
                    <w:tl2br w:val="nil"/>
                    <w:tr2bl w:val="nil"/>
                  </w:tcBorders>
                  <w:vAlign w:val="center"/>
                </w:tcPr>
                <w:p w14:paraId="0F127391">
                  <w:pPr>
                    <w:pStyle w:val="26"/>
                    <w:bidi w:val="0"/>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3</w:t>
                  </w:r>
                </w:p>
              </w:tc>
              <w:tc>
                <w:tcPr>
                  <w:tcW w:w="762" w:type="pct"/>
                  <w:tcBorders>
                    <w:tl2br w:val="nil"/>
                    <w:tr2bl w:val="nil"/>
                  </w:tcBorders>
                  <w:vAlign w:val="center"/>
                </w:tcPr>
                <w:p w14:paraId="6D42CF99">
                  <w:pPr>
                    <w:pStyle w:val="26"/>
                    <w:bidi w:val="0"/>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280</w:t>
                  </w:r>
                </w:p>
              </w:tc>
              <w:tc>
                <w:tcPr>
                  <w:tcW w:w="1513" w:type="dxa"/>
                  <w:tcBorders>
                    <w:tl2br w:val="nil"/>
                    <w:tr2bl w:val="nil"/>
                  </w:tcBorders>
                  <w:vAlign w:val="center"/>
                </w:tcPr>
                <w:p w14:paraId="4EF451B7">
                  <w:pPr>
                    <w:pStyle w:val="26"/>
                    <w:bidi w:val="0"/>
                    <w:jc w:val="center"/>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665.01</w:t>
                  </w:r>
                </w:p>
              </w:tc>
              <w:tc>
                <w:tcPr>
                  <w:tcW w:w="1491" w:type="dxa"/>
                  <w:tcBorders>
                    <w:tl2br w:val="nil"/>
                    <w:tr2bl w:val="nil"/>
                  </w:tcBorders>
                  <w:vAlign w:val="center"/>
                </w:tcPr>
                <w:p w14:paraId="10AC0849">
                  <w:pPr>
                    <w:pStyle w:val="26"/>
                    <w:bidi w:val="0"/>
                    <w:jc w:val="center"/>
                    <w:rPr>
                      <w:rFonts w:hint="default"/>
                      <w:color w:val="000000" w:themeColor="text1"/>
                      <w:lang w:val="en-US" w:eastAsia="zh-CN" w:bidi="ar-SA"/>
                      <w14:textFill>
                        <w14:solidFill>
                          <w14:schemeClr w14:val="tx1"/>
                        </w14:solidFill>
                      </w14:textFill>
                    </w:rPr>
                  </w:pPr>
                  <w:r>
                    <w:rPr>
                      <w:rFonts w:hint="eastAsia"/>
                      <w:color w:val="000000" w:themeColor="text1"/>
                      <w:lang w:val="en-US" w:eastAsia="zh-CN" w:bidi="ar-SA"/>
                      <w14:textFill>
                        <w14:solidFill>
                          <w14:schemeClr w14:val="tx1"/>
                        </w14:solidFill>
                      </w14:textFill>
                    </w:rPr>
                    <w:t>1995.04</w:t>
                  </w:r>
                </w:p>
              </w:tc>
            </w:tr>
            <w:tr w14:paraId="124DC6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1" w:type="pct"/>
                  <w:vMerge w:val="continue"/>
                  <w:tcBorders>
                    <w:tl2br w:val="nil"/>
                    <w:tr2bl w:val="nil"/>
                  </w:tcBorders>
                  <w:vAlign w:val="center"/>
                </w:tcPr>
                <w:p w14:paraId="60F90269">
                  <w:pPr>
                    <w:pStyle w:val="26"/>
                    <w:bidi w:val="0"/>
                    <w:jc w:val="center"/>
                    <w:rPr>
                      <w:rFonts w:hint="default"/>
                      <w:color w:val="000000" w:themeColor="text1"/>
                      <w:lang w:val="en-US" w:eastAsia="zh-CN" w:bidi="ar-SA"/>
                      <w14:textFill>
                        <w14:solidFill>
                          <w14:schemeClr w14:val="tx1"/>
                        </w14:solidFill>
                      </w14:textFill>
                    </w:rPr>
                  </w:pPr>
                </w:p>
              </w:tc>
              <w:tc>
                <w:tcPr>
                  <w:tcW w:w="991" w:type="pct"/>
                  <w:tcBorders>
                    <w:tl2br w:val="nil"/>
                    <w:tr2bl w:val="nil"/>
                  </w:tcBorders>
                  <w:vAlign w:val="center"/>
                </w:tcPr>
                <w:p w14:paraId="06943D59">
                  <w:pPr>
                    <w:pStyle w:val="26"/>
                    <w:bidi w:val="0"/>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高温包覆机</w:t>
                  </w:r>
                </w:p>
              </w:tc>
              <w:tc>
                <w:tcPr>
                  <w:tcW w:w="1075" w:type="dxa"/>
                  <w:tcBorders>
                    <w:tl2br w:val="nil"/>
                    <w:tr2bl w:val="nil"/>
                  </w:tcBorders>
                  <w:vAlign w:val="center"/>
                </w:tcPr>
                <w:p w14:paraId="75822B04">
                  <w:pPr>
                    <w:pStyle w:val="26"/>
                    <w:bidi w:val="0"/>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6</w:t>
                  </w:r>
                </w:p>
              </w:tc>
              <w:tc>
                <w:tcPr>
                  <w:tcW w:w="762" w:type="pct"/>
                  <w:tcBorders>
                    <w:tl2br w:val="nil"/>
                    <w:tr2bl w:val="nil"/>
                  </w:tcBorders>
                  <w:vAlign w:val="center"/>
                </w:tcPr>
                <w:p w14:paraId="1395970D">
                  <w:pPr>
                    <w:pStyle w:val="26"/>
                    <w:bidi w:val="0"/>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280</w:t>
                  </w:r>
                </w:p>
              </w:tc>
              <w:tc>
                <w:tcPr>
                  <w:tcW w:w="1513" w:type="dxa"/>
                  <w:tcBorders>
                    <w:tl2br w:val="nil"/>
                    <w:tr2bl w:val="nil"/>
                  </w:tcBorders>
                  <w:vAlign w:val="center"/>
                </w:tcPr>
                <w:p w14:paraId="0954919B">
                  <w:pPr>
                    <w:pStyle w:val="26"/>
                    <w:bidi w:val="0"/>
                    <w:jc w:val="center"/>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665.01</w:t>
                  </w:r>
                </w:p>
              </w:tc>
              <w:tc>
                <w:tcPr>
                  <w:tcW w:w="1491" w:type="dxa"/>
                  <w:tcBorders>
                    <w:tl2br w:val="nil"/>
                    <w:tr2bl w:val="nil"/>
                  </w:tcBorders>
                  <w:vAlign w:val="center"/>
                </w:tcPr>
                <w:p w14:paraId="26375823">
                  <w:pPr>
                    <w:pStyle w:val="26"/>
                    <w:bidi w:val="0"/>
                    <w:jc w:val="center"/>
                    <w:rPr>
                      <w:rFonts w:hint="default"/>
                      <w:color w:val="000000" w:themeColor="text1"/>
                      <w:lang w:val="en-US" w:eastAsia="zh-CN" w:bidi="ar-SA"/>
                      <w14:textFill>
                        <w14:solidFill>
                          <w14:schemeClr w14:val="tx1"/>
                        </w14:solidFill>
                      </w14:textFill>
                    </w:rPr>
                  </w:pPr>
                  <w:r>
                    <w:rPr>
                      <w:rFonts w:hint="eastAsia"/>
                      <w:color w:val="000000" w:themeColor="text1"/>
                      <w:lang w:val="en-US" w:eastAsia="zh-CN" w:bidi="ar-SA"/>
                      <w14:textFill>
                        <w14:solidFill>
                          <w14:schemeClr w14:val="tx1"/>
                        </w14:solidFill>
                      </w14:textFill>
                    </w:rPr>
                    <w:t>3990.07</w:t>
                  </w:r>
                </w:p>
              </w:tc>
            </w:tr>
            <w:tr w14:paraId="14A6F3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1" w:type="pct"/>
                  <w:vMerge w:val="continue"/>
                  <w:tcBorders>
                    <w:tl2br w:val="nil"/>
                    <w:tr2bl w:val="nil"/>
                  </w:tcBorders>
                  <w:vAlign w:val="center"/>
                </w:tcPr>
                <w:p w14:paraId="507C2485">
                  <w:pPr>
                    <w:pStyle w:val="26"/>
                    <w:bidi w:val="0"/>
                    <w:jc w:val="center"/>
                    <w:rPr>
                      <w:rFonts w:hint="default"/>
                      <w:color w:val="000000" w:themeColor="text1"/>
                      <w:lang w:val="en-US" w:eastAsia="zh-CN" w:bidi="ar-SA"/>
                      <w14:textFill>
                        <w14:solidFill>
                          <w14:schemeClr w14:val="tx1"/>
                        </w14:solidFill>
                      </w14:textFill>
                    </w:rPr>
                  </w:pPr>
                </w:p>
              </w:tc>
              <w:tc>
                <w:tcPr>
                  <w:tcW w:w="991" w:type="pct"/>
                  <w:tcBorders>
                    <w:tl2br w:val="nil"/>
                    <w:tr2bl w:val="nil"/>
                  </w:tcBorders>
                  <w:vAlign w:val="center"/>
                </w:tcPr>
                <w:p w14:paraId="18DF7593">
                  <w:pPr>
                    <w:pStyle w:val="26"/>
                    <w:bidi w:val="0"/>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融合包覆机</w:t>
                  </w:r>
                </w:p>
              </w:tc>
              <w:tc>
                <w:tcPr>
                  <w:tcW w:w="1075" w:type="dxa"/>
                  <w:tcBorders>
                    <w:tl2br w:val="nil"/>
                    <w:tr2bl w:val="nil"/>
                  </w:tcBorders>
                  <w:vAlign w:val="center"/>
                </w:tcPr>
                <w:p w14:paraId="49F8E98E">
                  <w:pPr>
                    <w:pStyle w:val="26"/>
                    <w:bidi w:val="0"/>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6</w:t>
                  </w:r>
                </w:p>
              </w:tc>
              <w:tc>
                <w:tcPr>
                  <w:tcW w:w="762" w:type="pct"/>
                  <w:tcBorders>
                    <w:tl2br w:val="nil"/>
                    <w:tr2bl w:val="nil"/>
                  </w:tcBorders>
                  <w:vAlign w:val="center"/>
                </w:tcPr>
                <w:p w14:paraId="051A7E2F">
                  <w:pPr>
                    <w:pStyle w:val="26"/>
                    <w:bidi w:val="0"/>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200</w:t>
                  </w:r>
                </w:p>
              </w:tc>
              <w:tc>
                <w:tcPr>
                  <w:tcW w:w="1513" w:type="dxa"/>
                  <w:tcBorders>
                    <w:tl2br w:val="nil"/>
                    <w:tr2bl w:val="nil"/>
                  </w:tcBorders>
                  <w:vAlign w:val="center"/>
                </w:tcPr>
                <w:p w14:paraId="25A6E2D0">
                  <w:pPr>
                    <w:pStyle w:val="26"/>
                    <w:bidi w:val="0"/>
                    <w:jc w:val="center"/>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339.29</w:t>
                  </w:r>
                </w:p>
              </w:tc>
              <w:tc>
                <w:tcPr>
                  <w:tcW w:w="1491" w:type="dxa"/>
                  <w:tcBorders>
                    <w:tl2br w:val="nil"/>
                    <w:tr2bl w:val="nil"/>
                  </w:tcBorders>
                  <w:vAlign w:val="center"/>
                </w:tcPr>
                <w:p w14:paraId="5E31F491">
                  <w:pPr>
                    <w:pStyle w:val="26"/>
                    <w:bidi w:val="0"/>
                    <w:jc w:val="center"/>
                    <w:rPr>
                      <w:rFonts w:hint="default"/>
                      <w:color w:val="000000" w:themeColor="text1"/>
                      <w:lang w:val="en-US" w:eastAsia="zh-CN" w:bidi="ar-SA"/>
                      <w14:textFill>
                        <w14:solidFill>
                          <w14:schemeClr w14:val="tx1"/>
                        </w14:solidFill>
                      </w14:textFill>
                    </w:rPr>
                  </w:pPr>
                  <w:r>
                    <w:rPr>
                      <w:rFonts w:hint="eastAsia"/>
                      <w:color w:val="000000" w:themeColor="text1"/>
                      <w:lang w:val="en-US" w:eastAsia="zh-CN" w:bidi="ar-SA"/>
                      <w14:textFill>
                        <w14:solidFill>
                          <w14:schemeClr w14:val="tx1"/>
                        </w14:solidFill>
                      </w14:textFill>
                    </w:rPr>
                    <w:t>2035.75</w:t>
                  </w:r>
                </w:p>
              </w:tc>
            </w:tr>
            <w:tr w14:paraId="20B919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1" w:type="pct"/>
                  <w:vMerge w:val="continue"/>
                  <w:tcBorders>
                    <w:tl2br w:val="nil"/>
                    <w:tr2bl w:val="nil"/>
                  </w:tcBorders>
                  <w:vAlign w:val="center"/>
                </w:tcPr>
                <w:p w14:paraId="316A87DA">
                  <w:pPr>
                    <w:pStyle w:val="26"/>
                    <w:bidi w:val="0"/>
                    <w:jc w:val="center"/>
                    <w:rPr>
                      <w:rFonts w:hint="default"/>
                      <w:color w:val="000000" w:themeColor="text1"/>
                      <w:lang w:val="en-US" w:eastAsia="zh-CN" w:bidi="ar-SA"/>
                      <w14:textFill>
                        <w14:solidFill>
                          <w14:schemeClr w14:val="tx1"/>
                        </w14:solidFill>
                      </w14:textFill>
                    </w:rPr>
                  </w:pPr>
                </w:p>
              </w:tc>
              <w:tc>
                <w:tcPr>
                  <w:tcW w:w="991" w:type="pct"/>
                  <w:tcBorders>
                    <w:tl2br w:val="nil"/>
                    <w:tr2bl w:val="nil"/>
                  </w:tcBorders>
                  <w:vAlign w:val="center"/>
                </w:tcPr>
                <w:p w14:paraId="6A2017A5">
                  <w:pPr>
                    <w:pStyle w:val="26"/>
                    <w:bidi w:val="0"/>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电弧炉</w:t>
                  </w:r>
                </w:p>
              </w:tc>
              <w:tc>
                <w:tcPr>
                  <w:tcW w:w="1075" w:type="dxa"/>
                  <w:tcBorders>
                    <w:tl2br w:val="nil"/>
                    <w:tr2bl w:val="nil"/>
                  </w:tcBorders>
                  <w:vAlign w:val="center"/>
                </w:tcPr>
                <w:p w14:paraId="02BF283D">
                  <w:pPr>
                    <w:pStyle w:val="26"/>
                    <w:bidi w:val="0"/>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3</w:t>
                  </w:r>
                </w:p>
              </w:tc>
              <w:tc>
                <w:tcPr>
                  <w:tcW w:w="762" w:type="pct"/>
                  <w:tcBorders>
                    <w:tl2br w:val="nil"/>
                    <w:tr2bl w:val="nil"/>
                  </w:tcBorders>
                  <w:vAlign w:val="center"/>
                </w:tcPr>
                <w:p w14:paraId="4B9C9C21">
                  <w:pPr>
                    <w:pStyle w:val="26"/>
                    <w:bidi w:val="0"/>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40</w:t>
                  </w:r>
                </w:p>
              </w:tc>
              <w:tc>
                <w:tcPr>
                  <w:tcW w:w="1513" w:type="dxa"/>
                  <w:tcBorders>
                    <w:tl2br w:val="nil"/>
                    <w:tr2bl w:val="nil"/>
                  </w:tcBorders>
                  <w:vAlign w:val="center"/>
                </w:tcPr>
                <w:p w14:paraId="132232EE">
                  <w:pPr>
                    <w:pStyle w:val="26"/>
                    <w:bidi w:val="0"/>
                    <w:jc w:val="center"/>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13.57</w:t>
                  </w:r>
                </w:p>
              </w:tc>
              <w:tc>
                <w:tcPr>
                  <w:tcW w:w="1491" w:type="dxa"/>
                  <w:tcBorders>
                    <w:tl2br w:val="nil"/>
                    <w:tr2bl w:val="nil"/>
                  </w:tcBorders>
                  <w:vAlign w:val="center"/>
                </w:tcPr>
                <w:p w14:paraId="6C4E5AF5">
                  <w:pPr>
                    <w:pStyle w:val="26"/>
                    <w:bidi w:val="0"/>
                    <w:jc w:val="center"/>
                    <w:rPr>
                      <w:rFonts w:hint="default"/>
                      <w:color w:val="000000" w:themeColor="text1"/>
                      <w:lang w:val="en-US" w:eastAsia="zh-CN" w:bidi="ar-SA"/>
                      <w14:textFill>
                        <w14:solidFill>
                          <w14:schemeClr w14:val="tx1"/>
                        </w14:solidFill>
                      </w14:textFill>
                    </w:rPr>
                  </w:pPr>
                  <w:r>
                    <w:rPr>
                      <w:rFonts w:hint="eastAsia"/>
                      <w:color w:val="000000" w:themeColor="text1"/>
                      <w:lang w:val="en-US" w:eastAsia="zh-CN" w:bidi="ar-SA"/>
                      <w14:textFill>
                        <w14:solidFill>
                          <w14:schemeClr w14:val="tx1"/>
                        </w14:solidFill>
                      </w14:textFill>
                    </w:rPr>
                    <w:t>40.72</w:t>
                  </w:r>
                </w:p>
              </w:tc>
            </w:tr>
            <w:tr w14:paraId="33D294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02" w:type="pct"/>
                  <w:gridSpan w:val="5"/>
                  <w:tcBorders>
                    <w:tl2br w:val="nil"/>
                    <w:tr2bl w:val="nil"/>
                  </w:tcBorders>
                  <w:vAlign w:val="center"/>
                </w:tcPr>
                <w:p w14:paraId="57E45011">
                  <w:pPr>
                    <w:pStyle w:val="26"/>
                    <w:bidi w:val="0"/>
                    <w:jc w:val="center"/>
                    <w:rPr>
                      <w:rFonts w:hint="default"/>
                      <w:color w:val="000000" w:themeColor="text1"/>
                      <w:lang w:val="en-US" w:eastAsia="zh-CN" w:bidi="ar-SA"/>
                      <w14:textFill>
                        <w14:solidFill>
                          <w14:schemeClr w14:val="tx1"/>
                        </w14:solidFill>
                      </w14:textFill>
                    </w:rPr>
                  </w:pPr>
                  <w:r>
                    <w:rPr>
                      <w:rFonts w:hint="eastAsia"/>
                      <w:color w:val="000000" w:themeColor="text1"/>
                      <w:lang w:val="en-US" w:eastAsia="zh-CN" w:bidi="ar-SA"/>
                      <w14:textFill>
                        <w14:solidFill>
                          <w14:schemeClr w14:val="tx1"/>
                        </w14:solidFill>
                      </w14:textFill>
                    </w:rPr>
                    <w:t>合计</w:t>
                  </w:r>
                </w:p>
              </w:tc>
              <w:tc>
                <w:tcPr>
                  <w:tcW w:w="897" w:type="pct"/>
                  <w:tcBorders>
                    <w:tl2br w:val="nil"/>
                    <w:tr2bl w:val="nil"/>
                  </w:tcBorders>
                  <w:vAlign w:val="center"/>
                </w:tcPr>
                <w:p w14:paraId="5D8B35E4">
                  <w:pPr>
                    <w:pStyle w:val="26"/>
                    <w:bidi w:val="0"/>
                    <w:jc w:val="center"/>
                    <w:rPr>
                      <w:rFonts w:hint="default"/>
                      <w:color w:val="000000" w:themeColor="text1"/>
                      <w:lang w:val="en-US" w:eastAsia="zh-CN" w:bidi="ar-SA"/>
                      <w14:textFill>
                        <w14:solidFill>
                          <w14:schemeClr w14:val="tx1"/>
                        </w14:solidFill>
                      </w14:textFill>
                    </w:rPr>
                  </w:pPr>
                  <w:r>
                    <w:rPr>
                      <w:rFonts w:hint="eastAsia"/>
                      <w:color w:val="000000" w:themeColor="text1"/>
                      <w:lang w:val="en-US" w:eastAsia="zh-CN" w:bidi="ar-SA"/>
                      <w14:textFill>
                        <w14:solidFill>
                          <w14:schemeClr w14:val="tx1"/>
                        </w14:solidFill>
                      </w14:textFill>
                    </w:rPr>
                    <w:t>14730</w:t>
                  </w:r>
                </w:p>
              </w:tc>
            </w:tr>
            <w:tr w14:paraId="12252C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6"/>
                  <w:tcBorders>
                    <w:tl2br w:val="nil"/>
                    <w:tr2bl w:val="nil"/>
                  </w:tcBorders>
                  <w:vAlign w:val="center"/>
                </w:tcPr>
                <w:p w14:paraId="34688737">
                  <w:pPr>
                    <w:pStyle w:val="26"/>
                    <w:bidi w:val="0"/>
                    <w:jc w:val="both"/>
                    <w:rPr>
                      <w:rFonts w:hint="default"/>
                      <w:color w:val="000000" w:themeColor="text1"/>
                      <w:lang w:val="en-US" w:eastAsia="zh-CN" w:bidi="ar-SA"/>
                      <w14:textFill>
                        <w14:solidFill>
                          <w14:schemeClr w14:val="tx1"/>
                        </w14:solidFill>
                      </w14:textFill>
                    </w:rPr>
                  </w:pPr>
                  <w:r>
                    <w:rPr>
                      <w:rFonts w:hint="eastAsia"/>
                      <w:color w:val="000000" w:themeColor="text1"/>
                      <w:lang w:val="en-US" w:eastAsia="zh-CN" w:bidi="ar-SA"/>
                      <w14:textFill>
                        <w14:solidFill>
                          <w14:schemeClr w14:val="tx1"/>
                        </w14:solidFill>
                      </w14:textFill>
                    </w:rPr>
                    <w:t>注：</w:t>
                  </w:r>
                  <w:r>
                    <w:rPr>
                      <w:rFonts w:hint="eastAsia"/>
                      <w:color w:val="000000" w:themeColor="text1"/>
                      <w:highlight w:val="none"/>
                      <w:lang w:val="en-US" w:eastAsia="zh-CN" w:bidi="ar-SA"/>
                      <w14:textFill>
                        <w14:solidFill>
                          <w14:schemeClr w14:val="tx1"/>
                        </w14:solidFill>
                      </w14:textFill>
                    </w:rPr>
                    <w:t>断面平均风速V同时参照《挥发性有机物治理实用手册》，采取“减风增浓”措施，V取3 m/s。</w:t>
                  </w:r>
                </w:p>
              </w:tc>
            </w:tr>
          </w:tbl>
          <w:p w14:paraId="67FE9331">
            <w:pPr>
              <w:rPr>
                <w:rFonts w:hint="eastAsia"/>
                <w:color w:val="000000" w:themeColor="text1"/>
                <w:highlight w:val="none"/>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因此，本项目二期工程建成后全厂所需的总集气风量为14730 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/h，根据《催化燃烧法工业有机废气治理工程技术规范》(HJ 2027—2013)，有机废气的设计风量宜按照最大废气排放量的120%进行设计，即全厂总风量为17676 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/h，考虑风量损失确保废气充分收集，全厂风机风量设置为18000 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/h。</w:t>
            </w:r>
          </w:p>
          <w:p w14:paraId="3D4BA11D">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本项目一期工程废气源强产排情况详见</w:t>
            </w:r>
            <w:r>
              <w:rPr>
                <w:rFonts w:hint="eastAsia"/>
                <w:color w:val="000000" w:themeColor="text1"/>
                <w:highlight w:val="none"/>
                <w:lang w:val="en-US" w:eastAsia="zh-CN"/>
                <w14:textFill>
                  <w14:solidFill>
                    <w14:schemeClr w14:val="tx1"/>
                  </w14:solidFill>
                </w14:textFill>
              </w:rPr>
              <w:fldChar w:fldCharType="begin"/>
            </w:r>
            <w:r>
              <w:rPr>
                <w:rFonts w:hint="eastAsia"/>
                <w:color w:val="000000" w:themeColor="text1"/>
                <w:highlight w:val="none"/>
                <w:lang w:val="en-US" w:eastAsia="zh-CN"/>
                <w14:textFill>
                  <w14:solidFill>
                    <w14:schemeClr w14:val="tx1"/>
                  </w14:solidFill>
                </w14:textFill>
              </w:rPr>
              <w:instrText xml:space="preserve"> REF _Ref9885 \n \h </w:instrText>
            </w:r>
            <w:r>
              <w:rPr>
                <w:rFonts w:hint="eastAsia"/>
                <w:color w:val="000000" w:themeColor="text1"/>
                <w:highlight w:val="none"/>
                <w:lang w:val="en-US" w:eastAsia="zh-CN"/>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表4.1-18</w:t>
            </w:r>
            <w:r>
              <w:rPr>
                <w:rFonts w:hint="eastAsia"/>
                <w:color w:val="000000" w:themeColor="text1"/>
                <w:highlight w:val="none"/>
                <w:lang w:val="en-US" w:eastAsia="zh-CN"/>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，一期工程建成后废气产排情况汇总详见</w:t>
            </w:r>
            <w:r>
              <w:rPr>
                <w:rFonts w:hint="eastAsia"/>
                <w:color w:val="000000" w:themeColor="text1"/>
                <w:highlight w:val="none"/>
                <w:lang w:val="en-US" w:eastAsia="zh-CN"/>
                <w14:textFill>
                  <w14:solidFill>
                    <w14:schemeClr w14:val="tx1"/>
                  </w14:solidFill>
                </w14:textFill>
              </w:rPr>
              <w:fldChar w:fldCharType="begin"/>
            </w:r>
            <w:r>
              <w:rPr>
                <w:rFonts w:hint="eastAsia"/>
                <w:color w:val="000000" w:themeColor="text1"/>
                <w:highlight w:val="none"/>
                <w:lang w:val="en-US" w:eastAsia="zh-CN"/>
                <w14:textFill>
                  <w14:solidFill>
                    <w14:schemeClr w14:val="tx1"/>
                  </w14:solidFill>
                </w14:textFill>
              </w:rPr>
              <w:instrText xml:space="preserve"> REF _Ref2676 \n \h </w:instrText>
            </w:r>
            <w:r>
              <w:rPr>
                <w:rFonts w:hint="eastAsia"/>
                <w:color w:val="000000" w:themeColor="text1"/>
                <w:highlight w:val="none"/>
                <w:lang w:val="en-US" w:eastAsia="zh-CN"/>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表4.1-19</w:t>
            </w:r>
            <w:r>
              <w:rPr>
                <w:rFonts w:hint="eastAsia"/>
                <w:color w:val="000000" w:themeColor="text1"/>
                <w:highlight w:val="none"/>
                <w:lang w:val="en-US" w:eastAsia="zh-CN"/>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，二期工程废气产排情况详见</w:t>
            </w:r>
            <w:r>
              <w:rPr>
                <w:rFonts w:hint="eastAsia"/>
                <w:color w:val="000000" w:themeColor="text1"/>
                <w:highlight w:val="none"/>
                <w:lang w:val="en-US" w:eastAsia="zh-CN"/>
                <w14:textFill>
                  <w14:solidFill>
                    <w14:schemeClr w14:val="tx1"/>
                  </w14:solidFill>
                </w14:textFill>
              </w:rPr>
              <w:fldChar w:fldCharType="begin"/>
            </w:r>
            <w:r>
              <w:rPr>
                <w:rFonts w:hint="eastAsia"/>
                <w:color w:val="000000" w:themeColor="text1"/>
                <w:highlight w:val="none"/>
                <w:lang w:val="en-US" w:eastAsia="zh-CN"/>
                <w14:textFill>
                  <w14:solidFill>
                    <w14:schemeClr w14:val="tx1"/>
                  </w14:solidFill>
                </w14:textFill>
              </w:rPr>
              <w:instrText xml:space="preserve"> REF _Ref2721 \n \h </w:instrText>
            </w:r>
            <w:r>
              <w:rPr>
                <w:rFonts w:hint="eastAsia"/>
                <w:color w:val="000000" w:themeColor="text1"/>
                <w:highlight w:val="none"/>
                <w:lang w:val="en-US" w:eastAsia="zh-CN"/>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表4.1-20</w:t>
            </w:r>
            <w:r>
              <w:rPr>
                <w:rFonts w:hint="eastAsia"/>
                <w:color w:val="000000" w:themeColor="text1"/>
                <w:highlight w:val="none"/>
                <w:lang w:val="en-US" w:eastAsia="zh-CN"/>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，二期工程建成后全厂废气产排情况汇总详见</w:t>
            </w:r>
            <w:r>
              <w:rPr>
                <w:rFonts w:hint="eastAsia"/>
                <w:color w:val="000000" w:themeColor="text1"/>
                <w:highlight w:val="none"/>
                <w:lang w:val="en-US" w:eastAsia="zh-CN"/>
                <w14:textFill>
                  <w14:solidFill>
                    <w14:schemeClr w14:val="tx1"/>
                  </w14:solidFill>
                </w14:textFill>
              </w:rPr>
              <w:fldChar w:fldCharType="begin"/>
            </w:r>
            <w:r>
              <w:rPr>
                <w:rFonts w:hint="eastAsia"/>
                <w:color w:val="000000" w:themeColor="text1"/>
                <w:highlight w:val="none"/>
                <w:lang w:val="en-US" w:eastAsia="zh-CN"/>
                <w14:textFill>
                  <w14:solidFill>
                    <w14:schemeClr w14:val="tx1"/>
                  </w14:solidFill>
                </w14:textFill>
              </w:rPr>
              <w:instrText xml:space="preserve"> REF _Ref9895 \n \h </w:instrText>
            </w:r>
            <w:r>
              <w:rPr>
                <w:rFonts w:hint="eastAsia"/>
                <w:color w:val="000000" w:themeColor="text1"/>
                <w:highlight w:val="none"/>
                <w:lang w:val="en-US" w:eastAsia="zh-CN"/>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表4.1-21</w:t>
            </w:r>
            <w:r>
              <w:rPr>
                <w:rFonts w:hint="eastAsia"/>
                <w:color w:val="000000" w:themeColor="text1"/>
                <w:highlight w:val="none"/>
                <w:lang w:val="en-US" w:eastAsia="zh-CN"/>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w:t>
            </w:r>
          </w:p>
          <w:p w14:paraId="2A271D05">
            <w:pPr>
              <w:rPr>
                <w:rFonts w:hint="eastAsia"/>
                <w:color w:val="000000" w:themeColor="text1"/>
                <w:highlight w:val="none"/>
                <w:lang w:val="en-US" w:eastAsia="zh-CN"/>
                <w14:textFill>
                  <w14:solidFill>
                    <w14:schemeClr w14:val="tx1"/>
                  </w14:solidFill>
                </w14:textFill>
              </w:rPr>
            </w:pPr>
          </w:p>
          <w:p w14:paraId="25089982">
            <w:pPr>
              <w:rPr>
                <w:rFonts w:hint="default"/>
                <w:color w:val="000000" w:themeColor="text1"/>
                <w:highlight w:val="none"/>
                <w:lang w:val="en-US" w:eastAsia="zh-CN"/>
                <w14:textFill>
                  <w14:solidFill>
                    <w14:schemeClr w14:val="tx1"/>
                  </w14:solidFill>
                </w14:textFill>
              </w:rPr>
            </w:pPr>
          </w:p>
        </w:tc>
      </w:tr>
    </w:tbl>
    <w:p w14:paraId="0CD1783D">
      <w:pPr>
        <w:numPr>
          <w:ilvl w:val="0"/>
          <w:numId w:val="0"/>
        </w:numPr>
        <w:tabs>
          <w:tab w:val="left" w:pos="0"/>
        </w:tabs>
        <w:bidi w:val="0"/>
        <w:ind w:leftChars="200"/>
        <w:rPr>
          <w:rFonts w:hint="default"/>
          <w:color w:val="000000" w:themeColor="text1"/>
          <w:highlight w:val="none"/>
          <w:lang w:eastAsia="zh-CN"/>
          <w14:textFill>
            <w14:solidFill>
              <w14:schemeClr w14:val="tx1"/>
            </w14:solidFill>
          </w14:textFill>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3"/>
        <w:gridCol w:w="13607"/>
      </w:tblGrid>
      <w:tr w14:paraId="09791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9" w:hRule="atLeast"/>
        </w:trPr>
        <w:tc>
          <w:tcPr>
            <w:tcW w:w="613" w:type="dxa"/>
            <w:noWrap w:val="0"/>
            <w:vAlign w:val="center"/>
          </w:tcPr>
          <w:p w14:paraId="3AFAD6EE">
            <w:pPr>
              <w:pStyle w:val="26"/>
              <w:bidi w:val="0"/>
              <w:jc w:val="center"/>
              <w:rPr>
                <w:rFonts w:hint="default"/>
                <w:color w:val="000000" w:themeColor="text1"/>
                <w:highlight w:val="none"/>
                <w:lang w:val="en-US" w:eastAsia="zh-CN" w:bidi="ar-SA"/>
                <w14:textFill>
                  <w14:solidFill>
                    <w14:schemeClr w14:val="tx1"/>
                  </w14:solidFill>
                </w14:textFill>
              </w:rPr>
            </w:pPr>
          </w:p>
        </w:tc>
        <w:tc>
          <w:tcPr>
            <w:tcW w:w="13607" w:type="dxa"/>
            <w:noWrap w:val="0"/>
            <w:vAlign w:val="center"/>
          </w:tcPr>
          <w:p w14:paraId="543B4FBC">
            <w:pPr>
              <w:pStyle w:val="30"/>
              <w:bidi w:val="0"/>
              <w:rPr>
                <w:rFonts w:hint="default"/>
                <w:color w:val="000000" w:themeColor="text1"/>
                <w:highlight w:val="none"/>
                <w:lang w:eastAsia="zh-CN"/>
                <w14:textFill>
                  <w14:solidFill>
                    <w14:schemeClr w14:val="tx1"/>
                  </w14:solidFill>
                </w14:textFill>
              </w:rPr>
            </w:pPr>
            <w:bookmarkStart w:id="185" w:name="_Ref9885"/>
            <w:r>
              <w:rPr>
                <w:rFonts w:hint="eastAsia"/>
                <w:color w:val="000000" w:themeColor="text1"/>
                <w:highlight w:val="none"/>
                <w:lang w:val="en-US" w:eastAsia="zh-CN"/>
                <w14:textFill>
                  <w14:solidFill>
                    <w14:schemeClr w14:val="tx1"/>
                  </w14:solidFill>
                </w14:textFill>
              </w:rPr>
              <w:t>一期工程废气产排情况一览表</w:t>
            </w:r>
            <w:bookmarkEnd w:id="185"/>
          </w:p>
          <w:tbl>
            <w:tblPr>
              <w:tblStyle w:val="1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5"/>
              <w:gridCol w:w="1066"/>
              <w:gridCol w:w="995"/>
              <w:gridCol w:w="1390"/>
              <w:gridCol w:w="1028"/>
              <w:gridCol w:w="1306"/>
              <w:gridCol w:w="1293"/>
              <w:gridCol w:w="1127"/>
              <w:gridCol w:w="827"/>
              <w:gridCol w:w="1301"/>
              <w:gridCol w:w="1266"/>
              <w:gridCol w:w="813"/>
            </w:tblGrid>
            <w:tr w14:paraId="291B0D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62" w:type="pct"/>
                  <w:gridSpan w:val="2"/>
                  <w:vMerge w:val="restart"/>
                  <w:tcBorders>
                    <w:tl2br w:val="nil"/>
                    <w:tr2bl w:val="nil"/>
                  </w:tcBorders>
                  <w:noWrap w:val="0"/>
                  <w:vAlign w:val="center"/>
                </w:tcPr>
                <w:p w14:paraId="01254E6F">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工序/生产线</w:t>
                  </w:r>
                </w:p>
              </w:tc>
              <w:tc>
                <w:tcPr>
                  <w:tcW w:w="371" w:type="pct"/>
                  <w:vMerge w:val="restart"/>
                  <w:tcBorders>
                    <w:tl2br w:val="nil"/>
                    <w:tr2bl w:val="nil"/>
                  </w:tcBorders>
                  <w:noWrap w:val="0"/>
                  <w:vAlign w:val="center"/>
                </w:tcPr>
                <w:p w14:paraId="778146D7">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污染源</w:t>
                  </w:r>
                </w:p>
              </w:tc>
              <w:tc>
                <w:tcPr>
                  <w:tcW w:w="519" w:type="pct"/>
                  <w:vMerge w:val="restart"/>
                  <w:tcBorders>
                    <w:tl2br w:val="nil"/>
                    <w:tr2bl w:val="nil"/>
                  </w:tcBorders>
                  <w:noWrap w:val="0"/>
                  <w:vAlign w:val="center"/>
                </w:tcPr>
                <w:p w14:paraId="49AD865A">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污染物</w:t>
                  </w:r>
                </w:p>
              </w:tc>
              <w:tc>
                <w:tcPr>
                  <w:tcW w:w="383" w:type="pct"/>
                  <w:vMerge w:val="restart"/>
                  <w:tcBorders>
                    <w:tl2br w:val="nil"/>
                    <w:tr2bl w:val="nil"/>
                  </w:tcBorders>
                  <w:noWrap w:val="0"/>
                  <w:vAlign w:val="center"/>
                </w:tcPr>
                <w:p w14:paraId="0EDA09B3">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废气量/（m</w:t>
                  </w:r>
                  <w:r>
                    <w:rPr>
                      <w:rFonts w:hint="default" w:ascii="Times New Roman" w:hAnsi="Times New Roman" w:cs="Times New Roman"/>
                      <w:color w:val="000000" w:themeColor="text1"/>
                      <w:szCs w:val="20"/>
                      <w:highlight w:val="none"/>
                      <w:vertAlign w:val="superscript"/>
                      <w:lang w:val="en-US" w:eastAsia="zh-CN" w:bidi="ar-SA"/>
                      <w14:textFill>
                        <w14:solidFill>
                          <w14:schemeClr w14:val="tx1"/>
                        </w14:solidFill>
                      </w14:textFill>
                    </w:rPr>
                    <w:t>3</w:t>
                  </w: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/h）</w:t>
                  </w:r>
                </w:p>
              </w:tc>
              <w:tc>
                <w:tcPr>
                  <w:tcW w:w="970" w:type="pct"/>
                  <w:gridSpan w:val="2"/>
                  <w:tcBorders>
                    <w:tl2br w:val="nil"/>
                    <w:tr2bl w:val="nil"/>
                  </w:tcBorders>
                  <w:noWrap w:val="0"/>
                  <w:vAlign w:val="center"/>
                </w:tcPr>
                <w:p w14:paraId="7C1A5420">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污染物产生</w:t>
                  </w:r>
                </w:p>
              </w:tc>
              <w:tc>
                <w:tcPr>
                  <w:tcW w:w="729" w:type="pct"/>
                  <w:gridSpan w:val="2"/>
                  <w:tcBorders>
                    <w:tl2br w:val="nil"/>
                    <w:tr2bl w:val="nil"/>
                  </w:tcBorders>
                  <w:noWrap w:val="0"/>
                  <w:vAlign w:val="center"/>
                </w:tcPr>
                <w:p w14:paraId="3F3154BD">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治理措施</w:t>
                  </w:r>
                </w:p>
              </w:tc>
              <w:tc>
                <w:tcPr>
                  <w:tcW w:w="958" w:type="pct"/>
                  <w:gridSpan w:val="2"/>
                  <w:tcBorders>
                    <w:tl2br w:val="nil"/>
                    <w:tr2bl w:val="nil"/>
                  </w:tcBorders>
                  <w:noWrap w:val="0"/>
                  <w:vAlign w:val="center"/>
                </w:tcPr>
                <w:p w14:paraId="00AB5C59">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污染物排放</w:t>
                  </w:r>
                </w:p>
              </w:tc>
              <w:tc>
                <w:tcPr>
                  <w:tcW w:w="303" w:type="pct"/>
                  <w:vMerge w:val="restart"/>
                  <w:tcBorders>
                    <w:tl2br w:val="nil"/>
                    <w:tr2bl w:val="nil"/>
                  </w:tcBorders>
                  <w:noWrap w:val="0"/>
                  <w:vAlign w:val="center"/>
                </w:tcPr>
                <w:p w14:paraId="420B0668">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年</w:t>
                  </w: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排放时间/h</w:t>
                  </w:r>
                </w:p>
              </w:tc>
            </w:tr>
            <w:tr w14:paraId="10BCC6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62" w:type="pct"/>
                  <w:gridSpan w:val="2"/>
                  <w:vMerge w:val="continue"/>
                  <w:tcBorders>
                    <w:tl2br w:val="nil"/>
                    <w:tr2bl w:val="nil"/>
                  </w:tcBorders>
                  <w:noWrap w:val="0"/>
                  <w:vAlign w:val="center"/>
                </w:tcPr>
                <w:p w14:paraId="0A3CFCBD">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p>
              </w:tc>
              <w:tc>
                <w:tcPr>
                  <w:tcW w:w="371" w:type="pct"/>
                  <w:vMerge w:val="continue"/>
                  <w:tcBorders>
                    <w:tl2br w:val="nil"/>
                    <w:tr2bl w:val="nil"/>
                  </w:tcBorders>
                  <w:noWrap w:val="0"/>
                  <w:vAlign w:val="center"/>
                </w:tcPr>
                <w:p w14:paraId="2A550CDF">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p>
              </w:tc>
              <w:tc>
                <w:tcPr>
                  <w:tcW w:w="519" w:type="pct"/>
                  <w:vMerge w:val="continue"/>
                  <w:tcBorders>
                    <w:tl2br w:val="nil"/>
                    <w:tr2bl w:val="nil"/>
                  </w:tcBorders>
                  <w:noWrap w:val="0"/>
                  <w:vAlign w:val="center"/>
                </w:tcPr>
                <w:p w14:paraId="1FE7778E">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p>
              </w:tc>
              <w:tc>
                <w:tcPr>
                  <w:tcW w:w="383" w:type="pct"/>
                  <w:vMerge w:val="continue"/>
                  <w:tcBorders>
                    <w:tl2br w:val="nil"/>
                    <w:tr2bl w:val="nil"/>
                  </w:tcBorders>
                  <w:noWrap w:val="0"/>
                  <w:vAlign w:val="center"/>
                </w:tcPr>
                <w:p w14:paraId="09E7B87C">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p>
              </w:tc>
              <w:tc>
                <w:tcPr>
                  <w:tcW w:w="487" w:type="pct"/>
                  <w:tcBorders>
                    <w:tl2br w:val="nil"/>
                    <w:tr2bl w:val="nil"/>
                  </w:tcBorders>
                  <w:noWrap w:val="0"/>
                  <w:vAlign w:val="center"/>
                </w:tcPr>
                <w:p w14:paraId="05B8DF9A">
                  <w:pPr>
                    <w:pStyle w:val="26"/>
                    <w:keepNext w:val="0"/>
                    <w:keepLines w:val="0"/>
                    <w:widowControl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产生浓度/（mg/m</w:t>
                  </w:r>
                  <w:r>
                    <w:rPr>
                      <w:rFonts w:hint="default" w:ascii="Times New Roman" w:hAnsi="Times New Roman" w:cs="Times New Roman"/>
                      <w:color w:val="000000" w:themeColor="text1"/>
                      <w:szCs w:val="20"/>
                      <w:highlight w:val="none"/>
                      <w:vertAlign w:val="superscript"/>
                      <w:lang w:val="en-US" w:eastAsia="zh-CN" w:bidi="ar-SA"/>
                      <w14:textFill>
                        <w14:solidFill>
                          <w14:schemeClr w14:val="tx1"/>
                        </w14:solidFill>
                      </w14:textFill>
                    </w:rPr>
                    <w:t>3</w:t>
                  </w: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w:t>
                  </w:r>
                </w:p>
              </w:tc>
              <w:tc>
                <w:tcPr>
                  <w:tcW w:w="482" w:type="pct"/>
                  <w:tcBorders>
                    <w:tl2br w:val="nil"/>
                    <w:tr2bl w:val="nil"/>
                  </w:tcBorders>
                  <w:noWrap w:val="0"/>
                  <w:vAlign w:val="center"/>
                </w:tcPr>
                <w:p w14:paraId="5E2C195B">
                  <w:pPr>
                    <w:pStyle w:val="26"/>
                    <w:keepNext w:val="0"/>
                    <w:keepLines w:val="0"/>
                    <w:widowControl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产生</w:t>
                  </w:r>
                  <w:r>
                    <w:rPr>
                      <w:rFonts w:hint="eastAsia" w:cs="Times New Roman"/>
                      <w:color w:val="000000" w:themeColor="text1"/>
                      <w:szCs w:val="20"/>
                      <w:highlight w:val="none"/>
                      <w:lang w:val="en-US" w:eastAsia="zh-CN" w:bidi="ar-SA"/>
                      <w14:textFill>
                        <w14:solidFill>
                          <w14:schemeClr w14:val="tx1"/>
                        </w14:solidFill>
                      </w14:textFill>
                    </w:rPr>
                    <w:t>速率</w:t>
                  </w: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/（kg/h）</w:t>
                  </w:r>
                </w:p>
              </w:tc>
              <w:tc>
                <w:tcPr>
                  <w:tcW w:w="420" w:type="pct"/>
                  <w:tcBorders>
                    <w:tl2br w:val="nil"/>
                    <w:tr2bl w:val="nil"/>
                  </w:tcBorders>
                  <w:noWrap w:val="0"/>
                  <w:vAlign w:val="center"/>
                </w:tcPr>
                <w:p w14:paraId="49B4BFC2">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工艺</w:t>
                  </w:r>
                </w:p>
              </w:tc>
              <w:tc>
                <w:tcPr>
                  <w:tcW w:w="308" w:type="pct"/>
                  <w:tcBorders>
                    <w:tl2br w:val="nil"/>
                    <w:tr2bl w:val="nil"/>
                  </w:tcBorders>
                  <w:noWrap w:val="0"/>
                  <w:vAlign w:val="center"/>
                </w:tcPr>
                <w:p w14:paraId="4ECF2245">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效率/%</w:t>
                  </w:r>
                </w:p>
              </w:tc>
              <w:tc>
                <w:tcPr>
                  <w:tcW w:w="485" w:type="pct"/>
                  <w:tcBorders>
                    <w:tl2br w:val="nil"/>
                    <w:tr2bl w:val="nil"/>
                  </w:tcBorders>
                  <w:noWrap w:val="0"/>
                  <w:vAlign w:val="center"/>
                </w:tcPr>
                <w:p w14:paraId="207858F3">
                  <w:pPr>
                    <w:pStyle w:val="26"/>
                    <w:keepNext w:val="0"/>
                    <w:keepLines w:val="0"/>
                    <w:widowControl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排放浓度/（mg/m</w:t>
                  </w:r>
                  <w:r>
                    <w:rPr>
                      <w:rFonts w:hint="default" w:ascii="Times New Roman" w:hAnsi="Times New Roman" w:cs="Times New Roman"/>
                      <w:color w:val="000000" w:themeColor="text1"/>
                      <w:szCs w:val="20"/>
                      <w:highlight w:val="none"/>
                      <w:vertAlign w:val="superscript"/>
                      <w:lang w:val="en-US" w:eastAsia="zh-CN" w:bidi="ar-SA"/>
                      <w14:textFill>
                        <w14:solidFill>
                          <w14:schemeClr w14:val="tx1"/>
                        </w14:solidFill>
                      </w14:textFill>
                    </w:rPr>
                    <w:t>3</w:t>
                  </w: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w:t>
                  </w:r>
                </w:p>
              </w:tc>
              <w:tc>
                <w:tcPr>
                  <w:tcW w:w="472" w:type="pct"/>
                  <w:tcBorders>
                    <w:tl2br w:val="nil"/>
                    <w:tr2bl w:val="nil"/>
                  </w:tcBorders>
                  <w:noWrap w:val="0"/>
                  <w:vAlign w:val="center"/>
                </w:tcPr>
                <w:p w14:paraId="594420B2">
                  <w:pPr>
                    <w:pStyle w:val="26"/>
                    <w:keepNext w:val="0"/>
                    <w:keepLines w:val="0"/>
                    <w:widowControl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排放</w:t>
                  </w:r>
                  <w:r>
                    <w:rPr>
                      <w:rFonts w:hint="eastAsia" w:cs="Times New Roman"/>
                      <w:color w:val="000000" w:themeColor="text1"/>
                      <w:szCs w:val="20"/>
                      <w:highlight w:val="none"/>
                      <w:lang w:val="en-US" w:eastAsia="zh-CN" w:bidi="ar-SA"/>
                      <w14:textFill>
                        <w14:solidFill>
                          <w14:schemeClr w14:val="tx1"/>
                        </w14:solidFill>
                      </w14:textFill>
                    </w:rPr>
                    <w:t>速率</w:t>
                  </w: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/（kg/h）</w:t>
                  </w:r>
                </w:p>
              </w:tc>
              <w:tc>
                <w:tcPr>
                  <w:tcW w:w="303" w:type="pct"/>
                  <w:vMerge w:val="continue"/>
                  <w:tcBorders>
                    <w:tl2br w:val="nil"/>
                    <w:tr2bl w:val="nil"/>
                  </w:tcBorders>
                  <w:noWrap w:val="0"/>
                  <w:vAlign w:val="center"/>
                </w:tcPr>
                <w:p w14:paraId="20069A3F">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p>
              </w:tc>
            </w:tr>
            <w:tr w14:paraId="570BD7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4" w:type="pct"/>
                  <w:vMerge w:val="restart"/>
                  <w:tcBorders>
                    <w:tl2br w:val="nil"/>
                    <w:tr2bl w:val="nil"/>
                  </w:tcBorders>
                  <w:noWrap w:val="0"/>
                  <w:vAlign w:val="center"/>
                </w:tcPr>
                <w:p w14:paraId="2589305F">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一期单壁碳纳米管</w:t>
                  </w:r>
                </w:p>
              </w:tc>
              <w:tc>
                <w:tcPr>
                  <w:tcW w:w="398" w:type="pct"/>
                  <w:tcBorders>
                    <w:tl2br w:val="nil"/>
                    <w:tr2bl w:val="nil"/>
                  </w:tcBorders>
                  <w:noWrap w:val="0"/>
                  <w:vAlign w:val="center"/>
                </w:tcPr>
                <w:p w14:paraId="77A256A9">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烘干</w:t>
                  </w:r>
                </w:p>
              </w:tc>
              <w:tc>
                <w:tcPr>
                  <w:tcW w:w="371" w:type="pct"/>
                  <w:vMerge w:val="restart"/>
                  <w:tcBorders>
                    <w:tl2br w:val="nil"/>
                    <w:tr2bl w:val="nil"/>
                  </w:tcBorders>
                  <w:noWrap w:val="0"/>
                  <w:vAlign w:val="center"/>
                </w:tcPr>
                <w:p w14:paraId="69240CBC">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排气筒DA001</w:t>
                  </w:r>
                </w:p>
              </w:tc>
              <w:tc>
                <w:tcPr>
                  <w:tcW w:w="519" w:type="pct"/>
                  <w:tcBorders>
                    <w:tl2br w:val="nil"/>
                    <w:tr2bl w:val="nil"/>
                  </w:tcBorders>
                  <w:noWrap w:val="0"/>
                  <w:vAlign w:val="center"/>
                </w:tcPr>
                <w:p w14:paraId="0AB9040D">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非甲烷总烃</w:t>
                  </w:r>
                </w:p>
              </w:tc>
              <w:tc>
                <w:tcPr>
                  <w:tcW w:w="383" w:type="pct"/>
                  <w:vMerge w:val="restart"/>
                  <w:tcBorders>
                    <w:tl2br w:val="nil"/>
                    <w:tr2bl w:val="nil"/>
                  </w:tcBorders>
                  <w:noWrap w:val="0"/>
                  <w:vAlign w:val="center"/>
                </w:tcPr>
                <w:p w14:paraId="0CA02296">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10</w:t>
                  </w:r>
                  <w:r>
                    <w:rPr>
                      <w:rFonts w:hint="default"/>
                      <w:color w:val="000000" w:themeColor="text1"/>
                      <w:highlight w:val="none"/>
                      <w:lang w:val="en-US" w:eastAsia="zh-CN" w:bidi="ar-SA"/>
                      <w14:textFill>
                        <w14:solidFill>
                          <w14:schemeClr w14:val="tx1"/>
                        </w14:solidFill>
                      </w14:textFill>
                    </w:rPr>
                    <w:t>000</w:t>
                  </w:r>
                </w:p>
              </w:tc>
              <w:tc>
                <w:tcPr>
                  <w:tcW w:w="487" w:type="pct"/>
                  <w:tcBorders>
                    <w:tl2br w:val="nil"/>
                    <w:tr2bl w:val="nil"/>
                  </w:tcBorders>
                  <w:noWrap w:val="0"/>
                  <w:vAlign w:val="center"/>
                </w:tcPr>
                <w:p w14:paraId="5DF6EADE">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9.80</w:t>
                  </w:r>
                </w:p>
              </w:tc>
              <w:tc>
                <w:tcPr>
                  <w:tcW w:w="482" w:type="pct"/>
                  <w:tcBorders>
                    <w:tl2br w:val="nil"/>
                    <w:tr2bl w:val="nil"/>
                  </w:tcBorders>
                  <w:noWrap w:val="0"/>
                  <w:vAlign w:val="center"/>
                </w:tcPr>
                <w:p w14:paraId="79149290">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0.0980</w:t>
                  </w:r>
                </w:p>
              </w:tc>
              <w:tc>
                <w:tcPr>
                  <w:tcW w:w="420" w:type="pct"/>
                  <w:vMerge w:val="restart"/>
                  <w:tcBorders>
                    <w:tl2br w:val="nil"/>
                    <w:tr2bl w:val="nil"/>
                  </w:tcBorders>
                  <w:noWrap w:val="0"/>
                  <w:vAlign w:val="center"/>
                </w:tcPr>
                <w:p w14:paraId="411274B6">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布袋除尘+两级活性炭吸附装置</w:t>
                  </w:r>
                </w:p>
              </w:tc>
              <w:tc>
                <w:tcPr>
                  <w:tcW w:w="308" w:type="pct"/>
                  <w:tcBorders>
                    <w:tl2br w:val="nil"/>
                    <w:tr2bl w:val="nil"/>
                  </w:tcBorders>
                  <w:noWrap w:val="0"/>
                  <w:vAlign w:val="center"/>
                </w:tcPr>
                <w:p w14:paraId="7FF33EE0">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80</w:t>
                  </w:r>
                </w:p>
              </w:tc>
              <w:tc>
                <w:tcPr>
                  <w:tcW w:w="485" w:type="pct"/>
                  <w:tcBorders>
                    <w:tl2br w:val="nil"/>
                    <w:tr2bl w:val="nil"/>
                  </w:tcBorders>
                  <w:noWrap w:val="0"/>
                  <w:vAlign w:val="center"/>
                </w:tcPr>
                <w:p w14:paraId="1DE4D027">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1.96</w:t>
                  </w:r>
                </w:p>
              </w:tc>
              <w:tc>
                <w:tcPr>
                  <w:tcW w:w="472" w:type="pct"/>
                  <w:tcBorders>
                    <w:tl2br w:val="nil"/>
                    <w:tr2bl w:val="nil"/>
                  </w:tcBorders>
                  <w:noWrap w:val="0"/>
                  <w:vAlign w:val="center"/>
                </w:tcPr>
                <w:p w14:paraId="187A5F93">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0.0196</w:t>
                  </w:r>
                </w:p>
              </w:tc>
              <w:tc>
                <w:tcPr>
                  <w:tcW w:w="303" w:type="pct"/>
                  <w:tcBorders>
                    <w:tl2br w:val="nil"/>
                    <w:tr2bl w:val="nil"/>
                  </w:tcBorders>
                  <w:noWrap w:val="0"/>
                  <w:vAlign w:val="center"/>
                </w:tcPr>
                <w:p w14:paraId="086D6BE1">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1200</w:t>
                  </w:r>
                </w:p>
              </w:tc>
            </w:tr>
            <w:tr w14:paraId="47ABEC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4" w:type="pct"/>
                  <w:vMerge w:val="continue"/>
                  <w:tcBorders>
                    <w:tl2br w:val="nil"/>
                    <w:tr2bl w:val="nil"/>
                  </w:tcBorders>
                  <w:noWrap w:val="0"/>
                  <w:vAlign w:val="center"/>
                </w:tcPr>
                <w:p w14:paraId="33AEBE68">
                  <w:pPr>
                    <w:pStyle w:val="26"/>
                    <w:bidi w:val="0"/>
                    <w:jc w:val="center"/>
                    <w:rPr>
                      <w:rFonts w:hint="eastAsia" w:ascii="Times New Roman" w:hAnsi="Times New Roman" w:cs="Times New Roman"/>
                      <w:color w:val="000000" w:themeColor="text1"/>
                      <w:highlight w:val="none"/>
                      <w:lang w:val="en-US" w:eastAsia="zh-CN" w:bidi="ar-SA"/>
                      <w14:textFill>
                        <w14:solidFill>
                          <w14:schemeClr w14:val="tx1"/>
                        </w14:solidFill>
                      </w14:textFill>
                    </w:rPr>
                  </w:pPr>
                </w:p>
              </w:tc>
              <w:tc>
                <w:tcPr>
                  <w:tcW w:w="398" w:type="pct"/>
                  <w:tcBorders>
                    <w:tl2br w:val="nil"/>
                    <w:tr2bl w:val="nil"/>
                  </w:tcBorders>
                  <w:noWrap w:val="0"/>
                  <w:vAlign w:val="center"/>
                </w:tcPr>
                <w:p w14:paraId="5C6497F6">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引弧放电</w:t>
                  </w:r>
                </w:p>
              </w:tc>
              <w:tc>
                <w:tcPr>
                  <w:tcW w:w="371" w:type="pct"/>
                  <w:vMerge w:val="continue"/>
                  <w:tcBorders>
                    <w:tl2br w:val="nil"/>
                    <w:tr2bl w:val="nil"/>
                  </w:tcBorders>
                  <w:noWrap w:val="0"/>
                  <w:vAlign w:val="center"/>
                </w:tcPr>
                <w:p w14:paraId="6241893D">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519" w:type="pct"/>
                  <w:tcBorders>
                    <w:tl2br w:val="nil"/>
                    <w:tr2bl w:val="nil"/>
                  </w:tcBorders>
                  <w:noWrap w:val="0"/>
                  <w:vAlign w:val="center"/>
                </w:tcPr>
                <w:p w14:paraId="72450E22">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非甲烷总烃</w:t>
                  </w:r>
                </w:p>
              </w:tc>
              <w:tc>
                <w:tcPr>
                  <w:tcW w:w="383" w:type="pct"/>
                  <w:vMerge w:val="continue"/>
                  <w:tcBorders>
                    <w:tl2br w:val="nil"/>
                    <w:tr2bl w:val="nil"/>
                  </w:tcBorders>
                  <w:noWrap w:val="0"/>
                  <w:vAlign w:val="center"/>
                </w:tcPr>
                <w:p w14:paraId="176740AF">
                  <w:pPr>
                    <w:pStyle w:val="26"/>
                    <w:bidi w:val="0"/>
                    <w:jc w:val="center"/>
                    <w:rPr>
                      <w:rFonts w:hint="default"/>
                      <w:color w:val="000000" w:themeColor="text1"/>
                      <w:highlight w:val="none"/>
                      <w:lang w:val="en-US" w:eastAsia="zh-CN" w:bidi="ar-SA"/>
                      <w14:textFill>
                        <w14:solidFill>
                          <w14:schemeClr w14:val="tx1"/>
                        </w14:solidFill>
                      </w14:textFill>
                    </w:rPr>
                  </w:pPr>
                </w:p>
              </w:tc>
              <w:tc>
                <w:tcPr>
                  <w:tcW w:w="487" w:type="pct"/>
                  <w:tcBorders>
                    <w:tl2br w:val="nil"/>
                    <w:tr2bl w:val="nil"/>
                  </w:tcBorders>
                  <w:noWrap w:val="0"/>
                  <w:vAlign w:val="center"/>
                </w:tcPr>
                <w:p w14:paraId="1B29B834">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8.17</w:t>
                  </w:r>
                </w:p>
              </w:tc>
              <w:tc>
                <w:tcPr>
                  <w:tcW w:w="482" w:type="pct"/>
                  <w:tcBorders>
                    <w:tl2br w:val="nil"/>
                    <w:tr2bl w:val="nil"/>
                  </w:tcBorders>
                  <w:noWrap w:val="0"/>
                  <w:vAlign w:val="center"/>
                </w:tcPr>
                <w:p w14:paraId="40F14A7B">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0.0817</w:t>
                  </w:r>
                </w:p>
              </w:tc>
              <w:tc>
                <w:tcPr>
                  <w:tcW w:w="420" w:type="pct"/>
                  <w:vMerge w:val="continue"/>
                  <w:tcBorders>
                    <w:tl2br w:val="nil"/>
                    <w:tr2bl w:val="nil"/>
                  </w:tcBorders>
                  <w:noWrap w:val="0"/>
                  <w:vAlign w:val="center"/>
                </w:tcPr>
                <w:p w14:paraId="6A7576E8">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308" w:type="pct"/>
                  <w:tcBorders>
                    <w:tl2br w:val="nil"/>
                    <w:tr2bl w:val="nil"/>
                  </w:tcBorders>
                  <w:noWrap w:val="0"/>
                  <w:vAlign w:val="center"/>
                </w:tcPr>
                <w:p w14:paraId="00AC09A6">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80</w:t>
                  </w:r>
                </w:p>
              </w:tc>
              <w:tc>
                <w:tcPr>
                  <w:tcW w:w="485" w:type="pct"/>
                  <w:tcBorders>
                    <w:tl2br w:val="nil"/>
                    <w:tr2bl w:val="nil"/>
                  </w:tcBorders>
                  <w:noWrap w:val="0"/>
                  <w:vAlign w:val="center"/>
                </w:tcPr>
                <w:p w14:paraId="3C1ABE09">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1.63</w:t>
                  </w:r>
                </w:p>
              </w:tc>
              <w:tc>
                <w:tcPr>
                  <w:tcW w:w="472" w:type="pct"/>
                  <w:tcBorders>
                    <w:tl2br w:val="nil"/>
                    <w:tr2bl w:val="nil"/>
                  </w:tcBorders>
                  <w:noWrap w:val="0"/>
                  <w:vAlign w:val="center"/>
                </w:tcPr>
                <w:p w14:paraId="77D98E92">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0.0163</w:t>
                  </w:r>
                </w:p>
              </w:tc>
              <w:tc>
                <w:tcPr>
                  <w:tcW w:w="303" w:type="pct"/>
                  <w:tcBorders>
                    <w:tl2br w:val="nil"/>
                    <w:tr2bl w:val="nil"/>
                  </w:tcBorders>
                  <w:noWrap w:val="0"/>
                  <w:vAlign w:val="center"/>
                </w:tcPr>
                <w:p w14:paraId="71F7FCF1">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3600</w:t>
                  </w:r>
                </w:p>
              </w:tc>
            </w:tr>
            <w:tr w14:paraId="10640E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4" w:type="pct"/>
                  <w:vMerge w:val="restart"/>
                  <w:tcBorders>
                    <w:tl2br w:val="nil"/>
                    <w:tr2bl w:val="nil"/>
                  </w:tcBorders>
                  <w:noWrap w:val="0"/>
                  <w:vAlign w:val="center"/>
                </w:tcPr>
                <w:p w14:paraId="1B8ED3C6">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一期硅碳负极材料</w:t>
                  </w:r>
                </w:p>
              </w:tc>
              <w:tc>
                <w:tcPr>
                  <w:tcW w:w="398" w:type="pct"/>
                  <w:tcBorders>
                    <w:tl2br w:val="nil"/>
                    <w:tr2bl w:val="nil"/>
                  </w:tcBorders>
                  <w:noWrap w:val="0"/>
                  <w:vAlign w:val="center"/>
                </w:tcPr>
                <w:p w14:paraId="4CD929A5">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cs="Times New Roman"/>
                      <w:color w:val="000000" w:themeColor="text1"/>
                      <w:highlight w:val="none"/>
                      <w:lang w:val="en-US" w:eastAsia="zh-CN" w:bidi="ar-SA"/>
                      <w14:textFill>
                        <w14:solidFill>
                          <w14:schemeClr w14:val="tx1"/>
                        </w14:solidFill>
                      </w14:textFill>
                    </w:rPr>
                    <w:t>砂磨、干燥</w:t>
                  </w:r>
                </w:p>
              </w:tc>
              <w:tc>
                <w:tcPr>
                  <w:tcW w:w="371" w:type="pct"/>
                  <w:vMerge w:val="continue"/>
                  <w:tcBorders>
                    <w:tl2br w:val="nil"/>
                    <w:tr2bl w:val="nil"/>
                  </w:tcBorders>
                  <w:noWrap w:val="0"/>
                  <w:vAlign w:val="center"/>
                </w:tcPr>
                <w:p w14:paraId="07AA3128">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519" w:type="pct"/>
                  <w:tcBorders>
                    <w:tl2br w:val="nil"/>
                    <w:tr2bl w:val="nil"/>
                  </w:tcBorders>
                  <w:noWrap w:val="0"/>
                  <w:vAlign w:val="center"/>
                </w:tcPr>
                <w:p w14:paraId="137D2BBD">
                  <w:pPr>
                    <w:pStyle w:val="26"/>
                    <w:bidi w:val="0"/>
                    <w:jc w:val="center"/>
                    <w:rPr>
                      <w:rFonts w:hint="eastAsia"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非甲烷总烃</w:t>
                  </w:r>
                </w:p>
              </w:tc>
              <w:tc>
                <w:tcPr>
                  <w:tcW w:w="383" w:type="pct"/>
                  <w:vMerge w:val="continue"/>
                  <w:tcBorders>
                    <w:tl2br w:val="nil"/>
                    <w:tr2bl w:val="nil"/>
                  </w:tcBorders>
                  <w:noWrap w:val="0"/>
                  <w:vAlign w:val="center"/>
                </w:tcPr>
                <w:p w14:paraId="2F1318E9">
                  <w:pPr>
                    <w:pStyle w:val="26"/>
                    <w:bidi w:val="0"/>
                    <w:jc w:val="center"/>
                    <w:rPr>
                      <w:rFonts w:hint="default"/>
                      <w:color w:val="000000" w:themeColor="text1"/>
                      <w:highlight w:val="none"/>
                      <w:lang w:val="en-US" w:eastAsia="zh-CN" w:bidi="ar-SA"/>
                      <w14:textFill>
                        <w14:solidFill>
                          <w14:schemeClr w14:val="tx1"/>
                        </w14:solidFill>
                      </w14:textFill>
                    </w:rPr>
                  </w:pPr>
                </w:p>
              </w:tc>
              <w:tc>
                <w:tcPr>
                  <w:tcW w:w="487" w:type="pct"/>
                  <w:tcBorders>
                    <w:tl2br w:val="nil"/>
                    <w:tr2bl w:val="nil"/>
                  </w:tcBorders>
                  <w:noWrap w:val="0"/>
                  <w:vAlign w:val="center"/>
                </w:tcPr>
                <w:p w14:paraId="5E2D7636">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118.74</w:t>
                  </w:r>
                </w:p>
              </w:tc>
              <w:tc>
                <w:tcPr>
                  <w:tcW w:w="482" w:type="pct"/>
                  <w:tcBorders>
                    <w:tl2br w:val="nil"/>
                    <w:tr2bl w:val="nil"/>
                  </w:tcBorders>
                  <w:noWrap w:val="0"/>
                  <w:vAlign w:val="center"/>
                </w:tcPr>
                <w:p w14:paraId="06A94804">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1.1874</w:t>
                  </w:r>
                </w:p>
              </w:tc>
              <w:tc>
                <w:tcPr>
                  <w:tcW w:w="420" w:type="pct"/>
                  <w:vMerge w:val="continue"/>
                  <w:tcBorders>
                    <w:tl2br w:val="nil"/>
                    <w:tr2bl w:val="nil"/>
                  </w:tcBorders>
                  <w:noWrap w:val="0"/>
                  <w:vAlign w:val="center"/>
                </w:tcPr>
                <w:p w14:paraId="1A2198BC">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308" w:type="pct"/>
                  <w:tcBorders>
                    <w:tl2br w:val="nil"/>
                    <w:tr2bl w:val="nil"/>
                  </w:tcBorders>
                  <w:noWrap w:val="0"/>
                  <w:vAlign w:val="center"/>
                </w:tcPr>
                <w:p w14:paraId="254155D5">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80</w:t>
                  </w:r>
                </w:p>
              </w:tc>
              <w:tc>
                <w:tcPr>
                  <w:tcW w:w="485" w:type="pct"/>
                  <w:tcBorders>
                    <w:tl2br w:val="nil"/>
                    <w:tr2bl w:val="nil"/>
                  </w:tcBorders>
                  <w:noWrap w:val="0"/>
                  <w:vAlign w:val="center"/>
                </w:tcPr>
                <w:p w14:paraId="52E6E680">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23.75</w:t>
                  </w:r>
                </w:p>
              </w:tc>
              <w:tc>
                <w:tcPr>
                  <w:tcW w:w="472" w:type="pct"/>
                  <w:tcBorders>
                    <w:tl2br w:val="nil"/>
                    <w:tr2bl w:val="nil"/>
                  </w:tcBorders>
                  <w:noWrap w:val="0"/>
                  <w:vAlign w:val="center"/>
                </w:tcPr>
                <w:p w14:paraId="66C873AC">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0.2375</w:t>
                  </w:r>
                </w:p>
              </w:tc>
              <w:tc>
                <w:tcPr>
                  <w:tcW w:w="303" w:type="pct"/>
                  <w:tcBorders>
                    <w:tl2br w:val="nil"/>
                    <w:tr2bl w:val="nil"/>
                  </w:tcBorders>
                  <w:noWrap w:val="0"/>
                  <w:vAlign w:val="center"/>
                </w:tcPr>
                <w:p w14:paraId="7D76D5DB">
                  <w:pPr>
                    <w:pStyle w:val="26"/>
                    <w:bidi w:val="0"/>
                    <w:jc w:val="center"/>
                    <w:rPr>
                      <w:rFonts w:hint="eastAsia"/>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3600</w:t>
                  </w:r>
                </w:p>
              </w:tc>
            </w:tr>
            <w:tr w14:paraId="056C9C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4" w:type="pct"/>
                  <w:vMerge w:val="continue"/>
                  <w:tcBorders>
                    <w:tl2br w:val="nil"/>
                    <w:tr2bl w:val="nil"/>
                  </w:tcBorders>
                  <w:noWrap w:val="0"/>
                  <w:vAlign w:val="center"/>
                </w:tcPr>
                <w:p w14:paraId="620FEBDB">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398" w:type="pct"/>
                  <w:vMerge w:val="restart"/>
                  <w:tcBorders>
                    <w:tl2br w:val="nil"/>
                    <w:tr2bl w:val="nil"/>
                  </w:tcBorders>
                  <w:noWrap w:val="0"/>
                  <w:vAlign w:val="center"/>
                </w:tcPr>
                <w:p w14:paraId="1A7FA3E2">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包覆、</w:t>
                  </w:r>
                  <w:r>
                    <w:rPr>
                      <w:rFonts w:hint="eastAsia" w:cs="Times New Roman"/>
                      <w:color w:val="000000" w:themeColor="text1"/>
                      <w:highlight w:val="none"/>
                      <w:lang w:val="en-US" w:eastAsia="zh-CN" w:bidi="ar-SA"/>
                      <w14:textFill>
                        <w14:solidFill>
                          <w14:schemeClr w14:val="tx1"/>
                        </w14:solidFill>
                      </w14:textFill>
                    </w:rPr>
                    <w:t>二次包覆、</w:t>
                  </w:r>
                  <w:r>
                    <w:rPr>
                      <w:rFonts w:hint="eastAsia" w:ascii="Times New Roman" w:hAnsi="Times New Roman" w:cs="Times New Roman"/>
                      <w:color w:val="000000" w:themeColor="text1"/>
                      <w:highlight w:val="none"/>
                      <w:lang w:val="en-US" w:eastAsia="zh-CN" w:bidi="ar-SA"/>
                      <w14:textFill>
                        <w14:solidFill>
                          <w14:schemeClr w14:val="tx1"/>
                        </w14:solidFill>
                      </w14:textFill>
                    </w:rPr>
                    <w:t>碳化</w:t>
                  </w:r>
                </w:p>
              </w:tc>
              <w:tc>
                <w:tcPr>
                  <w:tcW w:w="371" w:type="pct"/>
                  <w:vMerge w:val="continue"/>
                  <w:tcBorders>
                    <w:tl2br w:val="nil"/>
                    <w:tr2bl w:val="nil"/>
                  </w:tcBorders>
                  <w:noWrap w:val="0"/>
                  <w:vAlign w:val="center"/>
                </w:tcPr>
                <w:p w14:paraId="30ED1AF7">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519" w:type="pct"/>
                  <w:tcBorders>
                    <w:tl2br w:val="nil"/>
                    <w:tr2bl w:val="nil"/>
                  </w:tcBorders>
                  <w:noWrap w:val="0"/>
                  <w:vAlign w:val="center"/>
                </w:tcPr>
                <w:p w14:paraId="36951E86">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沥青烟</w:t>
                  </w:r>
                </w:p>
              </w:tc>
              <w:tc>
                <w:tcPr>
                  <w:tcW w:w="383" w:type="pct"/>
                  <w:vMerge w:val="continue"/>
                  <w:tcBorders>
                    <w:tl2br w:val="nil"/>
                    <w:tr2bl w:val="nil"/>
                  </w:tcBorders>
                  <w:noWrap w:val="0"/>
                  <w:vAlign w:val="center"/>
                </w:tcPr>
                <w:p w14:paraId="74D665D2">
                  <w:pPr>
                    <w:pStyle w:val="26"/>
                    <w:bidi w:val="0"/>
                    <w:jc w:val="center"/>
                    <w:rPr>
                      <w:rFonts w:hint="default"/>
                      <w:color w:val="000000" w:themeColor="text1"/>
                      <w:highlight w:val="none"/>
                      <w:lang w:val="en-US" w:eastAsia="zh-CN" w:bidi="ar-SA"/>
                      <w14:textFill>
                        <w14:solidFill>
                          <w14:schemeClr w14:val="tx1"/>
                        </w14:solidFill>
                      </w14:textFill>
                    </w:rPr>
                  </w:pPr>
                </w:p>
              </w:tc>
              <w:tc>
                <w:tcPr>
                  <w:tcW w:w="487" w:type="pct"/>
                  <w:tcBorders>
                    <w:tl2br w:val="nil"/>
                    <w:tr2bl w:val="nil"/>
                  </w:tcBorders>
                  <w:noWrap w:val="0"/>
                  <w:vAlign w:val="center"/>
                </w:tcPr>
                <w:p w14:paraId="31A60B58">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4.13</w:t>
                  </w:r>
                </w:p>
              </w:tc>
              <w:tc>
                <w:tcPr>
                  <w:tcW w:w="482" w:type="pct"/>
                  <w:tcBorders>
                    <w:tl2br w:val="nil"/>
                    <w:tr2bl w:val="nil"/>
                  </w:tcBorders>
                  <w:noWrap w:val="0"/>
                  <w:vAlign w:val="center"/>
                </w:tcPr>
                <w:p w14:paraId="1CCE7BB3">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0.0413</w:t>
                  </w:r>
                </w:p>
              </w:tc>
              <w:tc>
                <w:tcPr>
                  <w:tcW w:w="420" w:type="pct"/>
                  <w:vMerge w:val="continue"/>
                  <w:tcBorders>
                    <w:tl2br w:val="nil"/>
                    <w:tr2bl w:val="nil"/>
                  </w:tcBorders>
                  <w:noWrap w:val="0"/>
                  <w:vAlign w:val="center"/>
                </w:tcPr>
                <w:p w14:paraId="76A8DFDC">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308" w:type="pct"/>
                  <w:tcBorders>
                    <w:tl2br w:val="nil"/>
                    <w:tr2bl w:val="nil"/>
                  </w:tcBorders>
                  <w:noWrap w:val="0"/>
                  <w:vAlign w:val="center"/>
                </w:tcPr>
                <w:p w14:paraId="4A3DC534">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85</w:t>
                  </w:r>
                </w:p>
              </w:tc>
              <w:tc>
                <w:tcPr>
                  <w:tcW w:w="485" w:type="pct"/>
                  <w:tcBorders>
                    <w:tl2br w:val="nil"/>
                    <w:tr2bl w:val="nil"/>
                  </w:tcBorders>
                  <w:noWrap w:val="0"/>
                  <w:vAlign w:val="center"/>
                </w:tcPr>
                <w:p w14:paraId="3C86B56C">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0.62</w:t>
                  </w:r>
                </w:p>
              </w:tc>
              <w:tc>
                <w:tcPr>
                  <w:tcW w:w="472" w:type="pct"/>
                  <w:tcBorders>
                    <w:tl2br w:val="nil"/>
                    <w:tr2bl w:val="nil"/>
                  </w:tcBorders>
                  <w:noWrap w:val="0"/>
                  <w:vAlign w:val="center"/>
                </w:tcPr>
                <w:p w14:paraId="7684B209">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0.0062</w:t>
                  </w:r>
                </w:p>
              </w:tc>
              <w:tc>
                <w:tcPr>
                  <w:tcW w:w="303" w:type="pct"/>
                  <w:tcBorders>
                    <w:tl2br w:val="nil"/>
                    <w:tr2bl w:val="nil"/>
                  </w:tcBorders>
                  <w:noWrap w:val="0"/>
                  <w:vAlign w:val="center"/>
                </w:tcPr>
                <w:p w14:paraId="2D50D00A">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3000</w:t>
                  </w:r>
                </w:p>
              </w:tc>
            </w:tr>
            <w:tr w14:paraId="7097CD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4" w:type="pct"/>
                  <w:vMerge w:val="continue"/>
                  <w:tcBorders>
                    <w:tl2br w:val="nil"/>
                    <w:tr2bl w:val="nil"/>
                  </w:tcBorders>
                  <w:noWrap w:val="0"/>
                  <w:vAlign w:val="center"/>
                </w:tcPr>
                <w:p w14:paraId="5933FFC6">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398" w:type="pct"/>
                  <w:vMerge w:val="continue"/>
                  <w:tcBorders>
                    <w:tl2br w:val="nil"/>
                    <w:tr2bl w:val="nil"/>
                  </w:tcBorders>
                  <w:noWrap w:val="0"/>
                  <w:vAlign w:val="center"/>
                </w:tcPr>
                <w:p w14:paraId="525A5DC4">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371" w:type="pct"/>
                  <w:vMerge w:val="continue"/>
                  <w:tcBorders>
                    <w:tl2br w:val="nil"/>
                    <w:tr2bl w:val="nil"/>
                  </w:tcBorders>
                  <w:noWrap w:val="0"/>
                  <w:vAlign w:val="center"/>
                </w:tcPr>
                <w:p w14:paraId="3768E43B">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519" w:type="pct"/>
                  <w:tcBorders>
                    <w:tl2br w:val="nil"/>
                    <w:tr2bl w:val="nil"/>
                  </w:tcBorders>
                  <w:noWrap w:val="0"/>
                  <w:vAlign w:val="center"/>
                </w:tcPr>
                <w:p w14:paraId="5E053CED">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苯并[a]芘</w:t>
                  </w:r>
                </w:p>
              </w:tc>
              <w:tc>
                <w:tcPr>
                  <w:tcW w:w="383" w:type="pct"/>
                  <w:vMerge w:val="continue"/>
                  <w:tcBorders>
                    <w:tl2br w:val="nil"/>
                    <w:tr2bl w:val="nil"/>
                  </w:tcBorders>
                  <w:noWrap w:val="0"/>
                  <w:vAlign w:val="center"/>
                </w:tcPr>
                <w:p w14:paraId="58CB0FE4">
                  <w:pPr>
                    <w:pStyle w:val="26"/>
                    <w:bidi w:val="0"/>
                    <w:jc w:val="center"/>
                    <w:rPr>
                      <w:rFonts w:hint="default"/>
                      <w:color w:val="000000" w:themeColor="text1"/>
                      <w:highlight w:val="none"/>
                      <w:lang w:val="en-US" w:eastAsia="zh-CN" w:bidi="ar-SA"/>
                      <w14:textFill>
                        <w14:solidFill>
                          <w14:schemeClr w14:val="tx1"/>
                        </w14:solidFill>
                      </w14:textFill>
                    </w:rPr>
                  </w:pPr>
                </w:p>
              </w:tc>
              <w:tc>
                <w:tcPr>
                  <w:tcW w:w="487" w:type="pct"/>
                  <w:tcBorders>
                    <w:tl2br w:val="nil"/>
                    <w:tr2bl w:val="nil"/>
                  </w:tcBorders>
                  <w:noWrap w:val="0"/>
                  <w:vAlign w:val="center"/>
                </w:tcPr>
                <w:p w14:paraId="3B0C68C0">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1.10E-03</w:t>
                  </w:r>
                </w:p>
              </w:tc>
              <w:tc>
                <w:tcPr>
                  <w:tcW w:w="482" w:type="pct"/>
                  <w:tcBorders>
                    <w:tl2br w:val="nil"/>
                    <w:tr2bl w:val="nil"/>
                  </w:tcBorders>
                  <w:noWrap w:val="0"/>
                  <w:vAlign w:val="center"/>
                </w:tcPr>
                <w:p w14:paraId="2AD2EF90">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1.10E-05</w:t>
                  </w:r>
                </w:p>
              </w:tc>
              <w:tc>
                <w:tcPr>
                  <w:tcW w:w="420" w:type="pct"/>
                  <w:vMerge w:val="continue"/>
                  <w:tcBorders>
                    <w:tl2br w:val="nil"/>
                    <w:tr2bl w:val="nil"/>
                  </w:tcBorders>
                  <w:noWrap w:val="0"/>
                  <w:vAlign w:val="center"/>
                </w:tcPr>
                <w:p w14:paraId="18C24B1F">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308" w:type="pct"/>
                  <w:tcBorders>
                    <w:tl2br w:val="nil"/>
                    <w:tr2bl w:val="nil"/>
                  </w:tcBorders>
                  <w:noWrap w:val="0"/>
                  <w:vAlign w:val="center"/>
                </w:tcPr>
                <w:p w14:paraId="0A08C837">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85</w:t>
                  </w:r>
                </w:p>
              </w:tc>
              <w:tc>
                <w:tcPr>
                  <w:tcW w:w="485" w:type="pct"/>
                  <w:tcBorders>
                    <w:tl2br w:val="nil"/>
                    <w:tr2bl w:val="nil"/>
                  </w:tcBorders>
                  <w:noWrap w:val="0"/>
                  <w:vAlign w:val="center"/>
                </w:tcPr>
                <w:p w14:paraId="04233B66">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1.65E-04</w:t>
                  </w:r>
                </w:p>
              </w:tc>
              <w:tc>
                <w:tcPr>
                  <w:tcW w:w="472" w:type="pct"/>
                  <w:tcBorders>
                    <w:tl2br w:val="nil"/>
                    <w:tr2bl w:val="nil"/>
                  </w:tcBorders>
                  <w:noWrap w:val="0"/>
                  <w:vAlign w:val="center"/>
                </w:tcPr>
                <w:p w14:paraId="6EF5052E">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1.65E-06</w:t>
                  </w:r>
                </w:p>
              </w:tc>
              <w:tc>
                <w:tcPr>
                  <w:tcW w:w="303" w:type="pct"/>
                  <w:tcBorders>
                    <w:tl2br w:val="nil"/>
                    <w:tr2bl w:val="nil"/>
                  </w:tcBorders>
                  <w:noWrap w:val="0"/>
                  <w:vAlign w:val="center"/>
                </w:tcPr>
                <w:p w14:paraId="27810886">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3000</w:t>
                  </w:r>
                </w:p>
              </w:tc>
            </w:tr>
            <w:tr w14:paraId="47D76B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4" w:type="pct"/>
                  <w:vMerge w:val="continue"/>
                  <w:tcBorders>
                    <w:tl2br w:val="nil"/>
                    <w:tr2bl w:val="nil"/>
                  </w:tcBorders>
                  <w:noWrap w:val="0"/>
                  <w:vAlign w:val="center"/>
                </w:tcPr>
                <w:p w14:paraId="70006353">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398" w:type="pct"/>
                  <w:vMerge w:val="continue"/>
                  <w:tcBorders>
                    <w:tl2br w:val="nil"/>
                    <w:tr2bl w:val="nil"/>
                  </w:tcBorders>
                  <w:noWrap w:val="0"/>
                  <w:vAlign w:val="center"/>
                </w:tcPr>
                <w:p w14:paraId="1FC7617B">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371" w:type="pct"/>
                  <w:vMerge w:val="continue"/>
                  <w:tcBorders>
                    <w:tl2br w:val="nil"/>
                    <w:tr2bl w:val="nil"/>
                  </w:tcBorders>
                  <w:noWrap w:val="0"/>
                  <w:vAlign w:val="center"/>
                </w:tcPr>
                <w:p w14:paraId="4005A408">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519" w:type="pct"/>
                  <w:tcBorders>
                    <w:tl2br w:val="nil"/>
                    <w:tr2bl w:val="nil"/>
                  </w:tcBorders>
                  <w:noWrap w:val="0"/>
                  <w:vAlign w:val="center"/>
                </w:tcPr>
                <w:p w14:paraId="0F64A14B">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颗粒物</w:t>
                  </w:r>
                </w:p>
              </w:tc>
              <w:tc>
                <w:tcPr>
                  <w:tcW w:w="383" w:type="pct"/>
                  <w:vMerge w:val="continue"/>
                  <w:tcBorders>
                    <w:tl2br w:val="nil"/>
                    <w:tr2bl w:val="nil"/>
                  </w:tcBorders>
                  <w:noWrap w:val="0"/>
                  <w:vAlign w:val="center"/>
                </w:tcPr>
                <w:p w14:paraId="3B9820B1">
                  <w:pPr>
                    <w:pStyle w:val="26"/>
                    <w:bidi w:val="0"/>
                    <w:jc w:val="center"/>
                    <w:rPr>
                      <w:rFonts w:hint="default"/>
                      <w:color w:val="000000" w:themeColor="text1"/>
                      <w:highlight w:val="none"/>
                      <w:lang w:val="en-US" w:eastAsia="zh-CN" w:bidi="ar-SA"/>
                      <w14:textFill>
                        <w14:solidFill>
                          <w14:schemeClr w14:val="tx1"/>
                        </w14:solidFill>
                      </w14:textFill>
                    </w:rPr>
                  </w:pPr>
                </w:p>
              </w:tc>
              <w:tc>
                <w:tcPr>
                  <w:tcW w:w="487" w:type="pct"/>
                  <w:tcBorders>
                    <w:tl2br w:val="nil"/>
                    <w:tr2bl w:val="nil"/>
                  </w:tcBorders>
                  <w:noWrap w:val="0"/>
                  <w:vAlign w:val="center"/>
                </w:tcPr>
                <w:p w14:paraId="1272C125">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62.23</w:t>
                  </w:r>
                </w:p>
              </w:tc>
              <w:tc>
                <w:tcPr>
                  <w:tcW w:w="482" w:type="pct"/>
                  <w:tcBorders>
                    <w:tl2br w:val="nil"/>
                    <w:tr2bl w:val="nil"/>
                  </w:tcBorders>
                  <w:noWrap w:val="0"/>
                  <w:vAlign w:val="center"/>
                </w:tcPr>
                <w:p w14:paraId="0E178F08">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0.6223</w:t>
                  </w:r>
                </w:p>
              </w:tc>
              <w:tc>
                <w:tcPr>
                  <w:tcW w:w="420" w:type="pct"/>
                  <w:vMerge w:val="continue"/>
                  <w:tcBorders>
                    <w:tl2br w:val="nil"/>
                    <w:tr2bl w:val="nil"/>
                  </w:tcBorders>
                  <w:noWrap w:val="0"/>
                  <w:vAlign w:val="center"/>
                </w:tcPr>
                <w:p w14:paraId="057A201F">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308" w:type="pct"/>
                  <w:tcBorders>
                    <w:tl2br w:val="nil"/>
                    <w:tr2bl w:val="nil"/>
                  </w:tcBorders>
                  <w:noWrap w:val="0"/>
                  <w:vAlign w:val="center"/>
                </w:tcPr>
                <w:p w14:paraId="1D1E7732">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99</w:t>
                  </w:r>
                </w:p>
              </w:tc>
              <w:tc>
                <w:tcPr>
                  <w:tcW w:w="485" w:type="pct"/>
                  <w:tcBorders>
                    <w:tl2br w:val="nil"/>
                    <w:tr2bl w:val="nil"/>
                  </w:tcBorders>
                  <w:noWrap w:val="0"/>
                  <w:vAlign w:val="center"/>
                </w:tcPr>
                <w:p w14:paraId="6DAD303D">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0.62</w:t>
                  </w:r>
                </w:p>
              </w:tc>
              <w:tc>
                <w:tcPr>
                  <w:tcW w:w="472" w:type="pct"/>
                  <w:tcBorders>
                    <w:tl2br w:val="nil"/>
                    <w:tr2bl w:val="nil"/>
                  </w:tcBorders>
                  <w:noWrap w:val="0"/>
                  <w:vAlign w:val="center"/>
                </w:tcPr>
                <w:p w14:paraId="73359093">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0.0062</w:t>
                  </w:r>
                </w:p>
              </w:tc>
              <w:tc>
                <w:tcPr>
                  <w:tcW w:w="303" w:type="pct"/>
                  <w:tcBorders>
                    <w:tl2br w:val="nil"/>
                    <w:tr2bl w:val="nil"/>
                  </w:tcBorders>
                  <w:noWrap w:val="0"/>
                  <w:vAlign w:val="center"/>
                </w:tcPr>
                <w:p w14:paraId="5133B6D5">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3000</w:t>
                  </w:r>
                </w:p>
              </w:tc>
            </w:tr>
            <w:tr w14:paraId="06071C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4" w:type="pct"/>
                  <w:vMerge w:val="continue"/>
                  <w:tcBorders>
                    <w:tl2br w:val="nil"/>
                    <w:tr2bl w:val="nil"/>
                  </w:tcBorders>
                  <w:noWrap w:val="0"/>
                  <w:vAlign w:val="center"/>
                </w:tcPr>
                <w:p w14:paraId="34388EFC">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398" w:type="pct"/>
                  <w:vMerge w:val="continue"/>
                  <w:tcBorders>
                    <w:tl2br w:val="nil"/>
                    <w:tr2bl w:val="nil"/>
                  </w:tcBorders>
                  <w:noWrap w:val="0"/>
                  <w:vAlign w:val="center"/>
                </w:tcPr>
                <w:p w14:paraId="410BA84C">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371" w:type="pct"/>
                  <w:vMerge w:val="continue"/>
                  <w:tcBorders>
                    <w:tl2br w:val="nil"/>
                    <w:tr2bl w:val="nil"/>
                  </w:tcBorders>
                  <w:noWrap w:val="0"/>
                  <w:vAlign w:val="center"/>
                </w:tcPr>
                <w:p w14:paraId="637852DA">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519" w:type="pct"/>
                  <w:tcBorders>
                    <w:tl2br w:val="nil"/>
                    <w:tr2bl w:val="nil"/>
                  </w:tcBorders>
                  <w:noWrap w:val="0"/>
                  <w:vAlign w:val="center"/>
                </w:tcPr>
                <w:p w14:paraId="5C080539">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非甲烷总烃</w:t>
                  </w:r>
                </w:p>
              </w:tc>
              <w:tc>
                <w:tcPr>
                  <w:tcW w:w="383" w:type="pct"/>
                  <w:vMerge w:val="continue"/>
                  <w:tcBorders>
                    <w:tl2br w:val="nil"/>
                    <w:tr2bl w:val="nil"/>
                  </w:tcBorders>
                  <w:noWrap w:val="0"/>
                  <w:vAlign w:val="center"/>
                </w:tcPr>
                <w:p w14:paraId="5C737488">
                  <w:pPr>
                    <w:pStyle w:val="26"/>
                    <w:bidi w:val="0"/>
                    <w:jc w:val="center"/>
                    <w:rPr>
                      <w:rFonts w:hint="default"/>
                      <w:color w:val="000000" w:themeColor="text1"/>
                      <w:highlight w:val="none"/>
                      <w:lang w:val="en-US" w:eastAsia="zh-CN" w:bidi="ar-SA"/>
                      <w14:textFill>
                        <w14:solidFill>
                          <w14:schemeClr w14:val="tx1"/>
                        </w14:solidFill>
                      </w14:textFill>
                    </w:rPr>
                  </w:pPr>
                </w:p>
              </w:tc>
              <w:tc>
                <w:tcPr>
                  <w:tcW w:w="487" w:type="pct"/>
                  <w:tcBorders>
                    <w:tl2br w:val="nil"/>
                    <w:tr2bl w:val="nil"/>
                  </w:tcBorders>
                  <w:noWrap w:val="0"/>
                  <w:vAlign w:val="center"/>
                </w:tcPr>
                <w:p w14:paraId="747C9FAD">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241.34</w:t>
                  </w:r>
                </w:p>
              </w:tc>
              <w:tc>
                <w:tcPr>
                  <w:tcW w:w="482" w:type="pct"/>
                  <w:tcBorders>
                    <w:tl2br w:val="nil"/>
                    <w:tr2bl w:val="nil"/>
                  </w:tcBorders>
                  <w:noWrap w:val="0"/>
                  <w:vAlign w:val="center"/>
                </w:tcPr>
                <w:p w14:paraId="639BC10D">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2.4134</w:t>
                  </w:r>
                </w:p>
              </w:tc>
              <w:tc>
                <w:tcPr>
                  <w:tcW w:w="420" w:type="pct"/>
                  <w:vMerge w:val="continue"/>
                  <w:tcBorders>
                    <w:tl2br w:val="nil"/>
                    <w:tr2bl w:val="nil"/>
                  </w:tcBorders>
                  <w:noWrap w:val="0"/>
                  <w:vAlign w:val="center"/>
                </w:tcPr>
                <w:p w14:paraId="6B626B6C">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308" w:type="pct"/>
                  <w:tcBorders>
                    <w:tl2br w:val="nil"/>
                    <w:tr2bl w:val="nil"/>
                  </w:tcBorders>
                  <w:noWrap w:val="0"/>
                  <w:vAlign w:val="center"/>
                </w:tcPr>
                <w:p w14:paraId="6D55447B">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80</w:t>
                  </w:r>
                </w:p>
              </w:tc>
              <w:tc>
                <w:tcPr>
                  <w:tcW w:w="485" w:type="pct"/>
                  <w:tcBorders>
                    <w:tl2br w:val="nil"/>
                    <w:tr2bl w:val="nil"/>
                  </w:tcBorders>
                  <w:noWrap w:val="0"/>
                  <w:vAlign w:val="center"/>
                </w:tcPr>
                <w:p w14:paraId="4FBC2CD5">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48.27</w:t>
                  </w:r>
                </w:p>
              </w:tc>
              <w:tc>
                <w:tcPr>
                  <w:tcW w:w="472" w:type="pct"/>
                  <w:tcBorders>
                    <w:tl2br w:val="nil"/>
                    <w:tr2bl w:val="nil"/>
                  </w:tcBorders>
                  <w:noWrap w:val="0"/>
                  <w:vAlign w:val="center"/>
                </w:tcPr>
                <w:p w14:paraId="48FEA0C1">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0.4827</w:t>
                  </w:r>
                </w:p>
              </w:tc>
              <w:tc>
                <w:tcPr>
                  <w:tcW w:w="303" w:type="pct"/>
                  <w:tcBorders>
                    <w:tl2br w:val="nil"/>
                    <w:tr2bl w:val="nil"/>
                  </w:tcBorders>
                  <w:noWrap w:val="0"/>
                  <w:vAlign w:val="center"/>
                </w:tcPr>
                <w:p w14:paraId="7C26BB09">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3000</w:t>
                  </w:r>
                </w:p>
              </w:tc>
            </w:tr>
            <w:tr w14:paraId="128695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4" w:type="pct"/>
                  <w:vMerge w:val="restart"/>
                  <w:tcBorders>
                    <w:tl2br w:val="nil"/>
                    <w:tr2bl w:val="nil"/>
                  </w:tcBorders>
                  <w:noWrap w:val="0"/>
                  <w:vAlign w:val="center"/>
                </w:tcPr>
                <w:p w14:paraId="413E4A60">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一期单壁碳纳米管</w:t>
                  </w:r>
                </w:p>
              </w:tc>
              <w:tc>
                <w:tcPr>
                  <w:tcW w:w="398" w:type="pct"/>
                  <w:tcBorders>
                    <w:tl2br w:val="nil"/>
                    <w:tr2bl w:val="nil"/>
                  </w:tcBorders>
                  <w:noWrap w:val="0"/>
                  <w:vAlign w:val="center"/>
                </w:tcPr>
                <w:p w14:paraId="6893E24A">
                  <w:pPr>
                    <w:pStyle w:val="26"/>
                    <w:bidi w:val="0"/>
                    <w:ind w:firstLine="0" w:firstLineChars="0"/>
                    <w:jc w:val="center"/>
                    <w:rPr>
                      <w:rFonts w:hint="eastAsia"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烘干</w:t>
                  </w:r>
                </w:p>
              </w:tc>
              <w:tc>
                <w:tcPr>
                  <w:tcW w:w="371" w:type="pct"/>
                  <w:vMerge w:val="restart"/>
                  <w:tcBorders>
                    <w:tl2br w:val="nil"/>
                    <w:tr2bl w:val="nil"/>
                  </w:tcBorders>
                  <w:noWrap w:val="0"/>
                  <w:vAlign w:val="center"/>
                </w:tcPr>
                <w:p w14:paraId="2BC272AA">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无组织排放</w:t>
                  </w:r>
                </w:p>
              </w:tc>
              <w:tc>
                <w:tcPr>
                  <w:tcW w:w="519" w:type="pct"/>
                  <w:tcBorders>
                    <w:tl2br w:val="nil"/>
                    <w:tr2bl w:val="nil"/>
                  </w:tcBorders>
                  <w:noWrap w:val="0"/>
                  <w:vAlign w:val="center"/>
                </w:tcPr>
                <w:p w14:paraId="147E019A">
                  <w:pPr>
                    <w:pStyle w:val="26"/>
                    <w:bidi w:val="0"/>
                    <w:ind w:firstLine="0" w:firstLineChars="0"/>
                    <w:jc w:val="center"/>
                    <w:rPr>
                      <w:rFonts w:hint="default"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非甲烷总烃</w:t>
                  </w:r>
                </w:p>
              </w:tc>
              <w:tc>
                <w:tcPr>
                  <w:tcW w:w="383" w:type="pct"/>
                  <w:vMerge w:val="restart"/>
                  <w:tcBorders>
                    <w:tl2br w:val="nil"/>
                    <w:tr2bl w:val="nil"/>
                  </w:tcBorders>
                  <w:noWrap w:val="0"/>
                  <w:vAlign w:val="center"/>
                </w:tcPr>
                <w:p w14:paraId="2459F6BA">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487" w:type="pct"/>
                  <w:tcBorders>
                    <w:tl2br w:val="nil"/>
                    <w:tr2bl w:val="nil"/>
                  </w:tcBorders>
                  <w:noWrap w:val="0"/>
                  <w:vAlign w:val="center"/>
                </w:tcPr>
                <w:p w14:paraId="1782734E">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482" w:type="pct"/>
                  <w:tcBorders>
                    <w:tl2br w:val="nil"/>
                    <w:tr2bl w:val="nil"/>
                  </w:tcBorders>
                  <w:noWrap w:val="0"/>
                  <w:vAlign w:val="center"/>
                </w:tcPr>
                <w:p w14:paraId="6FD9F190">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0.0020</w:t>
                  </w:r>
                </w:p>
              </w:tc>
              <w:tc>
                <w:tcPr>
                  <w:tcW w:w="420" w:type="pct"/>
                  <w:tcBorders>
                    <w:tl2br w:val="nil"/>
                    <w:tr2bl w:val="nil"/>
                  </w:tcBorders>
                  <w:noWrap w:val="0"/>
                  <w:vAlign w:val="center"/>
                </w:tcPr>
                <w:p w14:paraId="543B2DDD">
                  <w:pPr>
                    <w:pStyle w:val="26"/>
                    <w:keepNext w:val="0"/>
                    <w:keepLines w:val="0"/>
                    <w:widowControl w:val="0"/>
                    <w:suppressLineNumbers w:val="0"/>
                    <w:bidi w:val="0"/>
                    <w:spacing w:before="0" w:beforeAutospacing="0" w:after="0" w:afterAutospacing="0"/>
                    <w:ind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设备排气管道收集</w:t>
                  </w:r>
                </w:p>
              </w:tc>
              <w:tc>
                <w:tcPr>
                  <w:tcW w:w="308" w:type="pct"/>
                  <w:tcBorders>
                    <w:tl2br w:val="nil"/>
                    <w:tr2bl w:val="nil"/>
                  </w:tcBorders>
                  <w:noWrap w:val="0"/>
                  <w:vAlign w:val="center"/>
                </w:tcPr>
                <w:p w14:paraId="0ECD4DF2">
                  <w:pPr>
                    <w:pStyle w:val="26"/>
                    <w:keepNext w:val="0"/>
                    <w:keepLines w:val="0"/>
                    <w:widowControl w:val="0"/>
                    <w:suppressLineNumbers w:val="0"/>
                    <w:bidi w:val="0"/>
                    <w:spacing w:before="0" w:beforeAutospacing="0" w:after="0" w:afterAutospacing="0"/>
                    <w:ind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98</w:t>
                  </w:r>
                </w:p>
              </w:tc>
              <w:tc>
                <w:tcPr>
                  <w:tcW w:w="485" w:type="pct"/>
                  <w:tcBorders>
                    <w:tl2br w:val="nil"/>
                    <w:tr2bl w:val="nil"/>
                  </w:tcBorders>
                  <w:noWrap w:val="0"/>
                  <w:vAlign w:val="center"/>
                </w:tcPr>
                <w:p w14:paraId="16373594">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472" w:type="pct"/>
                  <w:tcBorders>
                    <w:tl2br w:val="nil"/>
                    <w:tr2bl w:val="nil"/>
                  </w:tcBorders>
                  <w:noWrap w:val="0"/>
                  <w:vAlign w:val="center"/>
                </w:tcPr>
                <w:p w14:paraId="29A5FEB2">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0.0020</w:t>
                  </w:r>
                </w:p>
              </w:tc>
              <w:tc>
                <w:tcPr>
                  <w:tcW w:w="303" w:type="pct"/>
                  <w:tcBorders>
                    <w:tl2br w:val="nil"/>
                    <w:tr2bl w:val="nil"/>
                  </w:tcBorders>
                  <w:noWrap w:val="0"/>
                  <w:vAlign w:val="center"/>
                </w:tcPr>
                <w:p w14:paraId="478B8C4C">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1200</w:t>
                  </w:r>
                </w:p>
              </w:tc>
            </w:tr>
            <w:tr w14:paraId="255265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4" w:type="pct"/>
                  <w:vMerge w:val="continue"/>
                  <w:tcBorders>
                    <w:tl2br w:val="nil"/>
                    <w:tr2bl w:val="nil"/>
                  </w:tcBorders>
                  <w:noWrap w:val="0"/>
                  <w:vAlign w:val="center"/>
                </w:tcPr>
                <w:p w14:paraId="4D365D63">
                  <w:pPr>
                    <w:pStyle w:val="26"/>
                    <w:bidi w:val="0"/>
                    <w:jc w:val="center"/>
                    <w:rPr>
                      <w:rFonts w:hint="default"/>
                      <w:color w:val="000000" w:themeColor="text1"/>
                      <w:highlight w:val="none"/>
                      <w:lang w:val="en-US" w:eastAsia="zh-CN" w:bidi="ar-SA"/>
                      <w14:textFill>
                        <w14:solidFill>
                          <w14:schemeClr w14:val="tx1"/>
                        </w14:solidFill>
                      </w14:textFill>
                    </w:rPr>
                  </w:pPr>
                </w:p>
              </w:tc>
              <w:tc>
                <w:tcPr>
                  <w:tcW w:w="398" w:type="pct"/>
                  <w:tcBorders>
                    <w:tl2br w:val="nil"/>
                    <w:tr2bl w:val="nil"/>
                  </w:tcBorders>
                  <w:noWrap w:val="0"/>
                  <w:vAlign w:val="center"/>
                </w:tcPr>
                <w:p w14:paraId="080F3042">
                  <w:pPr>
                    <w:pStyle w:val="26"/>
                    <w:bidi w:val="0"/>
                    <w:ind w:firstLine="0" w:firstLineChars="0"/>
                    <w:jc w:val="center"/>
                    <w:rPr>
                      <w:rFonts w:hint="eastAsia"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引弧放电</w:t>
                  </w:r>
                </w:p>
              </w:tc>
              <w:tc>
                <w:tcPr>
                  <w:tcW w:w="371" w:type="pct"/>
                  <w:vMerge w:val="continue"/>
                  <w:tcBorders>
                    <w:tl2br w:val="nil"/>
                    <w:tr2bl w:val="nil"/>
                  </w:tcBorders>
                  <w:noWrap w:val="0"/>
                  <w:vAlign w:val="center"/>
                </w:tcPr>
                <w:p w14:paraId="4902F786">
                  <w:pPr>
                    <w:pStyle w:val="26"/>
                    <w:bidi w:val="0"/>
                    <w:jc w:val="center"/>
                    <w:rPr>
                      <w:rFonts w:hint="default"/>
                      <w:color w:val="000000" w:themeColor="text1"/>
                      <w:highlight w:val="none"/>
                      <w:lang w:val="en-US" w:eastAsia="zh-CN" w:bidi="ar-SA"/>
                      <w14:textFill>
                        <w14:solidFill>
                          <w14:schemeClr w14:val="tx1"/>
                        </w14:solidFill>
                      </w14:textFill>
                    </w:rPr>
                  </w:pPr>
                </w:p>
              </w:tc>
              <w:tc>
                <w:tcPr>
                  <w:tcW w:w="519" w:type="pct"/>
                  <w:tcBorders>
                    <w:tl2br w:val="nil"/>
                    <w:tr2bl w:val="nil"/>
                  </w:tcBorders>
                  <w:noWrap w:val="0"/>
                  <w:vAlign w:val="center"/>
                </w:tcPr>
                <w:p w14:paraId="496CDBDE">
                  <w:pPr>
                    <w:pStyle w:val="26"/>
                    <w:bidi w:val="0"/>
                    <w:ind w:firstLine="0" w:firstLineChars="0"/>
                    <w:jc w:val="center"/>
                    <w:rPr>
                      <w:rFonts w:hint="default"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非甲烷总烃</w:t>
                  </w:r>
                </w:p>
              </w:tc>
              <w:tc>
                <w:tcPr>
                  <w:tcW w:w="383" w:type="pct"/>
                  <w:vMerge w:val="continue"/>
                  <w:tcBorders>
                    <w:tl2br w:val="nil"/>
                    <w:tr2bl w:val="nil"/>
                  </w:tcBorders>
                  <w:noWrap w:val="0"/>
                  <w:vAlign w:val="center"/>
                </w:tcPr>
                <w:p w14:paraId="352F965B">
                  <w:pPr>
                    <w:pStyle w:val="26"/>
                    <w:bidi w:val="0"/>
                    <w:jc w:val="center"/>
                    <w:rPr>
                      <w:rFonts w:hint="default"/>
                      <w:color w:val="000000" w:themeColor="text1"/>
                      <w:highlight w:val="none"/>
                      <w:lang w:val="en-US" w:eastAsia="zh-CN" w:bidi="ar-SA"/>
                      <w14:textFill>
                        <w14:solidFill>
                          <w14:schemeClr w14:val="tx1"/>
                        </w14:solidFill>
                      </w14:textFill>
                    </w:rPr>
                  </w:pPr>
                </w:p>
              </w:tc>
              <w:tc>
                <w:tcPr>
                  <w:tcW w:w="487" w:type="pct"/>
                  <w:tcBorders>
                    <w:tl2br w:val="nil"/>
                    <w:tr2bl w:val="nil"/>
                  </w:tcBorders>
                  <w:noWrap w:val="0"/>
                  <w:vAlign w:val="center"/>
                </w:tcPr>
                <w:p w14:paraId="5756FCBA">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482" w:type="pct"/>
                  <w:tcBorders>
                    <w:tl2br w:val="nil"/>
                    <w:tr2bl w:val="nil"/>
                  </w:tcBorders>
                  <w:noWrap w:val="0"/>
                  <w:vAlign w:val="center"/>
                </w:tcPr>
                <w:p w14:paraId="706AA0E1">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0.0017</w:t>
                  </w:r>
                </w:p>
              </w:tc>
              <w:tc>
                <w:tcPr>
                  <w:tcW w:w="420" w:type="pct"/>
                  <w:tcBorders>
                    <w:tl2br w:val="nil"/>
                    <w:tr2bl w:val="nil"/>
                  </w:tcBorders>
                  <w:noWrap w:val="0"/>
                  <w:vAlign w:val="center"/>
                </w:tcPr>
                <w:p w14:paraId="12091864">
                  <w:pPr>
                    <w:pStyle w:val="26"/>
                    <w:keepNext w:val="0"/>
                    <w:keepLines w:val="0"/>
                    <w:widowControl w:val="0"/>
                    <w:suppressLineNumbers w:val="0"/>
                    <w:bidi w:val="0"/>
                    <w:spacing w:before="0" w:beforeAutospacing="0" w:after="0" w:afterAutospacing="0"/>
                    <w:ind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设备排气管道收集</w:t>
                  </w:r>
                </w:p>
              </w:tc>
              <w:tc>
                <w:tcPr>
                  <w:tcW w:w="308" w:type="pct"/>
                  <w:tcBorders>
                    <w:tl2br w:val="nil"/>
                    <w:tr2bl w:val="nil"/>
                  </w:tcBorders>
                  <w:noWrap w:val="0"/>
                  <w:vAlign w:val="center"/>
                </w:tcPr>
                <w:p w14:paraId="3F49DD05">
                  <w:pPr>
                    <w:pStyle w:val="26"/>
                    <w:keepNext w:val="0"/>
                    <w:keepLines w:val="0"/>
                    <w:widowControl w:val="0"/>
                    <w:suppressLineNumbers w:val="0"/>
                    <w:bidi w:val="0"/>
                    <w:spacing w:before="0" w:beforeAutospacing="0" w:after="0" w:afterAutospacing="0"/>
                    <w:ind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98</w:t>
                  </w:r>
                </w:p>
              </w:tc>
              <w:tc>
                <w:tcPr>
                  <w:tcW w:w="485" w:type="pct"/>
                  <w:tcBorders>
                    <w:tl2br w:val="nil"/>
                    <w:tr2bl w:val="nil"/>
                  </w:tcBorders>
                  <w:noWrap w:val="0"/>
                  <w:vAlign w:val="center"/>
                </w:tcPr>
                <w:p w14:paraId="2C7174AB">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472" w:type="pct"/>
                  <w:tcBorders>
                    <w:tl2br w:val="nil"/>
                    <w:tr2bl w:val="nil"/>
                  </w:tcBorders>
                  <w:noWrap w:val="0"/>
                  <w:vAlign w:val="center"/>
                </w:tcPr>
                <w:p w14:paraId="24DB4575">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0.0017</w:t>
                  </w:r>
                </w:p>
              </w:tc>
              <w:tc>
                <w:tcPr>
                  <w:tcW w:w="303" w:type="pct"/>
                  <w:tcBorders>
                    <w:tl2br w:val="nil"/>
                    <w:tr2bl w:val="nil"/>
                  </w:tcBorders>
                  <w:noWrap w:val="0"/>
                  <w:vAlign w:val="center"/>
                </w:tcPr>
                <w:p w14:paraId="4380B91F">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3600</w:t>
                  </w:r>
                </w:p>
              </w:tc>
            </w:tr>
            <w:tr w14:paraId="275D92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4" w:type="pct"/>
                  <w:vMerge w:val="restart"/>
                  <w:tcBorders>
                    <w:tl2br w:val="nil"/>
                    <w:tr2bl w:val="nil"/>
                  </w:tcBorders>
                  <w:noWrap w:val="0"/>
                  <w:vAlign w:val="center"/>
                </w:tcPr>
                <w:p w14:paraId="050A2165">
                  <w:pPr>
                    <w:pStyle w:val="26"/>
                    <w:bidi w:val="0"/>
                    <w:ind w:firstLine="0" w:firstLineChars="0"/>
                    <w:jc w:val="center"/>
                    <w:rPr>
                      <w:rFonts w:hint="default"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一期硅碳负极材料</w:t>
                  </w:r>
                </w:p>
              </w:tc>
              <w:tc>
                <w:tcPr>
                  <w:tcW w:w="398" w:type="pct"/>
                  <w:tcBorders>
                    <w:tl2br w:val="nil"/>
                    <w:tr2bl w:val="nil"/>
                  </w:tcBorders>
                  <w:noWrap w:val="0"/>
                  <w:vAlign w:val="center"/>
                </w:tcPr>
                <w:p w14:paraId="2F668ECB">
                  <w:pPr>
                    <w:pStyle w:val="26"/>
                    <w:bidi w:val="0"/>
                    <w:ind w:firstLine="0" w:firstLineChars="0"/>
                    <w:jc w:val="center"/>
                    <w:rPr>
                      <w:rFonts w:hint="eastAsia" w:ascii="Times New Roman" w:hAnsi="Times New Roman" w:cs="Times New Roman"/>
                      <w:color w:val="000000" w:themeColor="text1"/>
                      <w:highlight w:val="none"/>
                      <w:lang w:val="en-US" w:eastAsia="zh-CN" w:bidi="ar-SA"/>
                      <w14:textFill>
                        <w14:solidFill>
                          <w14:schemeClr w14:val="tx1"/>
                        </w14:solidFill>
                      </w14:textFill>
                    </w:rPr>
                  </w:pPr>
                  <w:r>
                    <w:rPr>
                      <w:rFonts w:hint="eastAsia" w:cs="Times New Roman"/>
                      <w:color w:val="000000" w:themeColor="text1"/>
                      <w:highlight w:val="none"/>
                      <w:lang w:val="en-US" w:eastAsia="zh-CN" w:bidi="ar-SA"/>
                      <w14:textFill>
                        <w14:solidFill>
                          <w14:schemeClr w14:val="tx1"/>
                        </w14:solidFill>
                      </w14:textFill>
                    </w:rPr>
                    <w:t>砂磨、干燥</w:t>
                  </w:r>
                </w:p>
              </w:tc>
              <w:tc>
                <w:tcPr>
                  <w:tcW w:w="371" w:type="pct"/>
                  <w:vMerge w:val="continue"/>
                  <w:tcBorders>
                    <w:tl2br w:val="nil"/>
                    <w:tr2bl w:val="nil"/>
                  </w:tcBorders>
                  <w:noWrap w:val="0"/>
                  <w:vAlign w:val="center"/>
                </w:tcPr>
                <w:p w14:paraId="2549C661">
                  <w:pPr>
                    <w:pStyle w:val="26"/>
                    <w:bidi w:val="0"/>
                    <w:jc w:val="center"/>
                    <w:rPr>
                      <w:rFonts w:hint="default"/>
                      <w:color w:val="000000" w:themeColor="text1"/>
                      <w:highlight w:val="none"/>
                      <w:lang w:val="en-US" w:eastAsia="zh-CN" w:bidi="ar-SA"/>
                      <w14:textFill>
                        <w14:solidFill>
                          <w14:schemeClr w14:val="tx1"/>
                        </w14:solidFill>
                      </w14:textFill>
                    </w:rPr>
                  </w:pPr>
                </w:p>
              </w:tc>
              <w:tc>
                <w:tcPr>
                  <w:tcW w:w="519" w:type="pct"/>
                  <w:tcBorders>
                    <w:tl2br w:val="nil"/>
                    <w:tr2bl w:val="nil"/>
                  </w:tcBorders>
                  <w:noWrap w:val="0"/>
                  <w:vAlign w:val="center"/>
                </w:tcPr>
                <w:p w14:paraId="2C29AD3A">
                  <w:pPr>
                    <w:pStyle w:val="26"/>
                    <w:bidi w:val="0"/>
                    <w:ind w:firstLine="0" w:firstLineChars="0"/>
                    <w:jc w:val="center"/>
                    <w:rPr>
                      <w:rFonts w:hint="eastAsia"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非甲烷总烃</w:t>
                  </w:r>
                </w:p>
              </w:tc>
              <w:tc>
                <w:tcPr>
                  <w:tcW w:w="383" w:type="pct"/>
                  <w:tcBorders>
                    <w:tl2br w:val="nil"/>
                    <w:tr2bl w:val="nil"/>
                  </w:tcBorders>
                  <w:noWrap w:val="0"/>
                  <w:vAlign w:val="center"/>
                </w:tcPr>
                <w:p w14:paraId="3EEC4E0D">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w:t>
                  </w:r>
                </w:p>
              </w:tc>
              <w:tc>
                <w:tcPr>
                  <w:tcW w:w="487" w:type="pct"/>
                  <w:tcBorders>
                    <w:tl2br w:val="nil"/>
                    <w:tr2bl w:val="nil"/>
                  </w:tcBorders>
                  <w:noWrap w:val="0"/>
                  <w:vAlign w:val="center"/>
                </w:tcPr>
                <w:p w14:paraId="7E8CAFF6">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w:t>
                  </w:r>
                </w:p>
              </w:tc>
              <w:tc>
                <w:tcPr>
                  <w:tcW w:w="482" w:type="pct"/>
                  <w:tcBorders>
                    <w:tl2br w:val="nil"/>
                    <w:tr2bl w:val="nil"/>
                  </w:tcBorders>
                  <w:noWrap w:val="0"/>
                  <w:vAlign w:val="center"/>
                </w:tcPr>
                <w:p w14:paraId="469B9014">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0.0625</w:t>
                  </w:r>
                </w:p>
              </w:tc>
              <w:tc>
                <w:tcPr>
                  <w:tcW w:w="420" w:type="pct"/>
                  <w:tcBorders>
                    <w:tl2br w:val="nil"/>
                    <w:tr2bl w:val="nil"/>
                  </w:tcBorders>
                  <w:noWrap w:val="0"/>
                  <w:vAlign w:val="center"/>
                </w:tcPr>
                <w:p w14:paraId="3C690B3F">
                  <w:pPr>
                    <w:pStyle w:val="26"/>
                    <w:keepNext w:val="0"/>
                    <w:keepLines w:val="0"/>
                    <w:widowControl w:val="0"/>
                    <w:suppressLineNumbers w:val="0"/>
                    <w:bidi w:val="0"/>
                    <w:spacing w:before="0" w:beforeAutospacing="0" w:after="0" w:afterAutospacing="0"/>
                    <w:ind w:right="0"/>
                    <w:jc w:val="center"/>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设备排气管道收集</w:t>
                  </w:r>
                </w:p>
              </w:tc>
              <w:tc>
                <w:tcPr>
                  <w:tcW w:w="308" w:type="pct"/>
                  <w:tcBorders>
                    <w:tl2br w:val="nil"/>
                    <w:tr2bl w:val="nil"/>
                  </w:tcBorders>
                  <w:noWrap w:val="0"/>
                  <w:vAlign w:val="center"/>
                </w:tcPr>
                <w:p w14:paraId="709D1889">
                  <w:pPr>
                    <w:pStyle w:val="26"/>
                    <w:keepNext w:val="0"/>
                    <w:keepLines w:val="0"/>
                    <w:widowControl w:val="0"/>
                    <w:suppressLineNumbers w:val="0"/>
                    <w:bidi w:val="0"/>
                    <w:spacing w:before="0" w:beforeAutospacing="0" w:after="0" w:afterAutospacing="0"/>
                    <w:ind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95</w:t>
                  </w:r>
                </w:p>
              </w:tc>
              <w:tc>
                <w:tcPr>
                  <w:tcW w:w="485" w:type="pct"/>
                  <w:tcBorders>
                    <w:tl2br w:val="nil"/>
                    <w:tr2bl w:val="nil"/>
                  </w:tcBorders>
                  <w:noWrap w:val="0"/>
                  <w:vAlign w:val="center"/>
                </w:tcPr>
                <w:p w14:paraId="6FF083F9">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w:t>
                  </w:r>
                </w:p>
              </w:tc>
              <w:tc>
                <w:tcPr>
                  <w:tcW w:w="472" w:type="pct"/>
                  <w:tcBorders>
                    <w:tl2br w:val="nil"/>
                    <w:tr2bl w:val="nil"/>
                  </w:tcBorders>
                  <w:noWrap w:val="0"/>
                  <w:vAlign w:val="center"/>
                </w:tcPr>
                <w:p w14:paraId="0483BCD2">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0.0625</w:t>
                  </w:r>
                </w:p>
              </w:tc>
              <w:tc>
                <w:tcPr>
                  <w:tcW w:w="303" w:type="pct"/>
                  <w:tcBorders>
                    <w:tl2br w:val="nil"/>
                    <w:tr2bl w:val="nil"/>
                  </w:tcBorders>
                  <w:noWrap w:val="0"/>
                  <w:vAlign w:val="center"/>
                </w:tcPr>
                <w:p w14:paraId="1337CB06">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3600</w:t>
                  </w:r>
                </w:p>
              </w:tc>
            </w:tr>
            <w:tr w14:paraId="22BE5D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4" w:type="pct"/>
                  <w:vMerge w:val="continue"/>
                  <w:tcBorders>
                    <w:tl2br w:val="nil"/>
                    <w:tr2bl w:val="nil"/>
                  </w:tcBorders>
                  <w:noWrap w:val="0"/>
                  <w:vAlign w:val="center"/>
                </w:tcPr>
                <w:p w14:paraId="6156C101">
                  <w:pPr>
                    <w:pStyle w:val="26"/>
                    <w:bidi w:val="0"/>
                    <w:ind w:firstLine="0" w:firstLineChars="0"/>
                    <w:jc w:val="center"/>
                    <w:rPr>
                      <w:rFonts w:hint="default" w:ascii="Times New Roman" w:hAnsi="Times New Roman" w:cs="Times New Roman"/>
                      <w:color w:val="000000" w:themeColor="text1"/>
                      <w:sz w:val="21"/>
                      <w:szCs w:val="22"/>
                      <w:highlight w:val="none"/>
                      <w:lang w:val="en-US" w:eastAsia="zh-CN" w:bidi="ar-SA"/>
                      <w14:textFill>
                        <w14:solidFill>
                          <w14:schemeClr w14:val="tx1"/>
                        </w14:solidFill>
                      </w14:textFill>
                    </w:rPr>
                  </w:pPr>
                </w:p>
              </w:tc>
              <w:tc>
                <w:tcPr>
                  <w:tcW w:w="398" w:type="pct"/>
                  <w:vMerge w:val="restart"/>
                  <w:tcBorders>
                    <w:tl2br w:val="nil"/>
                    <w:tr2bl w:val="nil"/>
                  </w:tcBorders>
                  <w:noWrap w:val="0"/>
                  <w:vAlign w:val="center"/>
                </w:tcPr>
                <w:p w14:paraId="6B5BF4CB">
                  <w:pPr>
                    <w:pStyle w:val="26"/>
                    <w:bidi w:val="0"/>
                    <w:ind w:firstLine="0" w:firstLineChars="0"/>
                    <w:jc w:val="center"/>
                    <w:rPr>
                      <w:rFonts w:hint="eastAsia"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包覆、</w:t>
                  </w:r>
                  <w:r>
                    <w:rPr>
                      <w:rFonts w:hint="eastAsia" w:cs="Times New Roman"/>
                      <w:color w:val="000000" w:themeColor="text1"/>
                      <w:highlight w:val="none"/>
                      <w:lang w:val="en-US" w:eastAsia="zh-CN" w:bidi="ar-SA"/>
                      <w14:textFill>
                        <w14:solidFill>
                          <w14:schemeClr w14:val="tx1"/>
                        </w14:solidFill>
                      </w14:textFill>
                    </w:rPr>
                    <w:t>二次包覆、</w:t>
                  </w:r>
                  <w:r>
                    <w:rPr>
                      <w:rFonts w:hint="eastAsia" w:ascii="Times New Roman" w:hAnsi="Times New Roman" w:cs="Times New Roman"/>
                      <w:color w:val="000000" w:themeColor="text1"/>
                      <w:highlight w:val="none"/>
                      <w:lang w:val="en-US" w:eastAsia="zh-CN" w:bidi="ar-SA"/>
                      <w14:textFill>
                        <w14:solidFill>
                          <w14:schemeClr w14:val="tx1"/>
                        </w14:solidFill>
                      </w14:textFill>
                    </w:rPr>
                    <w:t>碳化</w:t>
                  </w:r>
                </w:p>
              </w:tc>
              <w:tc>
                <w:tcPr>
                  <w:tcW w:w="371" w:type="pct"/>
                  <w:vMerge w:val="continue"/>
                  <w:tcBorders>
                    <w:tl2br w:val="nil"/>
                    <w:tr2bl w:val="nil"/>
                  </w:tcBorders>
                  <w:noWrap w:val="0"/>
                  <w:vAlign w:val="center"/>
                </w:tcPr>
                <w:p w14:paraId="5D5E4DF3">
                  <w:pPr>
                    <w:pStyle w:val="26"/>
                    <w:bidi w:val="0"/>
                    <w:jc w:val="center"/>
                    <w:rPr>
                      <w:rFonts w:hint="default"/>
                      <w:color w:val="000000" w:themeColor="text1"/>
                      <w:highlight w:val="none"/>
                      <w:lang w:val="en-US" w:eastAsia="zh-CN" w:bidi="ar-SA"/>
                      <w14:textFill>
                        <w14:solidFill>
                          <w14:schemeClr w14:val="tx1"/>
                        </w14:solidFill>
                      </w14:textFill>
                    </w:rPr>
                  </w:pPr>
                </w:p>
              </w:tc>
              <w:tc>
                <w:tcPr>
                  <w:tcW w:w="519" w:type="pct"/>
                  <w:tcBorders>
                    <w:tl2br w:val="nil"/>
                    <w:tr2bl w:val="nil"/>
                  </w:tcBorders>
                  <w:noWrap w:val="0"/>
                  <w:vAlign w:val="center"/>
                </w:tcPr>
                <w:p w14:paraId="5D31338F">
                  <w:pPr>
                    <w:pStyle w:val="26"/>
                    <w:bidi w:val="0"/>
                    <w:ind w:firstLine="0" w:firstLineChars="0"/>
                    <w:jc w:val="center"/>
                    <w:rPr>
                      <w:rFonts w:hint="default"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沥青烟</w:t>
                  </w:r>
                </w:p>
              </w:tc>
              <w:tc>
                <w:tcPr>
                  <w:tcW w:w="383" w:type="pct"/>
                  <w:vMerge w:val="restart"/>
                  <w:tcBorders>
                    <w:tl2br w:val="nil"/>
                    <w:tr2bl w:val="nil"/>
                  </w:tcBorders>
                  <w:noWrap w:val="0"/>
                  <w:vAlign w:val="center"/>
                </w:tcPr>
                <w:p w14:paraId="3783B16B">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487" w:type="pct"/>
                  <w:tcBorders>
                    <w:tl2br w:val="nil"/>
                    <w:tr2bl w:val="nil"/>
                  </w:tcBorders>
                  <w:noWrap w:val="0"/>
                  <w:vAlign w:val="center"/>
                </w:tcPr>
                <w:p w14:paraId="2A4CF7CB">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482" w:type="pct"/>
                  <w:tcBorders>
                    <w:tl2br w:val="nil"/>
                    <w:tr2bl w:val="nil"/>
                  </w:tcBorders>
                  <w:noWrap w:val="0"/>
                  <w:vAlign w:val="center"/>
                </w:tcPr>
                <w:p w14:paraId="7D0AE431">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0.0008</w:t>
                  </w:r>
                </w:p>
              </w:tc>
              <w:tc>
                <w:tcPr>
                  <w:tcW w:w="420" w:type="pct"/>
                  <w:vMerge w:val="restart"/>
                  <w:tcBorders>
                    <w:tl2br w:val="nil"/>
                    <w:tr2bl w:val="nil"/>
                  </w:tcBorders>
                  <w:noWrap w:val="0"/>
                  <w:vAlign w:val="center"/>
                </w:tcPr>
                <w:p w14:paraId="1543B886">
                  <w:pPr>
                    <w:pStyle w:val="26"/>
                    <w:keepNext w:val="0"/>
                    <w:keepLines w:val="0"/>
                    <w:widowControl w:val="0"/>
                    <w:suppressLineNumbers w:val="0"/>
                    <w:bidi w:val="0"/>
                    <w:spacing w:before="0" w:beforeAutospacing="0" w:after="0" w:afterAutospacing="0"/>
                    <w:ind w:right="0"/>
                    <w:jc w:val="center"/>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设备排气管道收集</w:t>
                  </w:r>
                </w:p>
              </w:tc>
              <w:tc>
                <w:tcPr>
                  <w:tcW w:w="308" w:type="pct"/>
                  <w:tcBorders>
                    <w:tl2br w:val="nil"/>
                    <w:tr2bl w:val="nil"/>
                  </w:tcBorders>
                  <w:noWrap w:val="0"/>
                  <w:vAlign w:val="center"/>
                </w:tcPr>
                <w:p w14:paraId="2A0FD509">
                  <w:pPr>
                    <w:pStyle w:val="26"/>
                    <w:keepNext w:val="0"/>
                    <w:keepLines w:val="0"/>
                    <w:widowControl w:val="0"/>
                    <w:suppressLineNumbers w:val="0"/>
                    <w:bidi w:val="0"/>
                    <w:spacing w:before="0" w:beforeAutospacing="0" w:after="0" w:afterAutospacing="0"/>
                    <w:ind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98</w:t>
                  </w:r>
                </w:p>
              </w:tc>
              <w:tc>
                <w:tcPr>
                  <w:tcW w:w="485" w:type="pct"/>
                  <w:tcBorders>
                    <w:tl2br w:val="nil"/>
                    <w:tr2bl w:val="nil"/>
                  </w:tcBorders>
                  <w:noWrap w:val="0"/>
                  <w:vAlign w:val="center"/>
                </w:tcPr>
                <w:p w14:paraId="0CF7B44A">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472" w:type="pct"/>
                  <w:tcBorders>
                    <w:tl2br w:val="nil"/>
                    <w:tr2bl w:val="nil"/>
                  </w:tcBorders>
                  <w:noWrap w:val="0"/>
                  <w:vAlign w:val="center"/>
                </w:tcPr>
                <w:p w14:paraId="10B1C458">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0.0008</w:t>
                  </w:r>
                </w:p>
              </w:tc>
              <w:tc>
                <w:tcPr>
                  <w:tcW w:w="303" w:type="pct"/>
                  <w:tcBorders>
                    <w:tl2br w:val="nil"/>
                    <w:tr2bl w:val="nil"/>
                  </w:tcBorders>
                  <w:noWrap w:val="0"/>
                  <w:vAlign w:val="center"/>
                </w:tcPr>
                <w:p w14:paraId="435CC158">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3000</w:t>
                  </w:r>
                </w:p>
              </w:tc>
            </w:tr>
            <w:tr w14:paraId="3038DC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4" w:type="pct"/>
                  <w:vMerge w:val="continue"/>
                  <w:tcBorders>
                    <w:tl2br w:val="nil"/>
                    <w:tr2bl w:val="nil"/>
                  </w:tcBorders>
                  <w:noWrap w:val="0"/>
                  <w:vAlign w:val="center"/>
                </w:tcPr>
                <w:p w14:paraId="445273B7">
                  <w:pPr>
                    <w:pStyle w:val="26"/>
                    <w:bidi w:val="0"/>
                    <w:jc w:val="center"/>
                    <w:rPr>
                      <w:rFonts w:hint="default"/>
                      <w:color w:val="000000" w:themeColor="text1"/>
                      <w:highlight w:val="none"/>
                      <w:lang w:val="en-US" w:eastAsia="zh-CN" w:bidi="ar-SA"/>
                      <w14:textFill>
                        <w14:solidFill>
                          <w14:schemeClr w14:val="tx1"/>
                        </w14:solidFill>
                      </w14:textFill>
                    </w:rPr>
                  </w:pPr>
                </w:p>
              </w:tc>
              <w:tc>
                <w:tcPr>
                  <w:tcW w:w="398" w:type="pct"/>
                  <w:vMerge w:val="continue"/>
                  <w:tcBorders>
                    <w:tl2br w:val="nil"/>
                    <w:tr2bl w:val="nil"/>
                  </w:tcBorders>
                  <w:noWrap w:val="0"/>
                  <w:vAlign w:val="center"/>
                </w:tcPr>
                <w:p w14:paraId="0115AAFA">
                  <w:pPr>
                    <w:pStyle w:val="26"/>
                    <w:bidi w:val="0"/>
                    <w:ind w:firstLine="0" w:firstLineChars="0"/>
                    <w:jc w:val="center"/>
                    <w:rPr>
                      <w:rFonts w:hint="eastAsia" w:ascii="Times New Roman" w:hAnsi="Times New Roman" w:cs="Times New Roman"/>
                      <w:color w:val="000000" w:themeColor="text1"/>
                      <w:highlight w:val="none"/>
                      <w:lang w:val="en-US" w:eastAsia="zh-CN" w:bidi="ar-SA"/>
                      <w14:textFill>
                        <w14:solidFill>
                          <w14:schemeClr w14:val="tx1"/>
                        </w14:solidFill>
                      </w14:textFill>
                    </w:rPr>
                  </w:pPr>
                </w:p>
              </w:tc>
              <w:tc>
                <w:tcPr>
                  <w:tcW w:w="371" w:type="pct"/>
                  <w:vMerge w:val="continue"/>
                  <w:tcBorders>
                    <w:tl2br w:val="nil"/>
                    <w:tr2bl w:val="nil"/>
                  </w:tcBorders>
                  <w:noWrap w:val="0"/>
                  <w:vAlign w:val="center"/>
                </w:tcPr>
                <w:p w14:paraId="57D0F194">
                  <w:pPr>
                    <w:pStyle w:val="26"/>
                    <w:bidi w:val="0"/>
                    <w:jc w:val="center"/>
                    <w:rPr>
                      <w:rFonts w:hint="default"/>
                      <w:color w:val="000000" w:themeColor="text1"/>
                      <w:highlight w:val="none"/>
                      <w:lang w:val="en-US" w:eastAsia="zh-CN" w:bidi="ar-SA"/>
                      <w14:textFill>
                        <w14:solidFill>
                          <w14:schemeClr w14:val="tx1"/>
                        </w14:solidFill>
                      </w14:textFill>
                    </w:rPr>
                  </w:pPr>
                </w:p>
              </w:tc>
              <w:tc>
                <w:tcPr>
                  <w:tcW w:w="519" w:type="pct"/>
                  <w:tcBorders>
                    <w:tl2br w:val="nil"/>
                    <w:tr2bl w:val="nil"/>
                  </w:tcBorders>
                  <w:noWrap w:val="0"/>
                  <w:vAlign w:val="center"/>
                </w:tcPr>
                <w:p w14:paraId="6C42225D">
                  <w:pPr>
                    <w:pStyle w:val="26"/>
                    <w:bidi w:val="0"/>
                    <w:ind w:firstLine="0" w:firstLineChars="0"/>
                    <w:jc w:val="center"/>
                    <w:rPr>
                      <w:rFonts w:hint="default"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苯并[a]芘</w:t>
                  </w:r>
                </w:p>
              </w:tc>
              <w:tc>
                <w:tcPr>
                  <w:tcW w:w="383" w:type="pct"/>
                  <w:vMerge w:val="continue"/>
                  <w:tcBorders>
                    <w:tl2br w:val="nil"/>
                    <w:tr2bl w:val="nil"/>
                  </w:tcBorders>
                  <w:noWrap w:val="0"/>
                  <w:vAlign w:val="center"/>
                </w:tcPr>
                <w:p w14:paraId="2AB13034">
                  <w:pPr>
                    <w:pStyle w:val="26"/>
                    <w:bidi w:val="0"/>
                    <w:jc w:val="center"/>
                    <w:rPr>
                      <w:rFonts w:hint="default"/>
                      <w:color w:val="000000" w:themeColor="text1"/>
                      <w:highlight w:val="none"/>
                      <w:lang w:val="en-US" w:eastAsia="zh-CN" w:bidi="ar-SA"/>
                      <w14:textFill>
                        <w14:solidFill>
                          <w14:schemeClr w14:val="tx1"/>
                        </w14:solidFill>
                      </w14:textFill>
                    </w:rPr>
                  </w:pPr>
                </w:p>
              </w:tc>
              <w:tc>
                <w:tcPr>
                  <w:tcW w:w="487" w:type="pct"/>
                  <w:tcBorders>
                    <w:tl2br w:val="nil"/>
                    <w:tr2bl w:val="nil"/>
                  </w:tcBorders>
                  <w:noWrap w:val="0"/>
                  <w:vAlign w:val="center"/>
                </w:tcPr>
                <w:p w14:paraId="4E0D9D30">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482" w:type="pct"/>
                  <w:tcBorders>
                    <w:tl2br w:val="nil"/>
                    <w:tr2bl w:val="nil"/>
                  </w:tcBorders>
                  <w:noWrap w:val="0"/>
                  <w:vAlign w:val="center"/>
                </w:tcPr>
                <w:p w14:paraId="64A1CEED">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2.25E-07</w:t>
                  </w:r>
                </w:p>
              </w:tc>
              <w:tc>
                <w:tcPr>
                  <w:tcW w:w="420" w:type="pct"/>
                  <w:vMerge w:val="continue"/>
                  <w:tcBorders>
                    <w:tl2br w:val="nil"/>
                    <w:tr2bl w:val="nil"/>
                  </w:tcBorders>
                  <w:noWrap w:val="0"/>
                  <w:vAlign w:val="center"/>
                </w:tcPr>
                <w:p w14:paraId="49861618">
                  <w:pPr>
                    <w:pStyle w:val="26"/>
                    <w:keepNext w:val="0"/>
                    <w:keepLines w:val="0"/>
                    <w:widowControl w:val="0"/>
                    <w:suppressLineNumbers w:val="0"/>
                    <w:bidi w:val="0"/>
                    <w:spacing w:before="0" w:beforeAutospacing="0" w:after="0" w:afterAutospacing="0"/>
                    <w:ind w:right="0"/>
                    <w:jc w:val="center"/>
                    <w:rPr>
                      <w:rFonts w:hint="eastAsia" w:cs="Times New Roman"/>
                      <w:color w:val="000000" w:themeColor="text1"/>
                      <w:szCs w:val="20"/>
                      <w:highlight w:val="none"/>
                      <w:lang w:val="en-US" w:eastAsia="zh-CN" w:bidi="ar-SA"/>
                      <w14:textFill>
                        <w14:solidFill>
                          <w14:schemeClr w14:val="tx1"/>
                        </w14:solidFill>
                      </w14:textFill>
                    </w:rPr>
                  </w:pPr>
                </w:p>
              </w:tc>
              <w:tc>
                <w:tcPr>
                  <w:tcW w:w="308" w:type="pct"/>
                  <w:tcBorders>
                    <w:tl2br w:val="nil"/>
                    <w:tr2bl w:val="nil"/>
                  </w:tcBorders>
                  <w:noWrap w:val="0"/>
                  <w:vAlign w:val="center"/>
                </w:tcPr>
                <w:p w14:paraId="6E2BD708">
                  <w:pPr>
                    <w:pStyle w:val="26"/>
                    <w:keepNext w:val="0"/>
                    <w:keepLines w:val="0"/>
                    <w:widowControl w:val="0"/>
                    <w:suppressLineNumbers w:val="0"/>
                    <w:bidi w:val="0"/>
                    <w:spacing w:before="0" w:beforeAutospacing="0" w:after="0" w:afterAutospacing="0"/>
                    <w:ind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98</w:t>
                  </w:r>
                </w:p>
              </w:tc>
              <w:tc>
                <w:tcPr>
                  <w:tcW w:w="485" w:type="pct"/>
                  <w:tcBorders>
                    <w:tl2br w:val="nil"/>
                    <w:tr2bl w:val="nil"/>
                  </w:tcBorders>
                  <w:noWrap w:val="0"/>
                  <w:vAlign w:val="center"/>
                </w:tcPr>
                <w:p w14:paraId="77BDA705">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472" w:type="pct"/>
                  <w:tcBorders>
                    <w:tl2br w:val="nil"/>
                    <w:tr2bl w:val="nil"/>
                  </w:tcBorders>
                  <w:noWrap w:val="0"/>
                  <w:vAlign w:val="center"/>
                </w:tcPr>
                <w:p w14:paraId="74116C6D">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2.25E-07</w:t>
                  </w:r>
                </w:p>
              </w:tc>
              <w:tc>
                <w:tcPr>
                  <w:tcW w:w="303" w:type="pct"/>
                  <w:tcBorders>
                    <w:tl2br w:val="nil"/>
                    <w:tr2bl w:val="nil"/>
                  </w:tcBorders>
                  <w:noWrap w:val="0"/>
                  <w:vAlign w:val="center"/>
                </w:tcPr>
                <w:p w14:paraId="0229AAF7">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3000</w:t>
                  </w:r>
                </w:p>
              </w:tc>
            </w:tr>
            <w:tr w14:paraId="376F43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4" w:type="pct"/>
                  <w:vMerge w:val="continue"/>
                  <w:tcBorders>
                    <w:tl2br w:val="nil"/>
                    <w:tr2bl w:val="nil"/>
                  </w:tcBorders>
                  <w:noWrap w:val="0"/>
                  <w:vAlign w:val="center"/>
                </w:tcPr>
                <w:p w14:paraId="51CBAA5B">
                  <w:pPr>
                    <w:pStyle w:val="26"/>
                    <w:bidi w:val="0"/>
                    <w:jc w:val="center"/>
                    <w:rPr>
                      <w:rFonts w:hint="default"/>
                      <w:color w:val="000000" w:themeColor="text1"/>
                      <w:highlight w:val="none"/>
                      <w:lang w:val="en-US" w:eastAsia="zh-CN" w:bidi="ar-SA"/>
                      <w14:textFill>
                        <w14:solidFill>
                          <w14:schemeClr w14:val="tx1"/>
                        </w14:solidFill>
                      </w14:textFill>
                    </w:rPr>
                  </w:pPr>
                </w:p>
              </w:tc>
              <w:tc>
                <w:tcPr>
                  <w:tcW w:w="398" w:type="pct"/>
                  <w:vMerge w:val="continue"/>
                  <w:tcBorders>
                    <w:tl2br w:val="nil"/>
                    <w:tr2bl w:val="nil"/>
                  </w:tcBorders>
                  <w:noWrap w:val="0"/>
                  <w:vAlign w:val="center"/>
                </w:tcPr>
                <w:p w14:paraId="2C9C4E12">
                  <w:pPr>
                    <w:pStyle w:val="26"/>
                    <w:bidi w:val="0"/>
                    <w:ind w:firstLine="0" w:firstLineChars="0"/>
                    <w:jc w:val="center"/>
                    <w:rPr>
                      <w:rFonts w:hint="eastAsia" w:ascii="Times New Roman" w:hAnsi="Times New Roman" w:cs="Times New Roman"/>
                      <w:color w:val="000000" w:themeColor="text1"/>
                      <w:highlight w:val="none"/>
                      <w:lang w:val="en-US" w:eastAsia="zh-CN" w:bidi="ar-SA"/>
                      <w14:textFill>
                        <w14:solidFill>
                          <w14:schemeClr w14:val="tx1"/>
                        </w14:solidFill>
                      </w14:textFill>
                    </w:rPr>
                  </w:pPr>
                </w:p>
              </w:tc>
              <w:tc>
                <w:tcPr>
                  <w:tcW w:w="371" w:type="pct"/>
                  <w:vMerge w:val="continue"/>
                  <w:tcBorders>
                    <w:tl2br w:val="nil"/>
                    <w:tr2bl w:val="nil"/>
                  </w:tcBorders>
                  <w:noWrap w:val="0"/>
                  <w:vAlign w:val="center"/>
                </w:tcPr>
                <w:p w14:paraId="78EBF84E">
                  <w:pPr>
                    <w:pStyle w:val="26"/>
                    <w:bidi w:val="0"/>
                    <w:jc w:val="center"/>
                    <w:rPr>
                      <w:rFonts w:hint="default"/>
                      <w:color w:val="000000" w:themeColor="text1"/>
                      <w:highlight w:val="none"/>
                      <w:lang w:val="en-US" w:eastAsia="zh-CN" w:bidi="ar-SA"/>
                      <w14:textFill>
                        <w14:solidFill>
                          <w14:schemeClr w14:val="tx1"/>
                        </w14:solidFill>
                      </w14:textFill>
                    </w:rPr>
                  </w:pPr>
                </w:p>
              </w:tc>
              <w:tc>
                <w:tcPr>
                  <w:tcW w:w="519" w:type="pct"/>
                  <w:tcBorders>
                    <w:tl2br w:val="nil"/>
                    <w:tr2bl w:val="nil"/>
                  </w:tcBorders>
                  <w:noWrap w:val="0"/>
                  <w:vAlign w:val="center"/>
                </w:tcPr>
                <w:p w14:paraId="54FF4BD8">
                  <w:pPr>
                    <w:pStyle w:val="26"/>
                    <w:bidi w:val="0"/>
                    <w:ind w:firstLine="0" w:firstLineChars="0"/>
                    <w:jc w:val="center"/>
                    <w:rPr>
                      <w:rFonts w:hint="default"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颗粒物</w:t>
                  </w:r>
                </w:p>
              </w:tc>
              <w:tc>
                <w:tcPr>
                  <w:tcW w:w="383" w:type="pct"/>
                  <w:vMerge w:val="continue"/>
                  <w:tcBorders>
                    <w:tl2br w:val="nil"/>
                    <w:tr2bl w:val="nil"/>
                  </w:tcBorders>
                  <w:noWrap w:val="0"/>
                  <w:vAlign w:val="center"/>
                </w:tcPr>
                <w:p w14:paraId="56375AD2">
                  <w:pPr>
                    <w:pStyle w:val="26"/>
                    <w:bidi w:val="0"/>
                    <w:jc w:val="center"/>
                    <w:rPr>
                      <w:rFonts w:hint="default"/>
                      <w:color w:val="000000" w:themeColor="text1"/>
                      <w:highlight w:val="none"/>
                      <w:lang w:val="en-US" w:eastAsia="zh-CN" w:bidi="ar-SA"/>
                      <w14:textFill>
                        <w14:solidFill>
                          <w14:schemeClr w14:val="tx1"/>
                        </w14:solidFill>
                      </w14:textFill>
                    </w:rPr>
                  </w:pPr>
                </w:p>
              </w:tc>
              <w:tc>
                <w:tcPr>
                  <w:tcW w:w="487" w:type="pct"/>
                  <w:tcBorders>
                    <w:tl2br w:val="nil"/>
                    <w:tr2bl w:val="nil"/>
                  </w:tcBorders>
                  <w:noWrap w:val="0"/>
                  <w:vAlign w:val="center"/>
                </w:tcPr>
                <w:p w14:paraId="493591CD">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482" w:type="pct"/>
                  <w:tcBorders>
                    <w:tl2br w:val="nil"/>
                    <w:tr2bl w:val="nil"/>
                  </w:tcBorders>
                  <w:noWrap w:val="0"/>
                  <w:vAlign w:val="center"/>
                </w:tcPr>
                <w:p w14:paraId="7690EFD6">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0.0127</w:t>
                  </w:r>
                </w:p>
              </w:tc>
              <w:tc>
                <w:tcPr>
                  <w:tcW w:w="420" w:type="pct"/>
                  <w:vMerge w:val="continue"/>
                  <w:tcBorders>
                    <w:tl2br w:val="nil"/>
                    <w:tr2bl w:val="nil"/>
                  </w:tcBorders>
                  <w:noWrap w:val="0"/>
                  <w:vAlign w:val="center"/>
                </w:tcPr>
                <w:p w14:paraId="12DD2509">
                  <w:pPr>
                    <w:pStyle w:val="26"/>
                    <w:keepNext w:val="0"/>
                    <w:keepLines w:val="0"/>
                    <w:widowControl w:val="0"/>
                    <w:suppressLineNumbers w:val="0"/>
                    <w:bidi w:val="0"/>
                    <w:spacing w:before="0" w:beforeAutospacing="0" w:after="0" w:afterAutospacing="0"/>
                    <w:ind w:right="0"/>
                    <w:jc w:val="center"/>
                    <w:rPr>
                      <w:rFonts w:hint="eastAsia" w:cs="Times New Roman"/>
                      <w:color w:val="000000" w:themeColor="text1"/>
                      <w:szCs w:val="20"/>
                      <w:highlight w:val="none"/>
                      <w:lang w:val="en-US" w:eastAsia="zh-CN" w:bidi="ar-SA"/>
                      <w14:textFill>
                        <w14:solidFill>
                          <w14:schemeClr w14:val="tx1"/>
                        </w14:solidFill>
                      </w14:textFill>
                    </w:rPr>
                  </w:pPr>
                </w:p>
              </w:tc>
              <w:tc>
                <w:tcPr>
                  <w:tcW w:w="308" w:type="pct"/>
                  <w:tcBorders>
                    <w:tl2br w:val="nil"/>
                    <w:tr2bl w:val="nil"/>
                  </w:tcBorders>
                  <w:noWrap w:val="0"/>
                  <w:vAlign w:val="center"/>
                </w:tcPr>
                <w:p w14:paraId="43BFE884">
                  <w:pPr>
                    <w:pStyle w:val="26"/>
                    <w:keepNext w:val="0"/>
                    <w:keepLines w:val="0"/>
                    <w:widowControl w:val="0"/>
                    <w:suppressLineNumbers w:val="0"/>
                    <w:bidi w:val="0"/>
                    <w:spacing w:before="0" w:beforeAutospacing="0" w:after="0" w:afterAutospacing="0"/>
                    <w:ind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98</w:t>
                  </w:r>
                </w:p>
              </w:tc>
              <w:tc>
                <w:tcPr>
                  <w:tcW w:w="485" w:type="pct"/>
                  <w:tcBorders>
                    <w:tl2br w:val="nil"/>
                    <w:tr2bl w:val="nil"/>
                  </w:tcBorders>
                  <w:noWrap w:val="0"/>
                  <w:vAlign w:val="center"/>
                </w:tcPr>
                <w:p w14:paraId="09E42611">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472" w:type="pct"/>
                  <w:tcBorders>
                    <w:tl2br w:val="nil"/>
                    <w:tr2bl w:val="nil"/>
                  </w:tcBorders>
                  <w:noWrap w:val="0"/>
                  <w:vAlign w:val="center"/>
                </w:tcPr>
                <w:p w14:paraId="437B57F0">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0.0127</w:t>
                  </w:r>
                </w:p>
              </w:tc>
              <w:tc>
                <w:tcPr>
                  <w:tcW w:w="303" w:type="pct"/>
                  <w:tcBorders>
                    <w:tl2br w:val="nil"/>
                    <w:tr2bl w:val="nil"/>
                  </w:tcBorders>
                  <w:noWrap w:val="0"/>
                  <w:vAlign w:val="center"/>
                </w:tcPr>
                <w:p w14:paraId="0B163827">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3000</w:t>
                  </w:r>
                </w:p>
              </w:tc>
            </w:tr>
            <w:tr w14:paraId="232C19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4" w:type="pct"/>
                  <w:vMerge w:val="continue"/>
                  <w:noWrap w:val="0"/>
                  <w:vAlign w:val="center"/>
                </w:tcPr>
                <w:p w14:paraId="57F9A929">
                  <w:pPr>
                    <w:pStyle w:val="26"/>
                    <w:bidi w:val="0"/>
                    <w:jc w:val="center"/>
                    <w:rPr>
                      <w:rFonts w:hint="default"/>
                      <w:color w:val="000000" w:themeColor="text1"/>
                      <w:highlight w:val="none"/>
                      <w:lang w:val="en-US" w:eastAsia="zh-CN" w:bidi="ar-SA"/>
                      <w14:textFill>
                        <w14:solidFill>
                          <w14:schemeClr w14:val="tx1"/>
                        </w14:solidFill>
                      </w14:textFill>
                    </w:rPr>
                  </w:pPr>
                </w:p>
              </w:tc>
              <w:tc>
                <w:tcPr>
                  <w:tcW w:w="398" w:type="pct"/>
                  <w:vMerge w:val="continue"/>
                  <w:noWrap w:val="0"/>
                  <w:vAlign w:val="center"/>
                </w:tcPr>
                <w:p w14:paraId="09C9F371">
                  <w:pPr>
                    <w:pStyle w:val="26"/>
                    <w:bidi w:val="0"/>
                    <w:ind w:firstLine="0" w:firstLineChars="0"/>
                    <w:jc w:val="center"/>
                    <w:rPr>
                      <w:rFonts w:hint="eastAsia" w:ascii="Times New Roman" w:hAnsi="Times New Roman" w:cs="Times New Roman"/>
                      <w:color w:val="000000" w:themeColor="text1"/>
                      <w:highlight w:val="none"/>
                      <w:lang w:val="en-US" w:eastAsia="zh-CN" w:bidi="ar-SA"/>
                      <w14:textFill>
                        <w14:solidFill>
                          <w14:schemeClr w14:val="tx1"/>
                        </w14:solidFill>
                      </w14:textFill>
                    </w:rPr>
                  </w:pPr>
                </w:p>
              </w:tc>
              <w:tc>
                <w:tcPr>
                  <w:tcW w:w="371" w:type="pct"/>
                  <w:vMerge w:val="continue"/>
                  <w:noWrap w:val="0"/>
                  <w:vAlign w:val="center"/>
                </w:tcPr>
                <w:p w14:paraId="5D0F12C0">
                  <w:pPr>
                    <w:pStyle w:val="26"/>
                    <w:bidi w:val="0"/>
                    <w:jc w:val="center"/>
                    <w:rPr>
                      <w:rFonts w:hint="default"/>
                      <w:color w:val="000000" w:themeColor="text1"/>
                      <w:highlight w:val="none"/>
                      <w:lang w:val="en-US" w:eastAsia="zh-CN" w:bidi="ar-SA"/>
                      <w14:textFill>
                        <w14:solidFill>
                          <w14:schemeClr w14:val="tx1"/>
                        </w14:solidFill>
                      </w14:textFill>
                    </w:rPr>
                  </w:pPr>
                </w:p>
              </w:tc>
              <w:tc>
                <w:tcPr>
                  <w:tcW w:w="519" w:type="pct"/>
                  <w:noWrap w:val="0"/>
                  <w:vAlign w:val="center"/>
                </w:tcPr>
                <w:p w14:paraId="66A14DEF">
                  <w:pPr>
                    <w:pStyle w:val="26"/>
                    <w:bidi w:val="0"/>
                    <w:ind w:firstLine="0" w:firstLineChars="0"/>
                    <w:jc w:val="center"/>
                    <w:rPr>
                      <w:rFonts w:hint="default"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非甲烷总烃</w:t>
                  </w:r>
                </w:p>
              </w:tc>
              <w:tc>
                <w:tcPr>
                  <w:tcW w:w="383" w:type="pct"/>
                  <w:vMerge w:val="continue"/>
                  <w:noWrap w:val="0"/>
                  <w:vAlign w:val="center"/>
                </w:tcPr>
                <w:p w14:paraId="011E1B5C">
                  <w:pPr>
                    <w:pStyle w:val="26"/>
                    <w:bidi w:val="0"/>
                    <w:jc w:val="center"/>
                    <w:rPr>
                      <w:rFonts w:hint="default"/>
                      <w:color w:val="000000" w:themeColor="text1"/>
                      <w:highlight w:val="none"/>
                      <w:lang w:val="en-US" w:eastAsia="zh-CN" w:bidi="ar-SA"/>
                      <w14:textFill>
                        <w14:solidFill>
                          <w14:schemeClr w14:val="tx1"/>
                        </w14:solidFill>
                      </w14:textFill>
                    </w:rPr>
                  </w:pPr>
                </w:p>
              </w:tc>
              <w:tc>
                <w:tcPr>
                  <w:tcW w:w="487" w:type="pct"/>
                  <w:noWrap w:val="0"/>
                  <w:vAlign w:val="center"/>
                </w:tcPr>
                <w:p w14:paraId="2439B21B">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482" w:type="pct"/>
                  <w:noWrap w:val="0"/>
                  <w:vAlign w:val="center"/>
                </w:tcPr>
                <w:p w14:paraId="2EDE3D9C">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0.0493</w:t>
                  </w:r>
                </w:p>
              </w:tc>
              <w:tc>
                <w:tcPr>
                  <w:tcW w:w="420" w:type="pct"/>
                  <w:vMerge w:val="continue"/>
                  <w:noWrap w:val="0"/>
                  <w:vAlign w:val="center"/>
                </w:tcPr>
                <w:p w14:paraId="33FCF9DF">
                  <w:pPr>
                    <w:pStyle w:val="26"/>
                    <w:keepNext w:val="0"/>
                    <w:keepLines w:val="0"/>
                    <w:widowControl w:val="0"/>
                    <w:suppressLineNumbers w:val="0"/>
                    <w:bidi w:val="0"/>
                    <w:spacing w:before="0" w:beforeAutospacing="0" w:after="0" w:afterAutospacing="0"/>
                    <w:ind w:right="0"/>
                    <w:jc w:val="center"/>
                    <w:rPr>
                      <w:rFonts w:hint="eastAsia" w:cs="Times New Roman"/>
                      <w:color w:val="000000" w:themeColor="text1"/>
                      <w:szCs w:val="20"/>
                      <w:highlight w:val="none"/>
                      <w:lang w:val="en-US" w:eastAsia="zh-CN" w:bidi="ar-SA"/>
                      <w14:textFill>
                        <w14:solidFill>
                          <w14:schemeClr w14:val="tx1"/>
                        </w14:solidFill>
                      </w14:textFill>
                    </w:rPr>
                  </w:pPr>
                </w:p>
              </w:tc>
              <w:tc>
                <w:tcPr>
                  <w:tcW w:w="308" w:type="pct"/>
                  <w:noWrap w:val="0"/>
                  <w:vAlign w:val="center"/>
                </w:tcPr>
                <w:p w14:paraId="12ACDC1B">
                  <w:pPr>
                    <w:pStyle w:val="26"/>
                    <w:keepNext w:val="0"/>
                    <w:keepLines w:val="0"/>
                    <w:widowControl w:val="0"/>
                    <w:suppressLineNumbers w:val="0"/>
                    <w:bidi w:val="0"/>
                    <w:spacing w:before="0" w:beforeAutospacing="0" w:after="0" w:afterAutospacing="0"/>
                    <w:ind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98</w:t>
                  </w:r>
                </w:p>
              </w:tc>
              <w:tc>
                <w:tcPr>
                  <w:tcW w:w="485" w:type="pct"/>
                  <w:noWrap w:val="0"/>
                  <w:vAlign w:val="center"/>
                </w:tcPr>
                <w:p w14:paraId="4F4BA7E5">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472" w:type="pct"/>
                  <w:noWrap w:val="0"/>
                  <w:vAlign w:val="center"/>
                </w:tcPr>
                <w:p w14:paraId="0D5F855D">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0.0493</w:t>
                  </w:r>
                </w:p>
              </w:tc>
              <w:tc>
                <w:tcPr>
                  <w:tcW w:w="303" w:type="pct"/>
                  <w:noWrap w:val="0"/>
                  <w:vAlign w:val="center"/>
                </w:tcPr>
                <w:p w14:paraId="2841759C">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3000</w:t>
                  </w:r>
                </w:p>
              </w:tc>
            </w:tr>
            <w:tr w14:paraId="5BD89C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2" w:type="pct"/>
                  <w:gridSpan w:val="2"/>
                  <w:noWrap w:val="0"/>
                  <w:vAlign w:val="center"/>
                </w:tcPr>
                <w:p w14:paraId="13193386">
                  <w:pPr>
                    <w:pStyle w:val="26"/>
                    <w:bidi w:val="0"/>
                    <w:ind w:firstLine="0" w:firstLineChars="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一期乙醇储罐呼吸废气</w:t>
                  </w:r>
                </w:p>
              </w:tc>
              <w:tc>
                <w:tcPr>
                  <w:tcW w:w="371" w:type="pct"/>
                  <w:vMerge w:val="continue"/>
                  <w:noWrap w:val="0"/>
                  <w:vAlign w:val="center"/>
                </w:tcPr>
                <w:p w14:paraId="28F4DD5A">
                  <w:pPr>
                    <w:pStyle w:val="26"/>
                    <w:bidi w:val="0"/>
                    <w:jc w:val="center"/>
                    <w:rPr>
                      <w:rFonts w:hint="default"/>
                      <w:color w:val="000000" w:themeColor="text1"/>
                      <w:highlight w:val="none"/>
                      <w:lang w:val="en-US" w:eastAsia="zh-CN" w:bidi="ar-SA"/>
                      <w14:textFill>
                        <w14:solidFill>
                          <w14:schemeClr w14:val="tx1"/>
                        </w14:solidFill>
                      </w14:textFill>
                    </w:rPr>
                  </w:pPr>
                </w:p>
              </w:tc>
              <w:tc>
                <w:tcPr>
                  <w:tcW w:w="519" w:type="pct"/>
                  <w:noWrap w:val="0"/>
                  <w:vAlign w:val="center"/>
                </w:tcPr>
                <w:p w14:paraId="61A8E124">
                  <w:pPr>
                    <w:pStyle w:val="26"/>
                    <w:bidi w:val="0"/>
                    <w:ind w:firstLine="0" w:firstLineChars="0"/>
                    <w:jc w:val="center"/>
                    <w:rPr>
                      <w:rFonts w:hint="eastAsia"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非甲烷总烃</w:t>
                  </w:r>
                </w:p>
              </w:tc>
              <w:tc>
                <w:tcPr>
                  <w:tcW w:w="383" w:type="pct"/>
                  <w:noWrap w:val="0"/>
                  <w:vAlign w:val="center"/>
                </w:tcPr>
                <w:p w14:paraId="7B6A3B3D">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w:t>
                  </w:r>
                </w:p>
              </w:tc>
              <w:tc>
                <w:tcPr>
                  <w:tcW w:w="487" w:type="pct"/>
                  <w:noWrap w:val="0"/>
                  <w:vAlign w:val="center"/>
                </w:tcPr>
                <w:p w14:paraId="38A6A459">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w:t>
                  </w:r>
                </w:p>
              </w:tc>
              <w:tc>
                <w:tcPr>
                  <w:tcW w:w="482" w:type="pct"/>
                  <w:noWrap w:val="0"/>
                  <w:vAlign w:val="center"/>
                </w:tcPr>
                <w:p w14:paraId="5C57BF45">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0.0001</w:t>
                  </w:r>
                </w:p>
              </w:tc>
              <w:tc>
                <w:tcPr>
                  <w:tcW w:w="420" w:type="pct"/>
                  <w:noWrap w:val="0"/>
                  <w:vAlign w:val="center"/>
                </w:tcPr>
                <w:p w14:paraId="330F0822">
                  <w:pPr>
                    <w:pStyle w:val="26"/>
                    <w:keepNext w:val="0"/>
                    <w:keepLines w:val="0"/>
                    <w:widowControl w:val="0"/>
                    <w:suppressLineNumbers w:val="0"/>
                    <w:bidi w:val="0"/>
                    <w:spacing w:before="0" w:beforeAutospacing="0" w:after="0" w:afterAutospacing="0"/>
                    <w:ind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w:t>
                  </w:r>
                </w:p>
              </w:tc>
              <w:tc>
                <w:tcPr>
                  <w:tcW w:w="308" w:type="pct"/>
                  <w:noWrap w:val="0"/>
                  <w:vAlign w:val="center"/>
                </w:tcPr>
                <w:p w14:paraId="7F098AB1">
                  <w:pPr>
                    <w:pStyle w:val="26"/>
                    <w:keepNext w:val="0"/>
                    <w:keepLines w:val="0"/>
                    <w:widowControl w:val="0"/>
                    <w:suppressLineNumbers w:val="0"/>
                    <w:bidi w:val="0"/>
                    <w:spacing w:before="0" w:beforeAutospacing="0" w:after="0" w:afterAutospacing="0"/>
                    <w:ind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w:t>
                  </w:r>
                </w:p>
              </w:tc>
              <w:tc>
                <w:tcPr>
                  <w:tcW w:w="485" w:type="pct"/>
                  <w:noWrap w:val="0"/>
                  <w:vAlign w:val="center"/>
                </w:tcPr>
                <w:p w14:paraId="3ABED1FA">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w:t>
                  </w:r>
                </w:p>
              </w:tc>
              <w:tc>
                <w:tcPr>
                  <w:tcW w:w="472" w:type="pct"/>
                  <w:noWrap w:val="0"/>
                  <w:vAlign w:val="center"/>
                </w:tcPr>
                <w:p w14:paraId="6A26EE4C">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0.0001</w:t>
                  </w:r>
                </w:p>
              </w:tc>
              <w:tc>
                <w:tcPr>
                  <w:tcW w:w="303" w:type="pct"/>
                  <w:noWrap w:val="0"/>
                  <w:vAlign w:val="center"/>
                </w:tcPr>
                <w:p w14:paraId="7251099C">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w:t>
                  </w:r>
                </w:p>
              </w:tc>
            </w:tr>
            <w:tr w14:paraId="6DFE02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12"/>
                  <w:noWrap w:val="0"/>
                  <w:vAlign w:val="center"/>
                </w:tcPr>
                <w:p w14:paraId="072B4A24">
                  <w:pPr>
                    <w:pStyle w:val="26"/>
                    <w:bidi w:val="0"/>
                    <w:jc w:val="both"/>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注：乙醇储罐呼吸废气的产生速率和排放速率为最大瞬时速率。</w:t>
                  </w:r>
                </w:p>
              </w:tc>
            </w:tr>
          </w:tbl>
          <w:p w14:paraId="03BC237C">
            <w:pPr>
              <w:pStyle w:val="30"/>
              <w:bidi w:val="0"/>
              <w:rPr>
                <w:rFonts w:hint="default"/>
                <w:color w:val="000000" w:themeColor="text1"/>
                <w:highlight w:val="none"/>
                <w:lang w:eastAsia="zh-CN"/>
                <w14:textFill>
                  <w14:solidFill>
                    <w14:schemeClr w14:val="tx1"/>
                  </w14:solidFill>
                </w14:textFill>
              </w:rPr>
            </w:pPr>
            <w:bookmarkStart w:id="186" w:name="_Ref2676"/>
            <w:bookmarkStart w:id="187" w:name="_Ref26826"/>
            <w:r>
              <w:rPr>
                <w:rFonts w:hint="eastAsia"/>
                <w:color w:val="000000" w:themeColor="text1"/>
                <w:highlight w:val="none"/>
                <w:lang w:val="en-US" w:eastAsia="zh-CN"/>
                <w14:textFill>
                  <w14:solidFill>
                    <w14:schemeClr w14:val="tx1"/>
                  </w14:solidFill>
                </w14:textFill>
              </w:rPr>
              <w:t>一期工程建成后废气产排情况汇总表</w:t>
            </w:r>
            <w:bookmarkEnd w:id="186"/>
          </w:p>
          <w:tbl>
            <w:tblPr>
              <w:tblStyle w:val="18"/>
              <w:tblW w:w="499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1"/>
              <w:gridCol w:w="1538"/>
              <w:gridCol w:w="1350"/>
              <w:gridCol w:w="1023"/>
              <w:gridCol w:w="1268"/>
              <w:gridCol w:w="1187"/>
              <w:gridCol w:w="1077"/>
              <w:gridCol w:w="1152"/>
              <w:gridCol w:w="1227"/>
              <w:gridCol w:w="1105"/>
              <w:gridCol w:w="1646"/>
            </w:tblGrid>
            <w:tr w14:paraId="3AA84A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874" w:type="pct"/>
                  <w:gridSpan w:val="2"/>
                  <w:vMerge w:val="restart"/>
                  <w:tcBorders>
                    <w:tl2br w:val="nil"/>
                    <w:tr2bl w:val="nil"/>
                  </w:tcBorders>
                  <w:noWrap w:val="0"/>
                  <w:vAlign w:val="center"/>
                </w:tcPr>
                <w:p w14:paraId="7DA1D92A">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污染源</w:t>
                  </w:r>
                </w:p>
              </w:tc>
              <w:tc>
                <w:tcPr>
                  <w:tcW w:w="504" w:type="pct"/>
                  <w:vMerge w:val="restart"/>
                  <w:tcBorders>
                    <w:tl2br w:val="nil"/>
                    <w:tr2bl w:val="nil"/>
                  </w:tcBorders>
                  <w:noWrap w:val="0"/>
                  <w:vAlign w:val="center"/>
                </w:tcPr>
                <w:p w14:paraId="6034B5D8">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污染物</w:t>
                  </w:r>
                </w:p>
              </w:tc>
              <w:tc>
                <w:tcPr>
                  <w:tcW w:w="382" w:type="pct"/>
                  <w:vMerge w:val="restart"/>
                  <w:tcBorders>
                    <w:tl2br w:val="nil"/>
                    <w:tr2bl w:val="nil"/>
                  </w:tcBorders>
                  <w:noWrap w:val="0"/>
                  <w:vAlign w:val="center"/>
                </w:tcPr>
                <w:p w14:paraId="620C8FDC">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废气量/（m</w:t>
                  </w:r>
                  <w:r>
                    <w:rPr>
                      <w:rFonts w:hint="default" w:ascii="Times New Roman" w:hAnsi="Times New Roman" w:cs="Times New Roman"/>
                      <w:color w:val="000000" w:themeColor="text1"/>
                      <w:szCs w:val="20"/>
                      <w:highlight w:val="none"/>
                      <w:vertAlign w:val="superscript"/>
                      <w:lang w:val="en-US" w:eastAsia="zh-CN" w:bidi="ar-SA"/>
                      <w14:textFill>
                        <w14:solidFill>
                          <w14:schemeClr w14:val="tx1"/>
                        </w14:solidFill>
                      </w14:textFill>
                    </w:rPr>
                    <w:t>3</w:t>
                  </w: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/h）</w:t>
                  </w:r>
                </w:p>
              </w:tc>
              <w:tc>
                <w:tcPr>
                  <w:tcW w:w="1320" w:type="pct"/>
                  <w:gridSpan w:val="3"/>
                  <w:tcBorders>
                    <w:tl2br w:val="nil"/>
                    <w:tr2bl w:val="nil"/>
                  </w:tcBorders>
                  <w:noWrap w:val="0"/>
                  <w:vAlign w:val="center"/>
                </w:tcPr>
                <w:p w14:paraId="513573DF">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污染物产生</w:t>
                  </w:r>
                </w:p>
              </w:tc>
              <w:tc>
                <w:tcPr>
                  <w:tcW w:w="1302" w:type="pct"/>
                  <w:gridSpan w:val="3"/>
                  <w:tcBorders>
                    <w:tl2br w:val="nil"/>
                    <w:tr2bl w:val="nil"/>
                  </w:tcBorders>
                  <w:noWrap w:val="0"/>
                  <w:vAlign w:val="center"/>
                </w:tcPr>
                <w:p w14:paraId="474D6BC8">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污染物排放</w:t>
                  </w:r>
                </w:p>
              </w:tc>
              <w:tc>
                <w:tcPr>
                  <w:tcW w:w="615" w:type="pct"/>
                  <w:vMerge w:val="restart"/>
                  <w:tcBorders>
                    <w:tl2br w:val="nil"/>
                    <w:tr2bl w:val="nil"/>
                  </w:tcBorders>
                  <w:noWrap w:val="0"/>
                  <w:vAlign w:val="center"/>
                </w:tcPr>
                <w:p w14:paraId="66E3CDCD">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年</w:t>
                  </w: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排放时间/h</w:t>
                  </w:r>
                </w:p>
              </w:tc>
            </w:tr>
            <w:tr w14:paraId="6CA1E0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874" w:type="pct"/>
                  <w:gridSpan w:val="2"/>
                  <w:vMerge w:val="continue"/>
                  <w:tcBorders>
                    <w:tl2br w:val="nil"/>
                    <w:tr2bl w:val="nil"/>
                  </w:tcBorders>
                  <w:noWrap w:val="0"/>
                  <w:vAlign w:val="center"/>
                </w:tcPr>
                <w:p w14:paraId="56A1C67D">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p>
              </w:tc>
              <w:tc>
                <w:tcPr>
                  <w:tcW w:w="504" w:type="pct"/>
                  <w:vMerge w:val="continue"/>
                  <w:tcBorders>
                    <w:tl2br w:val="nil"/>
                    <w:tr2bl w:val="nil"/>
                  </w:tcBorders>
                  <w:noWrap w:val="0"/>
                  <w:vAlign w:val="center"/>
                </w:tcPr>
                <w:p w14:paraId="7F70A40E">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p>
              </w:tc>
              <w:tc>
                <w:tcPr>
                  <w:tcW w:w="382" w:type="pct"/>
                  <w:vMerge w:val="continue"/>
                  <w:tcBorders>
                    <w:tl2br w:val="nil"/>
                    <w:tr2bl w:val="nil"/>
                  </w:tcBorders>
                  <w:noWrap w:val="0"/>
                  <w:vAlign w:val="center"/>
                </w:tcPr>
                <w:p w14:paraId="22188E01">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p>
              </w:tc>
              <w:tc>
                <w:tcPr>
                  <w:tcW w:w="474" w:type="pct"/>
                  <w:tcBorders>
                    <w:tl2br w:val="nil"/>
                    <w:tr2bl w:val="nil"/>
                  </w:tcBorders>
                  <w:noWrap w:val="0"/>
                  <w:vAlign w:val="center"/>
                </w:tcPr>
                <w:p w14:paraId="6D28E2D5">
                  <w:pPr>
                    <w:pStyle w:val="26"/>
                    <w:keepNext w:val="0"/>
                    <w:keepLines w:val="0"/>
                    <w:widowControl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产生浓度/（mg/m</w:t>
                  </w:r>
                  <w:r>
                    <w:rPr>
                      <w:rFonts w:hint="default" w:ascii="Times New Roman" w:hAnsi="Times New Roman" w:cs="Times New Roman"/>
                      <w:color w:val="000000" w:themeColor="text1"/>
                      <w:szCs w:val="20"/>
                      <w:highlight w:val="none"/>
                      <w:vertAlign w:val="superscript"/>
                      <w:lang w:val="en-US" w:eastAsia="zh-CN" w:bidi="ar-SA"/>
                      <w14:textFill>
                        <w14:solidFill>
                          <w14:schemeClr w14:val="tx1"/>
                        </w14:solidFill>
                      </w14:textFill>
                    </w:rPr>
                    <w:t>3</w:t>
                  </w: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w:t>
                  </w:r>
                </w:p>
              </w:tc>
              <w:tc>
                <w:tcPr>
                  <w:tcW w:w="443" w:type="pct"/>
                  <w:tcBorders>
                    <w:tl2br w:val="nil"/>
                    <w:tr2bl w:val="nil"/>
                  </w:tcBorders>
                  <w:noWrap w:val="0"/>
                  <w:vAlign w:val="center"/>
                </w:tcPr>
                <w:p w14:paraId="7C63F8D4">
                  <w:pPr>
                    <w:pStyle w:val="26"/>
                    <w:keepNext w:val="0"/>
                    <w:keepLines w:val="0"/>
                    <w:widowControl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产生</w:t>
                  </w:r>
                  <w:r>
                    <w:rPr>
                      <w:rFonts w:hint="eastAsia" w:cs="Times New Roman"/>
                      <w:color w:val="000000" w:themeColor="text1"/>
                      <w:szCs w:val="20"/>
                      <w:highlight w:val="none"/>
                      <w:lang w:val="en-US" w:eastAsia="zh-CN" w:bidi="ar-SA"/>
                      <w14:textFill>
                        <w14:solidFill>
                          <w14:schemeClr w14:val="tx1"/>
                        </w14:solidFill>
                      </w14:textFill>
                    </w:rPr>
                    <w:t>速率</w:t>
                  </w: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/（kg/h）</w:t>
                  </w:r>
                </w:p>
              </w:tc>
              <w:tc>
                <w:tcPr>
                  <w:tcW w:w="402" w:type="pct"/>
                  <w:tcBorders>
                    <w:tl2br w:val="nil"/>
                    <w:tr2bl w:val="nil"/>
                  </w:tcBorders>
                  <w:noWrap w:val="0"/>
                  <w:vAlign w:val="center"/>
                </w:tcPr>
                <w:p w14:paraId="234D461B">
                  <w:pPr>
                    <w:pStyle w:val="26"/>
                    <w:keepNext w:val="0"/>
                    <w:keepLines w:val="0"/>
                    <w:widowControl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eastAsia" w:ascii="Times New Roman" w:hAnsi="Times New Roman" w:cs="Times New Roman"/>
                      <w:color w:val="000000" w:themeColor="text1"/>
                      <w:szCs w:val="20"/>
                      <w:highlight w:val="none"/>
                      <w:lang w:val="en-US" w:eastAsia="zh-CN" w:bidi="ar-SA"/>
                      <w14:textFill>
                        <w14:solidFill>
                          <w14:schemeClr w14:val="tx1"/>
                        </w14:solidFill>
                      </w14:textFill>
                    </w:rPr>
                    <w:t>产生量/（t/a）</w:t>
                  </w:r>
                </w:p>
              </w:tc>
              <w:tc>
                <w:tcPr>
                  <w:tcW w:w="430" w:type="pct"/>
                  <w:tcBorders>
                    <w:tl2br w:val="nil"/>
                    <w:tr2bl w:val="nil"/>
                  </w:tcBorders>
                  <w:noWrap w:val="0"/>
                  <w:vAlign w:val="center"/>
                </w:tcPr>
                <w:p w14:paraId="42CBAC17">
                  <w:pPr>
                    <w:pStyle w:val="26"/>
                    <w:keepNext w:val="0"/>
                    <w:keepLines w:val="0"/>
                    <w:widowControl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排放浓度/（mg/m</w:t>
                  </w:r>
                  <w:r>
                    <w:rPr>
                      <w:rFonts w:hint="default" w:ascii="Times New Roman" w:hAnsi="Times New Roman" w:cs="Times New Roman"/>
                      <w:color w:val="000000" w:themeColor="text1"/>
                      <w:szCs w:val="20"/>
                      <w:highlight w:val="none"/>
                      <w:vertAlign w:val="superscript"/>
                      <w:lang w:val="en-US" w:eastAsia="zh-CN" w:bidi="ar-SA"/>
                      <w14:textFill>
                        <w14:solidFill>
                          <w14:schemeClr w14:val="tx1"/>
                        </w14:solidFill>
                      </w14:textFill>
                    </w:rPr>
                    <w:t>3</w:t>
                  </w: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w:t>
                  </w:r>
                </w:p>
              </w:tc>
              <w:tc>
                <w:tcPr>
                  <w:tcW w:w="458" w:type="pct"/>
                  <w:tcBorders>
                    <w:tl2br w:val="nil"/>
                    <w:tr2bl w:val="nil"/>
                  </w:tcBorders>
                  <w:noWrap w:val="0"/>
                  <w:vAlign w:val="center"/>
                </w:tcPr>
                <w:p w14:paraId="12446833">
                  <w:pPr>
                    <w:pStyle w:val="26"/>
                    <w:keepNext w:val="0"/>
                    <w:keepLines w:val="0"/>
                    <w:widowControl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排放</w:t>
                  </w:r>
                  <w:r>
                    <w:rPr>
                      <w:rFonts w:hint="eastAsia" w:cs="Times New Roman"/>
                      <w:color w:val="000000" w:themeColor="text1"/>
                      <w:szCs w:val="20"/>
                      <w:highlight w:val="none"/>
                      <w:lang w:val="en-US" w:eastAsia="zh-CN" w:bidi="ar-SA"/>
                      <w14:textFill>
                        <w14:solidFill>
                          <w14:schemeClr w14:val="tx1"/>
                        </w14:solidFill>
                      </w14:textFill>
                    </w:rPr>
                    <w:t>速率</w:t>
                  </w: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/（kg/h）</w:t>
                  </w:r>
                </w:p>
              </w:tc>
              <w:tc>
                <w:tcPr>
                  <w:tcW w:w="413" w:type="pct"/>
                  <w:tcBorders>
                    <w:tl2br w:val="nil"/>
                    <w:tr2bl w:val="nil"/>
                  </w:tcBorders>
                  <w:noWrap w:val="0"/>
                  <w:vAlign w:val="center"/>
                </w:tcPr>
                <w:p w14:paraId="41FF2603">
                  <w:pPr>
                    <w:pStyle w:val="26"/>
                    <w:keepNext w:val="0"/>
                    <w:keepLines w:val="0"/>
                    <w:widowControl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eastAsia" w:ascii="Times New Roman" w:hAnsi="Times New Roman" w:cs="Times New Roman"/>
                      <w:color w:val="000000" w:themeColor="text1"/>
                      <w:szCs w:val="20"/>
                      <w:highlight w:val="none"/>
                      <w:lang w:val="en-US" w:eastAsia="zh-CN" w:bidi="ar-SA"/>
                      <w14:textFill>
                        <w14:solidFill>
                          <w14:schemeClr w14:val="tx1"/>
                        </w14:solidFill>
                      </w14:textFill>
                    </w:rPr>
                    <w:t>排放量/（t/a）</w:t>
                  </w:r>
                </w:p>
              </w:tc>
              <w:tc>
                <w:tcPr>
                  <w:tcW w:w="615" w:type="pct"/>
                  <w:vMerge w:val="continue"/>
                  <w:tcBorders>
                    <w:tl2br w:val="nil"/>
                    <w:tr2bl w:val="nil"/>
                  </w:tcBorders>
                  <w:noWrap w:val="0"/>
                  <w:vAlign w:val="center"/>
                </w:tcPr>
                <w:p w14:paraId="644E2513">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p>
              </w:tc>
            </w:tr>
            <w:tr w14:paraId="6BAD7B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4" w:type="pct"/>
                  <w:gridSpan w:val="2"/>
                  <w:vMerge w:val="restart"/>
                  <w:tcBorders>
                    <w:tl2br w:val="nil"/>
                    <w:tr2bl w:val="nil"/>
                  </w:tcBorders>
                  <w:noWrap w:val="0"/>
                  <w:vAlign w:val="center"/>
                </w:tcPr>
                <w:p w14:paraId="260B3ED2">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排气筒DA00</w:t>
                  </w:r>
                  <w:r>
                    <w:rPr>
                      <w:rFonts w:hint="eastAsia" w:ascii="Times New Roman" w:hAnsi="Times New Roman" w:cs="Times New Roman"/>
                      <w:color w:val="000000" w:themeColor="text1"/>
                      <w:highlight w:val="none"/>
                      <w:lang w:val="en-US" w:eastAsia="zh-CN" w:bidi="ar-SA"/>
                      <w14:textFill>
                        <w14:solidFill>
                          <w14:schemeClr w14:val="tx1"/>
                        </w14:solidFill>
                      </w14:textFill>
                    </w:rPr>
                    <w:t>1</w:t>
                  </w:r>
                </w:p>
              </w:tc>
              <w:tc>
                <w:tcPr>
                  <w:tcW w:w="504" w:type="pct"/>
                  <w:tcBorders>
                    <w:tl2br w:val="nil"/>
                    <w:tr2bl w:val="nil"/>
                  </w:tcBorders>
                  <w:noWrap w:val="0"/>
                  <w:vAlign w:val="center"/>
                </w:tcPr>
                <w:p w14:paraId="391396FF">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沥青烟</w:t>
                  </w:r>
                </w:p>
              </w:tc>
              <w:tc>
                <w:tcPr>
                  <w:tcW w:w="382" w:type="pct"/>
                  <w:vMerge w:val="restart"/>
                  <w:tcBorders>
                    <w:tl2br w:val="nil"/>
                    <w:tr2bl w:val="nil"/>
                  </w:tcBorders>
                  <w:noWrap w:val="0"/>
                  <w:vAlign w:val="center"/>
                </w:tcPr>
                <w:p w14:paraId="7656FA25">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10</w:t>
                  </w:r>
                  <w:r>
                    <w:rPr>
                      <w:rFonts w:hint="default"/>
                      <w:color w:val="000000" w:themeColor="text1"/>
                      <w:highlight w:val="none"/>
                      <w:lang w:val="en-US" w:eastAsia="zh-CN" w:bidi="ar-SA"/>
                      <w14:textFill>
                        <w14:solidFill>
                          <w14:schemeClr w14:val="tx1"/>
                        </w14:solidFill>
                      </w14:textFill>
                    </w:rPr>
                    <w:t>000</w:t>
                  </w:r>
                </w:p>
              </w:tc>
              <w:tc>
                <w:tcPr>
                  <w:tcW w:w="1268" w:type="dxa"/>
                  <w:tcBorders>
                    <w:tl2br w:val="nil"/>
                    <w:tr2bl w:val="nil"/>
                  </w:tcBorders>
                  <w:noWrap w:val="0"/>
                  <w:vAlign w:val="center"/>
                </w:tcPr>
                <w:p w14:paraId="2D01918E">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4.13</w:t>
                  </w:r>
                </w:p>
              </w:tc>
              <w:tc>
                <w:tcPr>
                  <w:tcW w:w="1187" w:type="dxa"/>
                  <w:tcBorders>
                    <w:tl2br w:val="nil"/>
                    <w:tr2bl w:val="nil"/>
                  </w:tcBorders>
                  <w:noWrap w:val="0"/>
                  <w:vAlign w:val="center"/>
                </w:tcPr>
                <w:p w14:paraId="3FA67856">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0.0413</w:t>
                  </w:r>
                </w:p>
              </w:tc>
              <w:tc>
                <w:tcPr>
                  <w:tcW w:w="1077" w:type="dxa"/>
                  <w:tcBorders>
                    <w:tl2br w:val="nil"/>
                    <w:tr2bl w:val="nil"/>
                  </w:tcBorders>
                  <w:noWrap w:val="0"/>
                  <w:vAlign w:val="center"/>
                </w:tcPr>
                <w:p w14:paraId="3E708146">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0.1240</w:t>
                  </w:r>
                </w:p>
              </w:tc>
              <w:tc>
                <w:tcPr>
                  <w:tcW w:w="1152" w:type="dxa"/>
                  <w:tcBorders>
                    <w:tl2br w:val="nil"/>
                    <w:tr2bl w:val="nil"/>
                  </w:tcBorders>
                  <w:noWrap w:val="0"/>
                  <w:vAlign w:val="center"/>
                </w:tcPr>
                <w:p w14:paraId="38D1CA4B">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0.62</w:t>
                  </w:r>
                </w:p>
              </w:tc>
              <w:tc>
                <w:tcPr>
                  <w:tcW w:w="1227" w:type="dxa"/>
                  <w:tcBorders>
                    <w:tl2br w:val="nil"/>
                    <w:tr2bl w:val="nil"/>
                  </w:tcBorders>
                  <w:noWrap w:val="0"/>
                  <w:vAlign w:val="center"/>
                </w:tcPr>
                <w:p w14:paraId="6C0C53EA">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0.0062</w:t>
                  </w:r>
                </w:p>
              </w:tc>
              <w:tc>
                <w:tcPr>
                  <w:tcW w:w="1105" w:type="dxa"/>
                  <w:tcBorders>
                    <w:tl2br w:val="nil"/>
                    <w:tr2bl w:val="nil"/>
                  </w:tcBorders>
                  <w:noWrap w:val="0"/>
                  <w:vAlign w:val="center"/>
                </w:tcPr>
                <w:p w14:paraId="4F33E407">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0.0186</w:t>
                  </w:r>
                </w:p>
              </w:tc>
              <w:tc>
                <w:tcPr>
                  <w:tcW w:w="1646" w:type="dxa"/>
                  <w:tcBorders>
                    <w:tl2br w:val="nil"/>
                    <w:tr2bl w:val="nil"/>
                  </w:tcBorders>
                  <w:noWrap w:val="0"/>
                  <w:vAlign w:val="center"/>
                </w:tcPr>
                <w:p w14:paraId="5BD4B470">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3000</w:t>
                  </w:r>
                </w:p>
              </w:tc>
            </w:tr>
            <w:tr w14:paraId="7AD5F0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4" w:type="pct"/>
                  <w:gridSpan w:val="2"/>
                  <w:vMerge w:val="continue"/>
                  <w:tcBorders>
                    <w:tl2br w:val="nil"/>
                    <w:tr2bl w:val="nil"/>
                  </w:tcBorders>
                  <w:noWrap w:val="0"/>
                  <w:vAlign w:val="center"/>
                </w:tcPr>
                <w:p w14:paraId="13955E54">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504" w:type="pct"/>
                  <w:tcBorders>
                    <w:tl2br w:val="nil"/>
                    <w:tr2bl w:val="nil"/>
                  </w:tcBorders>
                  <w:noWrap w:val="0"/>
                  <w:vAlign w:val="center"/>
                </w:tcPr>
                <w:p w14:paraId="56BD9CD7">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苯并[a]芘</w:t>
                  </w:r>
                </w:p>
              </w:tc>
              <w:tc>
                <w:tcPr>
                  <w:tcW w:w="382" w:type="pct"/>
                  <w:vMerge w:val="continue"/>
                  <w:tcBorders>
                    <w:tl2br w:val="nil"/>
                    <w:tr2bl w:val="nil"/>
                  </w:tcBorders>
                  <w:noWrap w:val="0"/>
                  <w:vAlign w:val="center"/>
                </w:tcPr>
                <w:p w14:paraId="2577335F">
                  <w:pPr>
                    <w:pStyle w:val="26"/>
                    <w:bidi w:val="0"/>
                    <w:jc w:val="center"/>
                    <w:rPr>
                      <w:rFonts w:hint="default"/>
                      <w:color w:val="000000" w:themeColor="text1"/>
                      <w:highlight w:val="none"/>
                      <w:lang w:val="en-US" w:eastAsia="zh-CN" w:bidi="ar-SA"/>
                      <w14:textFill>
                        <w14:solidFill>
                          <w14:schemeClr w14:val="tx1"/>
                        </w14:solidFill>
                      </w14:textFill>
                    </w:rPr>
                  </w:pPr>
                </w:p>
              </w:tc>
              <w:tc>
                <w:tcPr>
                  <w:tcW w:w="1268" w:type="dxa"/>
                  <w:tcBorders>
                    <w:tl2br w:val="nil"/>
                    <w:tr2bl w:val="nil"/>
                  </w:tcBorders>
                  <w:noWrap w:val="0"/>
                  <w:vAlign w:val="center"/>
                </w:tcPr>
                <w:p w14:paraId="53333E22">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1.10E-03</w:t>
                  </w:r>
                </w:p>
              </w:tc>
              <w:tc>
                <w:tcPr>
                  <w:tcW w:w="1187" w:type="dxa"/>
                  <w:tcBorders>
                    <w:tl2br w:val="nil"/>
                    <w:tr2bl w:val="nil"/>
                  </w:tcBorders>
                  <w:noWrap w:val="0"/>
                  <w:vAlign w:val="center"/>
                </w:tcPr>
                <w:p w14:paraId="346E2ABB">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1.10E-05</w:t>
                  </w:r>
                </w:p>
              </w:tc>
              <w:tc>
                <w:tcPr>
                  <w:tcW w:w="1077" w:type="dxa"/>
                  <w:tcBorders>
                    <w:tl2br w:val="nil"/>
                    <w:tr2bl w:val="nil"/>
                  </w:tcBorders>
                  <w:noWrap w:val="0"/>
                  <w:vAlign w:val="center"/>
                </w:tcPr>
                <w:p w14:paraId="4DCE0366">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3.31E-05</w:t>
                  </w:r>
                </w:p>
              </w:tc>
              <w:tc>
                <w:tcPr>
                  <w:tcW w:w="1152" w:type="dxa"/>
                  <w:tcBorders>
                    <w:tl2br w:val="nil"/>
                    <w:tr2bl w:val="nil"/>
                  </w:tcBorders>
                  <w:noWrap w:val="0"/>
                  <w:vAlign w:val="center"/>
                </w:tcPr>
                <w:p w14:paraId="6FF0CEC4">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1.65E-0</w:t>
                  </w:r>
                  <w:r>
                    <w:rPr>
                      <w:rFonts w:hint="eastAsia"/>
                      <w:color w:val="000000" w:themeColor="text1"/>
                      <w:highlight w:val="none"/>
                      <w:lang w:val="en-US" w:eastAsia="zh-CN" w:bidi="ar-SA"/>
                      <w14:textFill>
                        <w14:solidFill>
                          <w14:schemeClr w14:val="tx1"/>
                        </w14:solidFill>
                      </w14:textFill>
                    </w:rPr>
                    <w:t>4</w:t>
                  </w:r>
                </w:p>
              </w:tc>
              <w:tc>
                <w:tcPr>
                  <w:tcW w:w="1227" w:type="dxa"/>
                  <w:tcBorders>
                    <w:tl2br w:val="nil"/>
                    <w:tr2bl w:val="nil"/>
                  </w:tcBorders>
                  <w:noWrap w:val="0"/>
                  <w:vAlign w:val="center"/>
                </w:tcPr>
                <w:p w14:paraId="7B365FFA">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1.65E-06</w:t>
                  </w:r>
                </w:p>
              </w:tc>
              <w:tc>
                <w:tcPr>
                  <w:tcW w:w="1105" w:type="dxa"/>
                  <w:tcBorders>
                    <w:tl2br w:val="nil"/>
                    <w:tr2bl w:val="nil"/>
                  </w:tcBorders>
                  <w:noWrap w:val="0"/>
                  <w:vAlign w:val="center"/>
                </w:tcPr>
                <w:p w14:paraId="73D6065A">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4.96E-06</w:t>
                  </w:r>
                </w:p>
              </w:tc>
              <w:tc>
                <w:tcPr>
                  <w:tcW w:w="1646" w:type="dxa"/>
                  <w:tcBorders>
                    <w:tl2br w:val="nil"/>
                    <w:tr2bl w:val="nil"/>
                  </w:tcBorders>
                  <w:noWrap w:val="0"/>
                  <w:vAlign w:val="center"/>
                </w:tcPr>
                <w:p w14:paraId="5590274A">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3000</w:t>
                  </w:r>
                </w:p>
              </w:tc>
            </w:tr>
            <w:tr w14:paraId="49F51E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4" w:type="pct"/>
                  <w:gridSpan w:val="2"/>
                  <w:vMerge w:val="continue"/>
                  <w:tcBorders>
                    <w:tl2br w:val="nil"/>
                    <w:tr2bl w:val="nil"/>
                  </w:tcBorders>
                  <w:noWrap w:val="0"/>
                  <w:vAlign w:val="center"/>
                </w:tcPr>
                <w:p w14:paraId="1A90F261">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504" w:type="pct"/>
                  <w:tcBorders>
                    <w:tl2br w:val="nil"/>
                    <w:tr2bl w:val="nil"/>
                  </w:tcBorders>
                  <w:noWrap w:val="0"/>
                  <w:vAlign w:val="center"/>
                </w:tcPr>
                <w:p w14:paraId="70401D5E">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颗粒物</w:t>
                  </w:r>
                </w:p>
              </w:tc>
              <w:tc>
                <w:tcPr>
                  <w:tcW w:w="382" w:type="pct"/>
                  <w:vMerge w:val="continue"/>
                  <w:tcBorders>
                    <w:tl2br w:val="nil"/>
                    <w:tr2bl w:val="nil"/>
                  </w:tcBorders>
                  <w:noWrap w:val="0"/>
                  <w:vAlign w:val="center"/>
                </w:tcPr>
                <w:p w14:paraId="2AB30951">
                  <w:pPr>
                    <w:pStyle w:val="26"/>
                    <w:bidi w:val="0"/>
                    <w:jc w:val="center"/>
                    <w:rPr>
                      <w:rFonts w:hint="default"/>
                      <w:color w:val="000000" w:themeColor="text1"/>
                      <w:highlight w:val="none"/>
                      <w:lang w:val="en-US" w:eastAsia="zh-CN" w:bidi="ar-SA"/>
                      <w14:textFill>
                        <w14:solidFill>
                          <w14:schemeClr w14:val="tx1"/>
                        </w14:solidFill>
                      </w14:textFill>
                    </w:rPr>
                  </w:pPr>
                </w:p>
              </w:tc>
              <w:tc>
                <w:tcPr>
                  <w:tcW w:w="1268" w:type="dxa"/>
                  <w:tcBorders>
                    <w:tl2br w:val="nil"/>
                    <w:tr2bl w:val="nil"/>
                  </w:tcBorders>
                  <w:noWrap w:val="0"/>
                  <w:vAlign w:val="center"/>
                </w:tcPr>
                <w:p w14:paraId="6BEA6E2D">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62.23</w:t>
                  </w:r>
                </w:p>
              </w:tc>
              <w:tc>
                <w:tcPr>
                  <w:tcW w:w="1187" w:type="dxa"/>
                  <w:tcBorders>
                    <w:tl2br w:val="nil"/>
                    <w:tr2bl w:val="nil"/>
                  </w:tcBorders>
                  <w:noWrap w:val="0"/>
                  <w:vAlign w:val="center"/>
                </w:tcPr>
                <w:p w14:paraId="700E685D">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0.6223</w:t>
                  </w:r>
                </w:p>
              </w:tc>
              <w:tc>
                <w:tcPr>
                  <w:tcW w:w="1077" w:type="dxa"/>
                  <w:tcBorders>
                    <w:tl2br w:val="nil"/>
                    <w:tr2bl w:val="nil"/>
                  </w:tcBorders>
                  <w:noWrap w:val="0"/>
                  <w:vAlign w:val="center"/>
                </w:tcPr>
                <w:p w14:paraId="45394E65">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1.8669</w:t>
                  </w:r>
                </w:p>
              </w:tc>
              <w:tc>
                <w:tcPr>
                  <w:tcW w:w="1152" w:type="dxa"/>
                  <w:tcBorders>
                    <w:tl2br w:val="nil"/>
                    <w:tr2bl w:val="nil"/>
                  </w:tcBorders>
                  <w:noWrap w:val="0"/>
                  <w:vAlign w:val="center"/>
                </w:tcPr>
                <w:p w14:paraId="1B4C191A">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0.62</w:t>
                  </w:r>
                </w:p>
              </w:tc>
              <w:tc>
                <w:tcPr>
                  <w:tcW w:w="1227" w:type="dxa"/>
                  <w:tcBorders>
                    <w:tl2br w:val="nil"/>
                    <w:tr2bl w:val="nil"/>
                  </w:tcBorders>
                  <w:noWrap w:val="0"/>
                  <w:vAlign w:val="center"/>
                </w:tcPr>
                <w:p w14:paraId="1FA38A4E">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0.0062</w:t>
                  </w:r>
                </w:p>
              </w:tc>
              <w:tc>
                <w:tcPr>
                  <w:tcW w:w="1105" w:type="dxa"/>
                  <w:tcBorders>
                    <w:tl2br w:val="nil"/>
                    <w:tr2bl w:val="nil"/>
                  </w:tcBorders>
                  <w:noWrap w:val="0"/>
                  <w:vAlign w:val="center"/>
                </w:tcPr>
                <w:p w14:paraId="1ED27FF1">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0.0187</w:t>
                  </w:r>
                </w:p>
              </w:tc>
              <w:tc>
                <w:tcPr>
                  <w:tcW w:w="1646" w:type="dxa"/>
                  <w:tcBorders>
                    <w:tl2br w:val="nil"/>
                    <w:tr2bl w:val="nil"/>
                  </w:tcBorders>
                  <w:noWrap w:val="0"/>
                  <w:vAlign w:val="center"/>
                </w:tcPr>
                <w:p w14:paraId="22CE4597">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3000</w:t>
                  </w:r>
                </w:p>
              </w:tc>
            </w:tr>
            <w:tr w14:paraId="60B17D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4" w:type="pct"/>
                  <w:gridSpan w:val="2"/>
                  <w:vMerge w:val="continue"/>
                  <w:tcBorders>
                    <w:tl2br w:val="nil"/>
                    <w:tr2bl w:val="nil"/>
                  </w:tcBorders>
                  <w:noWrap w:val="0"/>
                  <w:vAlign w:val="center"/>
                </w:tcPr>
                <w:p w14:paraId="09E1CF07">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504" w:type="pct"/>
                  <w:tcBorders>
                    <w:tl2br w:val="nil"/>
                    <w:tr2bl w:val="nil"/>
                  </w:tcBorders>
                  <w:noWrap w:val="0"/>
                  <w:vAlign w:val="center"/>
                </w:tcPr>
                <w:p w14:paraId="362B7BAA">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非甲烷总烃</w:t>
                  </w:r>
                </w:p>
              </w:tc>
              <w:tc>
                <w:tcPr>
                  <w:tcW w:w="382" w:type="pct"/>
                  <w:vMerge w:val="continue"/>
                  <w:tcBorders>
                    <w:tl2br w:val="nil"/>
                    <w:tr2bl w:val="nil"/>
                  </w:tcBorders>
                  <w:noWrap w:val="0"/>
                  <w:vAlign w:val="center"/>
                </w:tcPr>
                <w:p w14:paraId="0AE50FEE">
                  <w:pPr>
                    <w:pStyle w:val="26"/>
                    <w:bidi w:val="0"/>
                    <w:jc w:val="center"/>
                    <w:rPr>
                      <w:rFonts w:hint="default"/>
                      <w:color w:val="000000" w:themeColor="text1"/>
                      <w:highlight w:val="none"/>
                      <w:lang w:val="en-US" w:eastAsia="zh-CN" w:bidi="ar-SA"/>
                      <w14:textFill>
                        <w14:solidFill>
                          <w14:schemeClr w14:val="tx1"/>
                        </w14:solidFill>
                      </w14:textFill>
                    </w:rPr>
                  </w:pPr>
                </w:p>
              </w:tc>
              <w:tc>
                <w:tcPr>
                  <w:tcW w:w="1268" w:type="dxa"/>
                  <w:tcBorders>
                    <w:tl2br w:val="nil"/>
                    <w:tr2bl w:val="nil"/>
                  </w:tcBorders>
                  <w:noWrap w:val="0"/>
                  <w:vAlign w:val="center"/>
                </w:tcPr>
                <w:p w14:paraId="0BC7BAC8">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378.04</w:t>
                  </w:r>
                </w:p>
              </w:tc>
              <w:tc>
                <w:tcPr>
                  <w:tcW w:w="1187" w:type="dxa"/>
                  <w:tcBorders>
                    <w:tl2br w:val="nil"/>
                    <w:tr2bl w:val="nil"/>
                  </w:tcBorders>
                  <w:noWrap w:val="0"/>
                  <w:vAlign w:val="center"/>
                </w:tcPr>
                <w:p w14:paraId="59FE654C">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3.7804</w:t>
                  </w:r>
                </w:p>
              </w:tc>
              <w:tc>
                <w:tcPr>
                  <w:tcW w:w="1077" w:type="dxa"/>
                  <w:tcBorders>
                    <w:tl2br w:val="nil"/>
                    <w:tr2bl w:val="nil"/>
                  </w:tcBorders>
                  <w:noWrap w:val="0"/>
                  <w:vAlign w:val="center"/>
                </w:tcPr>
                <w:p w14:paraId="790A9B6E">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11.9262</w:t>
                  </w:r>
                </w:p>
              </w:tc>
              <w:tc>
                <w:tcPr>
                  <w:tcW w:w="1152" w:type="dxa"/>
                  <w:tcBorders>
                    <w:tl2br w:val="nil"/>
                    <w:tr2bl w:val="nil"/>
                  </w:tcBorders>
                  <w:noWrap w:val="0"/>
                  <w:vAlign w:val="center"/>
                </w:tcPr>
                <w:p w14:paraId="16433258">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75.61</w:t>
                  </w:r>
                </w:p>
              </w:tc>
              <w:tc>
                <w:tcPr>
                  <w:tcW w:w="1227" w:type="dxa"/>
                  <w:tcBorders>
                    <w:tl2br w:val="nil"/>
                    <w:tr2bl w:val="nil"/>
                  </w:tcBorders>
                  <w:noWrap w:val="0"/>
                  <w:vAlign w:val="center"/>
                </w:tcPr>
                <w:p w14:paraId="6B9DE1E5">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0.7561</w:t>
                  </w:r>
                </w:p>
              </w:tc>
              <w:tc>
                <w:tcPr>
                  <w:tcW w:w="1105" w:type="dxa"/>
                  <w:tcBorders>
                    <w:tl2br w:val="nil"/>
                    <w:tr2bl w:val="nil"/>
                  </w:tcBorders>
                  <w:noWrap w:val="0"/>
                  <w:vAlign w:val="center"/>
                </w:tcPr>
                <w:p w14:paraId="4C64D3EB">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2.3852</w:t>
                  </w:r>
                </w:p>
              </w:tc>
              <w:tc>
                <w:tcPr>
                  <w:tcW w:w="1646" w:type="dxa"/>
                  <w:tcBorders>
                    <w:tl2br w:val="nil"/>
                    <w:tr2bl w:val="nil"/>
                  </w:tcBorders>
                  <w:noWrap w:val="0"/>
                  <w:vAlign w:val="center"/>
                </w:tcPr>
                <w:p w14:paraId="45F715C5">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1200/3600/3000</w:t>
                  </w:r>
                </w:p>
              </w:tc>
            </w:tr>
            <w:tr w14:paraId="2B84B8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299" w:type="pct"/>
                  <w:vMerge w:val="restart"/>
                  <w:tcBorders>
                    <w:tl2br w:val="nil"/>
                    <w:tr2bl w:val="nil"/>
                  </w:tcBorders>
                  <w:noWrap w:val="0"/>
                  <w:vAlign w:val="center"/>
                </w:tcPr>
                <w:p w14:paraId="22AAFA2F">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无组织排放</w:t>
                  </w:r>
                </w:p>
              </w:tc>
              <w:tc>
                <w:tcPr>
                  <w:tcW w:w="574" w:type="pct"/>
                  <w:vMerge w:val="restart"/>
                  <w:tcBorders>
                    <w:tl2br w:val="nil"/>
                    <w:tr2bl w:val="nil"/>
                  </w:tcBorders>
                  <w:noWrap w:val="0"/>
                  <w:vAlign w:val="center"/>
                </w:tcPr>
                <w:p w14:paraId="73F29090">
                  <w:pPr>
                    <w:pStyle w:val="26"/>
                    <w:bidi w:val="0"/>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w:t>
                  </w:r>
                  <w:r>
                    <w:rPr>
                      <w:color w:val="000000" w:themeColor="text1"/>
                      <w:highlight w:val="none"/>
                      <w:lang w:val="en-US" w:eastAsia="zh-CN" w:bidi="ar-SA"/>
                      <w14:textFill>
                        <w14:solidFill>
                          <w14:schemeClr w14:val="tx1"/>
                        </w14:solidFill>
                      </w14:textFill>
                    </w:rPr>
                    <w:t>车间（烘干、引弧放电、</w:t>
                  </w:r>
                  <w:r>
                    <w:rPr>
                      <w:rFonts w:hint="eastAsia"/>
                      <w:color w:val="000000" w:themeColor="text1"/>
                      <w:highlight w:val="none"/>
                      <w:lang w:val="en-US" w:eastAsia="zh-CN" w:bidi="ar-SA"/>
                      <w14:textFill>
                        <w14:solidFill>
                          <w14:schemeClr w14:val="tx1"/>
                        </w14:solidFill>
                      </w14:textFill>
                    </w:rPr>
                    <w:t>砂磨、干燥、</w:t>
                  </w:r>
                  <w:r>
                    <w:rPr>
                      <w:color w:val="000000" w:themeColor="text1"/>
                      <w:highlight w:val="none"/>
                      <w:lang w:val="en-US" w:eastAsia="zh-CN" w:bidi="ar-SA"/>
                      <w14:textFill>
                        <w14:solidFill>
                          <w14:schemeClr w14:val="tx1"/>
                        </w14:solidFill>
                      </w14:textFill>
                    </w:rPr>
                    <w:t>包覆、</w:t>
                  </w:r>
                  <w:r>
                    <w:rPr>
                      <w:rFonts w:hint="eastAsia"/>
                      <w:color w:val="000000" w:themeColor="text1"/>
                      <w:highlight w:val="none"/>
                      <w:lang w:val="en-US" w:eastAsia="zh-CN" w:bidi="ar-SA"/>
                      <w14:textFill>
                        <w14:solidFill>
                          <w14:schemeClr w14:val="tx1"/>
                        </w14:solidFill>
                      </w14:textFill>
                    </w:rPr>
                    <w:t>二次包覆、</w:t>
                  </w:r>
                  <w:r>
                    <w:rPr>
                      <w:color w:val="000000" w:themeColor="text1"/>
                      <w:highlight w:val="none"/>
                      <w:lang w:val="en-US" w:eastAsia="zh-CN" w:bidi="ar-SA"/>
                      <w14:textFill>
                        <w14:solidFill>
                          <w14:schemeClr w14:val="tx1"/>
                        </w14:solidFill>
                      </w14:textFill>
                    </w:rPr>
                    <w:t>碳化）</w:t>
                  </w:r>
                </w:p>
              </w:tc>
              <w:tc>
                <w:tcPr>
                  <w:tcW w:w="504" w:type="pct"/>
                  <w:tcBorders>
                    <w:tl2br w:val="nil"/>
                    <w:tr2bl w:val="nil"/>
                  </w:tcBorders>
                  <w:noWrap w:val="0"/>
                  <w:vAlign w:val="center"/>
                </w:tcPr>
                <w:p w14:paraId="1A980A87">
                  <w:pPr>
                    <w:pStyle w:val="26"/>
                    <w:bidi w:val="0"/>
                    <w:ind w:firstLine="0" w:firstLineChars="0"/>
                    <w:jc w:val="center"/>
                    <w:rPr>
                      <w:rFonts w:hint="default"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沥青烟</w:t>
                  </w:r>
                </w:p>
              </w:tc>
              <w:tc>
                <w:tcPr>
                  <w:tcW w:w="382" w:type="pct"/>
                  <w:vMerge w:val="restart"/>
                  <w:tcBorders>
                    <w:tl2br w:val="nil"/>
                    <w:tr2bl w:val="nil"/>
                  </w:tcBorders>
                  <w:noWrap w:val="0"/>
                  <w:vAlign w:val="center"/>
                </w:tcPr>
                <w:p w14:paraId="5E27FB3C">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474" w:type="pct"/>
                  <w:tcBorders>
                    <w:tl2br w:val="nil"/>
                    <w:tr2bl w:val="nil"/>
                  </w:tcBorders>
                  <w:noWrap w:val="0"/>
                  <w:vAlign w:val="center"/>
                </w:tcPr>
                <w:p w14:paraId="078FB08D">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1187" w:type="dxa"/>
                  <w:tcBorders>
                    <w:tl2br w:val="nil"/>
                    <w:tr2bl w:val="nil"/>
                  </w:tcBorders>
                  <w:noWrap w:val="0"/>
                  <w:vAlign w:val="center"/>
                </w:tcPr>
                <w:p w14:paraId="05C0762C">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0.0008</w:t>
                  </w:r>
                </w:p>
              </w:tc>
              <w:tc>
                <w:tcPr>
                  <w:tcW w:w="1077" w:type="dxa"/>
                  <w:tcBorders>
                    <w:tl2br w:val="nil"/>
                    <w:tr2bl w:val="nil"/>
                  </w:tcBorders>
                  <w:noWrap w:val="0"/>
                  <w:vAlign w:val="center"/>
                </w:tcPr>
                <w:p w14:paraId="7FB12D8C">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0.0025</w:t>
                  </w:r>
                </w:p>
              </w:tc>
              <w:tc>
                <w:tcPr>
                  <w:tcW w:w="1152" w:type="dxa"/>
                  <w:tcBorders>
                    <w:tl2br w:val="nil"/>
                    <w:tr2bl w:val="nil"/>
                  </w:tcBorders>
                  <w:noWrap w:val="0"/>
                  <w:vAlign w:val="center"/>
                </w:tcPr>
                <w:p w14:paraId="191C6439">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1227" w:type="dxa"/>
                  <w:tcBorders>
                    <w:tl2br w:val="nil"/>
                    <w:tr2bl w:val="nil"/>
                  </w:tcBorders>
                  <w:noWrap w:val="0"/>
                  <w:vAlign w:val="center"/>
                </w:tcPr>
                <w:p w14:paraId="13CDC42E">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0.0008</w:t>
                  </w:r>
                </w:p>
              </w:tc>
              <w:tc>
                <w:tcPr>
                  <w:tcW w:w="1105" w:type="dxa"/>
                  <w:tcBorders>
                    <w:tl2br w:val="nil"/>
                    <w:tr2bl w:val="nil"/>
                  </w:tcBorders>
                  <w:noWrap w:val="0"/>
                  <w:vAlign w:val="center"/>
                </w:tcPr>
                <w:p w14:paraId="0CF892DA">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0.0025</w:t>
                  </w:r>
                </w:p>
              </w:tc>
              <w:tc>
                <w:tcPr>
                  <w:tcW w:w="1646" w:type="dxa"/>
                  <w:tcBorders>
                    <w:tl2br w:val="nil"/>
                    <w:tr2bl w:val="nil"/>
                  </w:tcBorders>
                  <w:noWrap w:val="0"/>
                  <w:vAlign w:val="center"/>
                </w:tcPr>
                <w:p w14:paraId="59CCFF66">
                  <w:pPr>
                    <w:pStyle w:val="26"/>
                    <w:bidi w:val="0"/>
                    <w:jc w:val="center"/>
                    <w:rPr>
                      <w:rFonts w:hint="eastAsia"/>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3000</w:t>
                  </w:r>
                </w:p>
              </w:tc>
            </w:tr>
            <w:tr w14:paraId="59AD9A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9" w:type="pct"/>
                  <w:vMerge w:val="continue"/>
                  <w:tcBorders>
                    <w:tl2br w:val="nil"/>
                    <w:tr2bl w:val="nil"/>
                  </w:tcBorders>
                  <w:noWrap w:val="0"/>
                  <w:vAlign w:val="center"/>
                </w:tcPr>
                <w:p w14:paraId="01352EE1">
                  <w:pPr>
                    <w:pStyle w:val="26"/>
                    <w:bidi w:val="0"/>
                    <w:jc w:val="center"/>
                    <w:rPr>
                      <w:rFonts w:hint="eastAsia"/>
                      <w:color w:val="000000" w:themeColor="text1"/>
                      <w:highlight w:val="none"/>
                      <w:lang w:val="en-US" w:eastAsia="zh-CN" w:bidi="ar-SA"/>
                      <w14:textFill>
                        <w14:solidFill>
                          <w14:schemeClr w14:val="tx1"/>
                        </w14:solidFill>
                      </w14:textFill>
                    </w:rPr>
                  </w:pPr>
                </w:p>
              </w:tc>
              <w:tc>
                <w:tcPr>
                  <w:tcW w:w="574" w:type="pct"/>
                  <w:vMerge w:val="continue"/>
                  <w:tcBorders>
                    <w:tl2br w:val="nil"/>
                    <w:tr2bl w:val="nil"/>
                  </w:tcBorders>
                  <w:noWrap w:val="0"/>
                  <w:vAlign w:val="center"/>
                </w:tcPr>
                <w:p w14:paraId="7F41CDA9">
                  <w:pPr>
                    <w:pStyle w:val="26"/>
                    <w:bidi w:val="0"/>
                    <w:rPr>
                      <w:rFonts w:hint="eastAsia"/>
                      <w:color w:val="000000" w:themeColor="text1"/>
                      <w:highlight w:val="none"/>
                      <w:lang w:val="en-US" w:eastAsia="zh-CN" w:bidi="ar-SA"/>
                      <w14:textFill>
                        <w14:solidFill>
                          <w14:schemeClr w14:val="tx1"/>
                        </w14:solidFill>
                      </w14:textFill>
                    </w:rPr>
                  </w:pPr>
                </w:p>
              </w:tc>
              <w:tc>
                <w:tcPr>
                  <w:tcW w:w="504" w:type="pct"/>
                  <w:tcBorders>
                    <w:tl2br w:val="nil"/>
                    <w:tr2bl w:val="nil"/>
                  </w:tcBorders>
                  <w:noWrap w:val="0"/>
                  <w:vAlign w:val="center"/>
                </w:tcPr>
                <w:p w14:paraId="6FEA539D">
                  <w:pPr>
                    <w:pStyle w:val="26"/>
                    <w:bidi w:val="0"/>
                    <w:ind w:firstLine="0" w:firstLineChars="0"/>
                    <w:jc w:val="center"/>
                    <w:rPr>
                      <w:rFonts w:hint="eastAsia"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苯并[a]芘</w:t>
                  </w:r>
                </w:p>
              </w:tc>
              <w:tc>
                <w:tcPr>
                  <w:tcW w:w="382" w:type="pct"/>
                  <w:vMerge w:val="continue"/>
                  <w:tcBorders>
                    <w:tl2br w:val="nil"/>
                    <w:tr2bl w:val="nil"/>
                  </w:tcBorders>
                  <w:noWrap w:val="0"/>
                  <w:vAlign w:val="center"/>
                </w:tcPr>
                <w:p w14:paraId="67B4976C">
                  <w:pPr>
                    <w:pStyle w:val="26"/>
                    <w:bidi w:val="0"/>
                    <w:jc w:val="center"/>
                    <w:rPr>
                      <w:rFonts w:hint="default"/>
                      <w:color w:val="000000" w:themeColor="text1"/>
                      <w:highlight w:val="none"/>
                      <w:lang w:val="en-US" w:eastAsia="zh-CN" w:bidi="ar-SA"/>
                      <w14:textFill>
                        <w14:solidFill>
                          <w14:schemeClr w14:val="tx1"/>
                        </w14:solidFill>
                      </w14:textFill>
                    </w:rPr>
                  </w:pPr>
                </w:p>
              </w:tc>
              <w:tc>
                <w:tcPr>
                  <w:tcW w:w="474" w:type="pct"/>
                  <w:tcBorders>
                    <w:tl2br w:val="nil"/>
                    <w:tr2bl w:val="nil"/>
                  </w:tcBorders>
                  <w:noWrap w:val="0"/>
                  <w:vAlign w:val="center"/>
                </w:tcPr>
                <w:p w14:paraId="7AC7EC2B">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1187" w:type="dxa"/>
                  <w:tcBorders>
                    <w:tl2br w:val="nil"/>
                    <w:tr2bl w:val="nil"/>
                  </w:tcBorders>
                  <w:noWrap w:val="0"/>
                  <w:vAlign w:val="center"/>
                </w:tcPr>
                <w:p w14:paraId="3D2D639C">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2.25E-07</w:t>
                  </w:r>
                </w:p>
              </w:tc>
              <w:tc>
                <w:tcPr>
                  <w:tcW w:w="1077" w:type="dxa"/>
                  <w:tcBorders>
                    <w:tl2br w:val="nil"/>
                    <w:tr2bl w:val="nil"/>
                  </w:tcBorders>
                  <w:noWrap w:val="0"/>
                  <w:vAlign w:val="center"/>
                </w:tcPr>
                <w:p w14:paraId="685F3E7B">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6.75E-07</w:t>
                  </w:r>
                </w:p>
              </w:tc>
              <w:tc>
                <w:tcPr>
                  <w:tcW w:w="1152" w:type="dxa"/>
                  <w:tcBorders>
                    <w:tl2br w:val="nil"/>
                    <w:tr2bl w:val="nil"/>
                  </w:tcBorders>
                  <w:noWrap w:val="0"/>
                  <w:vAlign w:val="center"/>
                </w:tcPr>
                <w:p w14:paraId="63D5CF37">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1227" w:type="dxa"/>
                  <w:tcBorders>
                    <w:tl2br w:val="nil"/>
                    <w:tr2bl w:val="nil"/>
                  </w:tcBorders>
                  <w:noWrap w:val="0"/>
                  <w:vAlign w:val="center"/>
                </w:tcPr>
                <w:p w14:paraId="13B0EA92">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2.25E-07</w:t>
                  </w:r>
                </w:p>
              </w:tc>
              <w:tc>
                <w:tcPr>
                  <w:tcW w:w="1105" w:type="dxa"/>
                  <w:tcBorders>
                    <w:tl2br w:val="nil"/>
                    <w:tr2bl w:val="nil"/>
                  </w:tcBorders>
                  <w:noWrap w:val="0"/>
                  <w:vAlign w:val="center"/>
                </w:tcPr>
                <w:p w14:paraId="49158515">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6.75E-07</w:t>
                  </w:r>
                </w:p>
              </w:tc>
              <w:tc>
                <w:tcPr>
                  <w:tcW w:w="1646" w:type="dxa"/>
                  <w:tcBorders>
                    <w:tl2br w:val="nil"/>
                    <w:tr2bl w:val="nil"/>
                  </w:tcBorders>
                  <w:noWrap w:val="0"/>
                  <w:vAlign w:val="center"/>
                </w:tcPr>
                <w:p w14:paraId="7BA187DC">
                  <w:pPr>
                    <w:pStyle w:val="26"/>
                    <w:bidi w:val="0"/>
                    <w:jc w:val="center"/>
                    <w:rPr>
                      <w:rFonts w:hint="eastAsia"/>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3000</w:t>
                  </w:r>
                </w:p>
              </w:tc>
            </w:tr>
            <w:tr w14:paraId="326745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9" w:type="pct"/>
                  <w:vMerge w:val="continue"/>
                  <w:tcBorders>
                    <w:tl2br w:val="nil"/>
                    <w:tr2bl w:val="nil"/>
                  </w:tcBorders>
                  <w:noWrap w:val="0"/>
                  <w:vAlign w:val="center"/>
                </w:tcPr>
                <w:p w14:paraId="5AF3A4C4">
                  <w:pPr>
                    <w:pStyle w:val="26"/>
                    <w:bidi w:val="0"/>
                    <w:jc w:val="center"/>
                    <w:rPr>
                      <w:rFonts w:hint="eastAsia"/>
                      <w:color w:val="000000" w:themeColor="text1"/>
                      <w:highlight w:val="none"/>
                      <w:lang w:val="en-US" w:eastAsia="zh-CN" w:bidi="ar-SA"/>
                      <w14:textFill>
                        <w14:solidFill>
                          <w14:schemeClr w14:val="tx1"/>
                        </w14:solidFill>
                      </w14:textFill>
                    </w:rPr>
                  </w:pPr>
                </w:p>
              </w:tc>
              <w:tc>
                <w:tcPr>
                  <w:tcW w:w="574" w:type="pct"/>
                  <w:vMerge w:val="continue"/>
                  <w:tcBorders>
                    <w:tl2br w:val="nil"/>
                    <w:tr2bl w:val="nil"/>
                  </w:tcBorders>
                  <w:noWrap w:val="0"/>
                  <w:vAlign w:val="center"/>
                </w:tcPr>
                <w:p w14:paraId="77EBF602">
                  <w:pPr>
                    <w:pStyle w:val="26"/>
                    <w:bidi w:val="0"/>
                    <w:rPr>
                      <w:rFonts w:hint="eastAsia"/>
                      <w:color w:val="000000" w:themeColor="text1"/>
                      <w:highlight w:val="none"/>
                      <w:lang w:val="en-US" w:eastAsia="zh-CN" w:bidi="ar-SA"/>
                      <w14:textFill>
                        <w14:solidFill>
                          <w14:schemeClr w14:val="tx1"/>
                        </w14:solidFill>
                      </w14:textFill>
                    </w:rPr>
                  </w:pPr>
                </w:p>
              </w:tc>
              <w:tc>
                <w:tcPr>
                  <w:tcW w:w="504" w:type="pct"/>
                  <w:tcBorders>
                    <w:tl2br w:val="nil"/>
                    <w:tr2bl w:val="nil"/>
                  </w:tcBorders>
                  <w:noWrap w:val="0"/>
                  <w:vAlign w:val="center"/>
                </w:tcPr>
                <w:p w14:paraId="2BD5F75F">
                  <w:pPr>
                    <w:pStyle w:val="26"/>
                    <w:bidi w:val="0"/>
                    <w:ind w:firstLine="0" w:firstLineChars="0"/>
                    <w:jc w:val="center"/>
                    <w:rPr>
                      <w:rFonts w:hint="eastAsia"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颗粒物</w:t>
                  </w:r>
                </w:p>
              </w:tc>
              <w:tc>
                <w:tcPr>
                  <w:tcW w:w="382" w:type="pct"/>
                  <w:vMerge w:val="continue"/>
                  <w:tcBorders>
                    <w:tl2br w:val="nil"/>
                    <w:tr2bl w:val="nil"/>
                  </w:tcBorders>
                  <w:noWrap w:val="0"/>
                  <w:vAlign w:val="center"/>
                </w:tcPr>
                <w:p w14:paraId="66D755A4">
                  <w:pPr>
                    <w:pStyle w:val="26"/>
                    <w:bidi w:val="0"/>
                    <w:jc w:val="center"/>
                    <w:rPr>
                      <w:rFonts w:hint="default"/>
                      <w:color w:val="000000" w:themeColor="text1"/>
                      <w:highlight w:val="none"/>
                      <w:lang w:val="en-US" w:eastAsia="zh-CN" w:bidi="ar-SA"/>
                      <w14:textFill>
                        <w14:solidFill>
                          <w14:schemeClr w14:val="tx1"/>
                        </w14:solidFill>
                      </w14:textFill>
                    </w:rPr>
                  </w:pPr>
                </w:p>
              </w:tc>
              <w:tc>
                <w:tcPr>
                  <w:tcW w:w="474" w:type="pct"/>
                  <w:tcBorders>
                    <w:tl2br w:val="nil"/>
                    <w:tr2bl w:val="nil"/>
                  </w:tcBorders>
                  <w:noWrap w:val="0"/>
                  <w:vAlign w:val="center"/>
                </w:tcPr>
                <w:p w14:paraId="5D4570B3">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1187" w:type="dxa"/>
                  <w:tcBorders>
                    <w:tl2br w:val="nil"/>
                    <w:tr2bl w:val="nil"/>
                  </w:tcBorders>
                  <w:noWrap w:val="0"/>
                  <w:vAlign w:val="center"/>
                </w:tcPr>
                <w:p w14:paraId="36F17E21">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0.0127</w:t>
                  </w:r>
                </w:p>
              </w:tc>
              <w:tc>
                <w:tcPr>
                  <w:tcW w:w="1077" w:type="dxa"/>
                  <w:tcBorders>
                    <w:tl2br w:val="nil"/>
                    <w:tr2bl w:val="nil"/>
                  </w:tcBorders>
                  <w:noWrap w:val="0"/>
                  <w:vAlign w:val="center"/>
                </w:tcPr>
                <w:p w14:paraId="1355823B">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0.0381</w:t>
                  </w:r>
                </w:p>
              </w:tc>
              <w:tc>
                <w:tcPr>
                  <w:tcW w:w="1152" w:type="dxa"/>
                  <w:tcBorders>
                    <w:tl2br w:val="nil"/>
                    <w:tr2bl w:val="nil"/>
                  </w:tcBorders>
                  <w:noWrap w:val="0"/>
                  <w:vAlign w:val="center"/>
                </w:tcPr>
                <w:p w14:paraId="2D9F66F3">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1227" w:type="dxa"/>
                  <w:tcBorders>
                    <w:tl2br w:val="nil"/>
                    <w:tr2bl w:val="nil"/>
                  </w:tcBorders>
                  <w:noWrap w:val="0"/>
                  <w:vAlign w:val="center"/>
                </w:tcPr>
                <w:p w14:paraId="3FDA1A7D">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0.0127</w:t>
                  </w:r>
                </w:p>
              </w:tc>
              <w:tc>
                <w:tcPr>
                  <w:tcW w:w="1105" w:type="dxa"/>
                  <w:tcBorders>
                    <w:tl2br w:val="nil"/>
                    <w:tr2bl w:val="nil"/>
                  </w:tcBorders>
                  <w:noWrap w:val="0"/>
                  <w:vAlign w:val="center"/>
                </w:tcPr>
                <w:p w14:paraId="44540A3F">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0.0381</w:t>
                  </w:r>
                </w:p>
              </w:tc>
              <w:tc>
                <w:tcPr>
                  <w:tcW w:w="1646" w:type="dxa"/>
                  <w:tcBorders>
                    <w:tl2br w:val="nil"/>
                    <w:tr2bl w:val="nil"/>
                  </w:tcBorders>
                  <w:noWrap w:val="0"/>
                  <w:vAlign w:val="center"/>
                </w:tcPr>
                <w:p w14:paraId="338214AF">
                  <w:pPr>
                    <w:pStyle w:val="26"/>
                    <w:bidi w:val="0"/>
                    <w:jc w:val="center"/>
                    <w:rPr>
                      <w:rFonts w:hint="eastAsia"/>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3000</w:t>
                  </w:r>
                </w:p>
              </w:tc>
            </w:tr>
            <w:tr w14:paraId="7E5B7B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9" w:type="pct"/>
                  <w:vMerge w:val="continue"/>
                  <w:tcBorders>
                    <w:tl2br w:val="nil"/>
                    <w:tr2bl w:val="nil"/>
                  </w:tcBorders>
                  <w:noWrap w:val="0"/>
                  <w:vAlign w:val="center"/>
                </w:tcPr>
                <w:p w14:paraId="42612A3E">
                  <w:pPr>
                    <w:pStyle w:val="26"/>
                    <w:bidi w:val="0"/>
                    <w:jc w:val="center"/>
                    <w:rPr>
                      <w:rFonts w:hint="eastAsia"/>
                      <w:color w:val="000000" w:themeColor="text1"/>
                      <w:highlight w:val="none"/>
                      <w:lang w:val="en-US" w:eastAsia="zh-CN" w:bidi="ar-SA"/>
                      <w14:textFill>
                        <w14:solidFill>
                          <w14:schemeClr w14:val="tx1"/>
                        </w14:solidFill>
                      </w14:textFill>
                    </w:rPr>
                  </w:pPr>
                </w:p>
              </w:tc>
              <w:tc>
                <w:tcPr>
                  <w:tcW w:w="574" w:type="pct"/>
                  <w:vMerge w:val="continue"/>
                  <w:tcBorders>
                    <w:tl2br w:val="nil"/>
                    <w:tr2bl w:val="nil"/>
                  </w:tcBorders>
                  <w:noWrap w:val="0"/>
                  <w:vAlign w:val="center"/>
                </w:tcPr>
                <w:p w14:paraId="05E08CBB">
                  <w:pPr>
                    <w:pStyle w:val="26"/>
                    <w:bidi w:val="0"/>
                    <w:rPr>
                      <w:rFonts w:hint="eastAsia"/>
                      <w:color w:val="000000" w:themeColor="text1"/>
                      <w:highlight w:val="none"/>
                      <w:lang w:val="en-US" w:eastAsia="zh-CN" w:bidi="ar-SA"/>
                      <w14:textFill>
                        <w14:solidFill>
                          <w14:schemeClr w14:val="tx1"/>
                        </w14:solidFill>
                      </w14:textFill>
                    </w:rPr>
                  </w:pPr>
                </w:p>
              </w:tc>
              <w:tc>
                <w:tcPr>
                  <w:tcW w:w="504" w:type="pct"/>
                  <w:tcBorders>
                    <w:tl2br w:val="nil"/>
                    <w:tr2bl w:val="nil"/>
                  </w:tcBorders>
                  <w:noWrap w:val="0"/>
                  <w:vAlign w:val="center"/>
                </w:tcPr>
                <w:p w14:paraId="68C69E60">
                  <w:pPr>
                    <w:pStyle w:val="26"/>
                    <w:bidi w:val="0"/>
                    <w:ind w:firstLine="0" w:firstLineChars="0"/>
                    <w:jc w:val="center"/>
                    <w:rPr>
                      <w:rFonts w:hint="eastAsia"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非甲烷总烃</w:t>
                  </w:r>
                </w:p>
              </w:tc>
              <w:tc>
                <w:tcPr>
                  <w:tcW w:w="382" w:type="pct"/>
                  <w:vMerge w:val="continue"/>
                  <w:tcBorders>
                    <w:tl2br w:val="nil"/>
                    <w:tr2bl w:val="nil"/>
                  </w:tcBorders>
                  <w:noWrap w:val="0"/>
                  <w:vAlign w:val="center"/>
                </w:tcPr>
                <w:p w14:paraId="2BCA03B0">
                  <w:pPr>
                    <w:pStyle w:val="26"/>
                    <w:bidi w:val="0"/>
                    <w:jc w:val="center"/>
                    <w:rPr>
                      <w:rFonts w:hint="default"/>
                      <w:color w:val="000000" w:themeColor="text1"/>
                      <w:highlight w:val="none"/>
                      <w:lang w:val="en-US" w:eastAsia="zh-CN" w:bidi="ar-SA"/>
                      <w14:textFill>
                        <w14:solidFill>
                          <w14:schemeClr w14:val="tx1"/>
                        </w14:solidFill>
                      </w14:textFill>
                    </w:rPr>
                  </w:pPr>
                </w:p>
              </w:tc>
              <w:tc>
                <w:tcPr>
                  <w:tcW w:w="474" w:type="pct"/>
                  <w:tcBorders>
                    <w:tl2br w:val="nil"/>
                    <w:tr2bl w:val="nil"/>
                  </w:tcBorders>
                  <w:noWrap w:val="0"/>
                  <w:vAlign w:val="center"/>
                </w:tcPr>
                <w:p w14:paraId="69674433">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1187" w:type="dxa"/>
                  <w:tcBorders>
                    <w:tl2br w:val="nil"/>
                    <w:tr2bl w:val="nil"/>
                  </w:tcBorders>
                  <w:noWrap w:val="0"/>
                  <w:vAlign w:val="center"/>
                </w:tcPr>
                <w:p w14:paraId="7E3F4581">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0.1154</w:t>
                  </w:r>
                </w:p>
              </w:tc>
              <w:tc>
                <w:tcPr>
                  <w:tcW w:w="1077" w:type="dxa"/>
                  <w:tcBorders>
                    <w:tl2br w:val="nil"/>
                    <w:tr2bl w:val="nil"/>
                  </w:tcBorders>
                  <w:noWrap w:val="0"/>
                  <w:vAlign w:val="center"/>
                </w:tcPr>
                <w:p w14:paraId="7FC599B5">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0.3811</w:t>
                  </w:r>
                </w:p>
              </w:tc>
              <w:tc>
                <w:tcPr>
                  <w:tcW w:w="1152" w:type="dxa"/>
                  <w:tcBorders>
                    <w:tl2br w:val="nil"/>
                    <w:tr2bl w:val="nil"/>
                  </w:tcBorders>
                  <w:noWrap w:val="0"/>
                  <w:vAlign w:val="center"/>
                </w:tcPr>
                <w:p w14:paraId="3DE98443">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1227" w:type="dxa"/>
                  <w:tcBorders>
                    <w:tl2br w:val="nil"/>
                    <w:tr2bl w:val="nil"/>
                  </w:tcBorders>
                  <w:noWrap w:val="0"/>
                  <w:vAlign w:val="center"/>
                </w:tcPr>
                <w:p w14:paraId="5DCE7DCD">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0.1154</w:t>
                  </w:r>
                </w:p>
              </w:tc>
              <w:tc>
                <w:tcPr>
                  <w:tcW w:w="1105" w:type="dxa"/>
                  <w:tcBorders>
                    <w:tl2br w:val="nil"/>
                    <w:tr2bl w:val="nil"/>
                  </w:tcBorders>
                  <w:noWrap w:val="0"/>
                  <w:vAlign w:val="center"/>
                </w:tcPr>
                <w:p w14:paraId="3C68CCD2">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0.3811</w:t>
                  </w:r>
                </w:p>
              </w:tc>
              <w:tc>
                <w:tcPr>
                  <w:tcW w:w="1646" w:type="dxa"/>
                  <w:tcBorders>
                    <w:tl2br w:val="nil"/>
                    <w:tr2bl w:val="nil"/>
                  </w:tcBorders>
                  <w:noWrap w:val="0"/>
                  <w:vAlign w:val="center"/>
                </w:tcPr>
                <w:p w14:paraId="762A1543">
                  <w:pPr>
                    <w:pStyle w:val="26"/>
                    <w:bidi w:val="0"/>
                    <w:jc w:val="center"/>
                    <w:rPr>
                      <w:rFonts w:hint="eastAsia"/>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1200/3600/3000</w:t>
                  </w:r>
                </w:p>
              </w:tc>
            </w:tr>
            <w:tr w14:paraId="44550F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9" w:type="pct"/>
                  <w:vMerge w:val="continue"/>
                  <w:tcBorders>
                    <w:tl2br w:val="nil"/>
                    <w:tr2bl w:val="nil"/>
                  </w:tcBorders>
                  <w:noWrap w:val="0"/>
                  <w:vAlign w:val="center"/>
                </w:tcPr>
                <w:p w14:paraId="352EEB92">
                  <w:pPr>
                    <w:pStyle w:val="26"/>
                    <w:bidi w:val="0"/>
                    <w:jc w:val="center"/>
                    <w:rPr>
                      <w:rFonts w:hint="eastAsia"/>
                      <w:color w:val="000000" w:themeColor="text1"/>
                      <w:highlight w:val="none"/>
                      <w:lang w:val="en-US" w:eastAsia="zh-CN" w:bidi="ar-SA"/>
                      <w14:textFill>
                        <w14:solidFill>
                          <w14:schemeClr w14:val="tx1"/>
                        </w14:solidFill>
                      </w14:textFill>
                    </w:rPr>
                  </w:pPr>
                </w:p>
              </w:tc>
              <w:tc>
                <w:tcPr>
                  <w:tcW w:w="574" w:type="pct"/>
                  <w:tcBorders>
                    <w:tl2br w:val="nil"/>
                    <w:tr2bl w:val="nil"/>
                  </w:tcBorders>
                  <w:noWrap w:val="0"/>
                  <w:vAlign w:val="center"/>
                </w:tcPr>
                <w:p w14:paraId="3497E367">
                  <w:pPr>
                    <w:pStyle w:val="26"/>
                    <w:bidi w:val="0"/>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3#车间乙醇储罐呼吸废气</w:t>
                  </w:r>
                </w:p>
              </w:tc>
              <w:tc>
                <w:tcPr>
                  <w:tcW w:w="504" w:type="pct"/>
                  <w:tcBorders>
                    <w:tl2br w:val="nil"/>
                    <w:tr2bl w:val="nil"/>
                  </w:tcBorders>
                  <w:noWrap w:val="0"/>
                  <w:vAlign w:val="center"/>
                </w:tcPr>
                <w:p w14:paraId="0DEA07A9">
                  <w:pPr>
                    <w:pStyle w:val="26"/>
                    <w:bidi w:val="0"/>
                    <w:ind w:firstLine="0" w:firstLineChars="0"/>
                    <w:jc w:val="center"/>
                    <w:rPr>
                      <w:rFonts w:hint="eastAsia"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非甲烷总烃</w:t>
                  </w:r>
                </w:p>
              </w:tc>
              <w:tc>
                <w:tcPr>
                  <w:tcW w:w="382" w:type="pct"/>
                  <w:vMerge w:val="continue"/>
                  <w:tcBorders>
                    <w:tl2br w:val="nil"/>
                    <w:tr2bl w:val="nil"/>
                  </w:tcBorders>
                  <w:noWrap w:val="0"/>
                  <w:vAlign w:val="center"/>
                </w:tcPr>
                <w:p w14:paraId="39006237">
                  <w:pPr>
                    <w:pStyle w:val="26"/>
                    <w:bidi w:val="0"/>
                    <w:jc w:val="center"/>
                    <w:rPr>
                      <w:rFonts w:hint="default"/>
                      <w:color w:val="000000" w:themeColor="text1"/>
                      <w:highlight w:val="none"/>
                      <w:lang w:val="en-US" w:eastAsia="zh-CN" w:bidi="ar-SA"/>
                      <w14:textFill>
                        <w14:solidFill>
                          <w14:schemeClr w14:val="tx1"/>
                        </w14:solidFill>
                      </w14:textFill>
                    </w:rPr>
                  </w:pPr>
                </w:p>
              </w:tc>
              <w:tc>
                <w:tcPr>
                  <w:tcW w:w="474" w:type="pct"/>
                  <w:tcBorders>
                    <w:tl2br w:val="nil"/>
                    <w:tr2bl w:val="nil"/>
                  </w:tcBorders>
                  <w:noWrap w:val="0"/>
                  <w:vAlign w:val="center"/>
                </w:tcPr>
                <w:p w14:paraId="44966288">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1187" w:type="dxa"/>
                  <w:tcBorders>
                    <w:tl2br w:val="nil"/>
                    <w:tr2bl w:val="nil"/>
                  </w:tcBorders>
                  <w:noWrap w:val="0"/>
                  <w:vAlign w:val="center"/>
                </w:tcPr>
                <w:p w14:paraId="35913B2E">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0.0001</w:t>
                  </w:r>
                </w:p>
              </w:tc>
              <w:tc>
                <w:tcPr>
                  <w:tcW w:w="1077" w:type="dxa"/>
                  <w:tcBorders>
                    <w:tl2br w:val="nil"/>
                    <w:tr2bl w:val="nil"/>
                  </w:tcBorders>
                  <w:noWrap w:val="0"/>
                  <w:vAlign w:val="center"/>
                </w:tcPr>
                <w:p w14:paraId="2D265295">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0.0005</w:t>
                  </w:r>
                </w:p>
              </w:tc>
              <w:tc>
                <w:tcPr>
                  <w:tcW w:w="1152" w:type="dxa"/>
                  <w:tcBorders>
                    <w:tl2br w:val="nil"/>
                    <w:tr2bl w:val="nil"/>
                  </w:tcBorders>
                  <w:noWrap w:val="0"/>
                  <w:vAlign w:val="center"/>
                </w:tcPr>
                <w:p w14:paraId="6356D3DE">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1227" w:type="dxa"/>
                  <w:tcBorders>
                    <w:tl2br w:val="nil"/>
                    <w:tr2bl w:val="nil"/>
                  </w:tcBorders>
                  <w:noWrap w:val="0"/>
                  <w:vAlign w:val="center"/>
                </w:tcPr>
                <w:p w14:paraId="73C771A8">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0.0001</w:t>
                  </w:r>
                </w:p>
              </w:tc>
              <w:tc>
                <w:tcPr>
                  <w:tcW w:w="1105" w:type="dxa"/>
                  <w:tcBorders>
                    <w:tl2br w:val="nil"/>
                    <w:tr2bl w:val="nil"/>
                  </w:tcBorders>
                  <w:noWrap w:val="0"/>
                  <w:vAlign w:val="center"/>
                </w:tcPr>
                <w:p w14:paraId="2816DCE7">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0.0005</w:t>
                  </w:r>
                </w:p>
              </w:tc>
              <w:tc>
                <w:tcPr>
                  <w:tcW w:w="1646" w:type="dxa"/>
                  <w:tcBorders>
                    <w:tl2br w:val="nil"/>
                    <w:tr2bl w:val="nil"/>
                  </w:tcBorders>
                  <w:noWrap w:val="0"/>
                  <w:vAlign w:val="center"/>
                </w:tcPr>
                <w:p w14:paraId="530E5C09">
                  <w:pPr>
                    <w:pStyle w:val="26"/>
                    <w:bidi w:val="0"/>
                    <w:jc w:val="center"/>
                    <w:rPr>
                      <w:rFonts w:hint="eastAsia"/>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7200/8760</w:t>
                  </w:r>
                </w:p>
              </w:tc>
            </w:tr>
            <w:tr w14:paraId="6E0921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4" w:type="pct"/>
                  <w:gridSpan w:val="2"/>
                  <w:vMerge w:val="restart"/>
                  <w:noWrap w:val="0"/>
                  <w:vAlign w:val="center"/>
                </w:tcPr>
                <w:p w14:paraId="1CEE47A8">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合计</w:t>
                  </w:r>
                </w:p>
              </w:tc>
              <w:tc>
                <w:tcPr>
                  <w:tcW w:w="504" w:type="pct"/>
                  <w:noWrap w:val="0"/>
                  <w:vAlign w:val="center"/>
                </w:tcPr>
                <w:p w14:paraId="5AE43170">
                  <w:pPr>
                    <w:pStyle w:val="26"/>
                    <w:bidi w:val="0"/>
                    <w:ind w:firstLine="0" w:firstLineChars="0"/>
                    <w:jc w:val="center"/>
                    <w:rPr>
                      <w:rFonts w:hint="eastAsia"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沥青烟</w:t>
                  </w:r>
                </w:p>
              </w:tc>
              <w:tc>
                <w:tcPr>
                  <w:tcW w:w="382" w:type="pct"/>
                  <w:vMerge w:val="restart"/>
                  <w:noWrap w:val="0"/>
                  <w:vAlign w:val="center"/>
                </w:tcPr>
                <w:p w14:paraId="006B8544">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w:t>
                  </w:r>
                </w:p>
              </w:tc>
              <w:tc>
                <w:tcPr>
                  <w:tcW w:w="474" w:type="pct"/>
                  <w:vMerge w:val="restart"/>
                  <w:noWrap w:val="0"/>
                  <w:vAlign w:val="center"/>
                </w:tcPr>
                <w:p w14:paraId="386A228C">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w:t>
                  </w:r>
                </w:p>
              </w:tc>
              <w:tc>
                <w:tcPr>
                  <w:tcW w:w="443" w:type="pct"/>
                  <w:vMerge w:val="restart"/>
                  <w:noWrap w:val="0"/>
                  <w:vAlign w:val="center"/>
                </w:tcPr>
                <w:p w14:paraId="69C41DC7">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w:t>
                  </w:r>
                </w:p>
              </w:tc>
              <w:tc>
                <w:tcPr>
                  <w:tcW w:w="1077" w:type="dxa"/>
                  <w:noWrap w:val="0"/>
                  <w:vAlign w:val="center"/>
                </w:tcPr>
                <w:p w14:paraId="49183069">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0.1266</w:t>
                  </w:r>
                </w:p>
              </w:tc>
              <w:tc>
                <w:tcPr>
                  <w:tcW w:w="430" w:type="pct"/>
                  <w:vMerge w:val="restart"/>
                  <w:noWrap w:val="0"/>
                  <w:vAlign w:val="center"/>
                </w:tcPr>
                <w:p w14:paraId="7C50F7AF">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w:t>
                  </w:r>
                </w:p>
              </w:tc>
              <w:tc>
                <w:tcPr>
                  <w:tcW w:w="458" w:type="pct"/>
                  <w:vMerge w:val="restart"/>
                  <w:noWrap w:val="0"/>
                  <w:vAlign w:val="center"/>
                </w:tcPr>
                <w:p w14:paraId="0C78C8D9">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w:t>
                  </w:r>
                </w:p>
              </w:tc>
              <w:tc>
                <w:tcPr>
                  <w:tcW w:w="1105" w:type="dxa"/>
                  <w:noWrap w:val="0"/>
                  <w:vAlign w:val="center"/>
                </w:tcPr>
                <w:p w14:paraId="3D90CCB1">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0.0211</w:t>
                  </w:r>
                </w:p>
              </w:tc>
              <w:tc>
                <w:tcPr>
                  <w:tcW w:w="615" w:type="pct"/>
                  <w:noWrap w:val="0"/>
                  <w:vAlign w:val="center"/>
                </w:tcPr>
                <w:p w14:paraId="60A2F32C">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w:t>
                  </w:r>
                </w:p>
              </w:tc>
            </w:tr>
            <w:tr w14:paraId="51EA7D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4" w:type="pct"/>
                  <w:gridSpan w:val="2"/>
                  <w:vMerge w:val="continue"/>
                  <w:noWrap w:val="0"/>
                  <w:vAlign w:val="center"/>
                </w:tcPr>
                <w:p w14:paraId="45327805">
                  <w:pPr>
                    <w:pStyle w:val="26"/>
                    <w:bidi w:val="0"/>
                    <w:jc w:val="center"/>
                    <w:rPr>
                      <w:rFonts w:hint="default"/>
                      <w:color w:val="000000" w:themeColor="text1"/>
                      <w:highlight w:val="none"/>
                      <w:lang w:val="en-US" w:eastAsia="zh-CN" w:bidi="ar-SA"/>
                      <w14:textFill>
                        <w14:solidFill>
                          <w14:schemeClr w14:val="tx1"/>
                        </w14:solidFill>
                      </w14:textFill>
                    </w:rPr>
                  </w:pPr>
                </w:p>
              </w:tc>
              <w:tc>
                <w:tcPr>
                  <w:tcW w:w="504" w:type="pct"/>
                  <w:noWrap w:val="0"/>
                  <w:vAlign w:val="center"/>
                </w:tcPr>
                <w:p w14:paraId="62446A57">
                  <w:pPr>
                    <w:pStyle w:val="26"/>
                    <w:bidi w:val="0"/>
                    <w:ind w:firstLine="0" w:firstLineChars="0"/>
                    <w:jc w:val="center"/>
                    <w:rPr>
                      <w:rFonts w:hint="eastAsia"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苯并[a]芘</w:t>
                  </w:r>
                </w:p>
              </w:tc>
              <w:tc>
                <w:tcPr>
                  <w:tcW w:w="382" w:type="pct"/>
                  <w:vMerge w:val="continue"/>
                  <w:noWrap w:val="0"/>
                  <w:vAlign w:val="center"/>
                </w:tcPr>
                <w:p w14:paraId="5B84BA30">
                  <w:pPr>
                    <w:pStyle w:val="26"/>
                    <w:bidi w:val="0"/>
                    <w:jc w:val="center"/>
                    <w:rPr>
                      <w:rFonts w:hint="default"/>
                      <w:color w:val="000000" w:themeColor="text1"/>
                      <w:highlight w:val="none"/>
                      <w:lang w:val="en-US" w:eastAsia="zh-CN" w:bidi="ar-SA"/>
                      <w14:textFill>
                        <w14:solidFill>
                          <w14:schemeClr w14:val="tx1"/>
                        </w14:solidFill>
                      </w14:textFill>
                    </w:rPr>
                  </w:pPr>
                </w:p>
              </w:tc>
              <w:tc>
                <w:tcPr>
                  <w:tcW w:w="474" w:type="pct"/>
                  <w:vMerge w:val="continue"/>
                  <w:noWrap w:val="0"/>
                  <w:vAlign w:val="center"/>
                </w:tcPr>
                <w:p w14:paraId="73E4C314">
                  <w:pPr>
                    <w:pStyle w:val="26"/>
                    <w:bidi w:val="0"/>
                    <w:jc w:val="center"/>
                    <w:rPr>
                      <w:rFonts w:hint="default"/>
                      <w:color w:val="000000" w:themeColor="text1"/>
                      <w:highlight w:val="none"/>
                      <w:lang w:val="en-US" w:eastAsia="zh-CN" w:bidi="ar-SA"/>
                      <w14:textFill>
                        <w14:solidFill>
                          <w14:schemeClr w14:val="tx1"/>
                        </w14:solidFill>
                      </w14:textFill>
                    </w:rPr>
                  </w:pPr>
                </w:p>
              </w:tc>
              <w:tc>
                <w:tcPr>
                  <w:tcW w:w="443" w:type="pct"/>
                  <w:vMerge w:val="continue"/>
                  <w:noWrap w:val="0"/>
                  <w:vAlign w:val="center"/>
                </w:tcPr>
                <w:p w14:paraId="53BCBB82">
                  <w:pPr>
                    <w:pStyle w:val="26"/>
                    <w:bidi w:val="0"/>
                    <w:jc w:val="center"/>
                    <w:rPr>
                      <w:rFonts w:hint="default"/>
                      <w:color w:val="000000" w:themeColor="text1"/>
                      <w:highlight w:val="none"/>
                      <w:lang w:val="en-US" w:eastAsia="zh-CN" w:bidi="ar-SA"/>
                      <w14:textFill>
                        <w14:solidFill>
                          <w14:schemeClr w14:val="tx1"/>
                        </w14:solidFill>
                      </w14:textFill>
                    </w:rPr>
                  </w:pPr>
                </w:p>
              </w:tc>
              <w:tc>
                <w:tcPr>
                  <w:tcW w:w="1077" w:type="dxa"/>
                  <w:noWrap w:val="0"/>
                  <w:vAlign w:val="center"/>
                </w:tcPr>
                <w:p w14:paraId="18AF5743">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3.38E-05</w:t>
                  </w:r>
                </w:p>
              </w:tc>
              <w:tc>
                <w:tcPr>
                  <w:tcW w:w="430" w:type="pct"/>
                  <w:vMerge w:val="continue"/>
                  <w:noWrap w:val="0"/>
                  <w:vAlign w:val="center"/>
                </w:tcPr>
                <w:p w14:paraId="07D598FE">
                  <w:pPr>
                    <w:pStyle w:val="26"/>
                    <w:bidi w:val="0"/>
                    <w:jc w:val="center"/>
                    <w:rPr>
                      <w:rFonts w:hint="default"/>
                      <w:color w:val="000000" w:themeColor="text1"/>
                      <w:highlight w:val="none"/>
                      <w:lang w:val="en-US" w:eastAsia="zh-CN" w:bidi="ar-SA"/>
                      <w14:textFill>
                        <w14:solidFill>
                          <w14:schemeClr w14:val="tx1"/>
                        </w14:solidFill>
                      </w14:textFill>
                    </w:rPr>
                  </w:pPr>
                </w:p>
              </w:tc>
              <w:tc>
                <w:tcPr>
                  <w:tcW w:w="458" w:type="pct"/>
                  <w:vMerge w:val="continue"/>
                  <w:noWrap w:val="0"/>
                  <w:vAlign w:val="center"/>
                </w:tcPr>
                <w:p w14:paraId="75899C5F">
                  <w:pPr>
                    <w:pStyle w:val="26"/>
                    <w:bidi w:val="0"/>
                    <w:jc w:val="center"/>
                    <w:rPr>
                      <w:rFonts w:hint="default"/>
                      <w:color w:val="000000" w:themeColor="text1"/>
                      <w:highlight w:val="none"/>
                      <w:lang w:val="en-US" w:eastAsia="zh-CN" w:bidi="ar-SA"/>
                      <w14:textFill>
                        <w14:solidFill>
                          <w14:schemeClr w14:val="tx1"/>
                        </w14:solidFill>
                      </w14:textFill>
                    </w:rPr>
                  </w:pPr>
                </w:p>
              </w:tc>
              <w:tc>
                <w:tcPr>
                  <w:tcW w:w="1105" w:type="dxa"/>
                  <w:noWrap w:val="0"/>
                  <w:vAlign w:val="center"/>
                </w:tcPr>
                <w:p w14:paraId="288C4146">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5.64E-06</w:t>
                  </w:r>
                </w:p>
              </w:tc>
              <w:tc>
                <w:tcPr>
                  <w:tcW w:w="615" w:type="pct"/>
                  <w:noWrap w:val="0"/>
                  <w:vAlign w:val="center"/>
                </w:tcPr>
                <w:p w14:paraId="7F833707">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w:t>
                  </w:r>
                </w:p>
              </w:tc>
            </w:tr>
            <w:tr w14:paraId="232E23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4" w:type="pct"/>
                  <w:gridSpan w:val="2"/>
                  <w:vMerge w:val="continue"/>
                  <w:noWrap w:val="0"/>
                  <w:vAlign w:val="center"/>
                </w:tcPr>
                <w:p w14:paraId="71565761">
                  <w:pPr>
                    <w:pStyle w:val="26"/>
                    <w:bidi w:val="0"/>
                    <w:jc w:val="center"/>
                    <w:rPr>
                      <w:rFonts w:hint="default"/>
                      <w:color w:val="000000" w:themeColor="text1"/>
                      <w:highlight w:val="none"/>
                      <w:lang w:val="en-US" w:eastAsia="zh-CN" w:bidi="ar-SA"/>
                      <w14:textFill>
                        <w14:solidFill>
                          <w14:schemeClr w14:val="tx1"/>
                        </w14:solidFill>
                      </w14:textFill>
                    </w:rPr>
                  </w:pPr>
                </w:p>
              </w:tc>
              <w:tc>
                <w:tcPr>
                  <w:tcW w:w="504" w:type="pct"/>
                  <w:noWrap w:val="0"/>
                  <w:vAlign w:val="center"/>
                </w:tcPr>
                <w:p w14:paraId="0AD30F1C">
                  <w:pPr>
                    <w:pStyle w:val="26"/>
                    <w:bidi w:val="0"/>
                    <w:ind w:firstLine="0" w:firstLineChars="0"/>
                    <w:jc w:val="center"/>
                    <w:rPr>
                      <w:rFonts w:hint="eastAsia"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颗粒物</w:t>
                  </w:r>
                </w:p>
              </w:tc>
              <w:tc>
                <w:tcPr>
                  <w:tcW w:w="382" w:type="pct"/>
                  <w:vMerge w:val="continue"/>
                  <w:noWrap w:val="0"/>
                  <w:vAlign w:val="center"/>
                </w:tcPr>
                <w:p w14:paraId="2DF4A396">
                  <w:pPr>
                    <w:pStyle w:val="26"/>
                    <w:bidi w:val="0"/>
                    <w:jc w:val="center"/>
                    <w:rPr>
                      <w:rFonts w:hint="default"/>
                      <w:color w:val="000000" w:themeColor="text1"/>
                      <w:highlight w:val="none"/>
                      <w:lang w:val="en-US" w:eastAsia="zh-CN" w:bidi="ar-SA"/>
                      <w14:textFill>
                        <w14:solidFill>
                          <w14:schemeClr w14:val="tx1"/>
                        </w14:solidFill>
                      </w14:textFill>
                    </w:rPr>
                  </w:pPr>
                </w:p>
              </w:tc>
              <w:tc>
                <w:tcPr>
                  <w:tcW w:w="474" w:type="pct"/>
                  <w:vMerge w:val="continue"/>
                  <w:noWrap w:val="0"/>
                  <w:vAlign w:val="center"/>
                </w:tcPr>
                <w:p w14:paraId="494AA181">
                  <w:pPr>
                    <w:pStyle w:val="26"/>
                    <w:bidi w:val="0"/>
                    <w:jc w:val="center"/>
                    <w:rPr>
                      <w:rFonts w:hint="default"/>
                      <w:color w:val="000000" w:themeColor="text1"/>
                      <w:highlight w:val="none"/>
                      <w:lang w:val="en-US" w:eastAsia="zh-CN" w:bidi="ar-SA"/>
                      <w14:textFill>
                        <w14:solidFill>
                          <w14:schemeClr w14:val="tx1"/>
                        </w14:solidFill>
                      </w14:textFill>
                    </w:rPr>
                  </w:pPr>
                </w:p>
              </w:tc>
              <w:tc>
                <w:tcPr>
                  <w:tcW w:w="443" w:type="pct"/>
                  <w:vMerge w:val="continue"/>
                  <w:noWrap w:val="0"/>
                  <w:vAlign w:val="center"/>
                </w:tcPr>
                <w:p w14:paraId="534D4895">
                  <w:pPr>
                    <w:pStyle w:val="26"/>
                    <w:bidi w:val="0"/>
                    <w:jc w:val="center"/>
                    <w:rPr>
                      <w:rFonts w:hint="default"/>
                      <w:color w:val="000000" w:themeColor="text1"/>
                      <w:highlight w:val="none"/>
                      <w:lang w:val="en-US" w:eastAsia="zh-CN" w:bidi="ar-SA"/>
                      <w14:textFill>
                        <w14:solidFill>
                          <w14:schemeClr w14:val="tx1"/>
                        </w14:solidFill>
                      </w14:textFill>
                    </w:rPr>
                  </w:pPr>
                </w:p>
              </w:tc>
              <w:tc>
                <w:tcPr>
                  <w:tcW w:w="1077" w:type="dxa"/>
                  <w:noWrap w:val="0"/>
                  <w:vAlign w:val="center"/>
                </w:tcPr>
                <w:p w14:paraId="21099DD2">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1.9050</w:t>
                  </w:r>
                </w:p>
              </w:tc>
              <w:tc>
                <w:tcPr>
                  <w:tcW w:w="430" w:type="pct"/>
                  <w:vMerge w:val="continue"/>
                  <w:noWrap w:val="0"/>
                  <w:vAlign w:val="center"/>
                </w:tcPr>
                <w:p w14:paraId="1DC59BCF">
                  <w:pPr>
                    <w:pStyle w:val="26"/>
                    <w:bidi w:val="0"/>
                    <w:jc w:val="center"/>
                    <w:rPr>
                      <w:rFonts w:hint="default"/>
                      <w:color w:val="000000" w:themeColor="text1"/>
                      <w:highlight w:val="none"/>
                      <w:lang w:val="en-US" w:eastAsia="zh-CN" w:bidi="ar-SA"/>
                      <w14:textFill>
                        <w14:solidFill>
                          <w14:schemeClr w14:val="tx1"/>
                        </w14:solidFill>
                      </w14:textFill>
                    </w:rPr>
                  </w:pPr>
                </w:p>
              </w:tc>
              <w:tc>
                <w:tcPr>
                  <w:tcW w:w="458" w:type="pct"/>
                  <w:vMerge w:val="continue"/>
                  <w:noWrap w:val="0"/>
                  <w:vAlign w:val="center"/>
                </w:tcPr>
                <w:p w14:paraId="708A1A0D">
                  <w:pPr>
                    <w:pStyle w:val="26"/>
                    <w:bidi w:val="0"/>
                    <w:jc w:val="center"/>
                    <w:rPr>
                      <w:rFonts w:hint="default"/>
                      <w:color w:val="000000" w:themeColor="text1"/>
                      <w:highlight w:val="none"/>
                      <w:lang w:val="en-US" w:eastAsia="zh-CN" w:bidi="ar-SA"/>
                      <w14:textFill>
                        <w14:solidFill>
                          <w14:schemeClr w14:val="tx1"/>
                        </w14:solidFill>
                      </w14:textFill>
                    </w:rPr>
                  </w:pPr>
                </w:p>
              </w:tc>
              <w:tc>
                <w:tcPr>
                  <w:tcW w:w="1105" w:type="dxa"/>
                  <w:noWrap w:val="0"/>
                  <w:vAlign w:val="center"/>
                </w:tcPr>
                <w:p w14:paraId="7AF60FCE">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0.0568</w:t>
                  </w:r>
                </w:p>
              </w:tc>
              <w:tc>
                <w:tcPr>
                  <w:tcW w:w="615" w:type="pct"/>
                  <w:noWrap w:val="0"/>
                  <w:vAlign w:val="center"/>
                </w:tcPr>
                <w:p w14:paraId="3B66DA10">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w:t>
                  </w:r>
                </w:p>
              </w:tc>
            </w:tr>
            <w:tr w14:paraId="471CD6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4" w:type="pct"/>
                  <w:gridSpan w:val="2"/>
                  <w:vMerge w:val="continue"/>
                  <w:noWrap w:val="0"/>
                  <w:vAlign w:val="center"/>
                </w:tcPr>
                <w:p w14:paraId="53E543EF">
                  <w:pPr>
                    <w:pStyle w:val="26"/>
                    <w:bidi w:val="0"/>
                    <w:jc w:val="center"/>
                    <w:rPr>
                      <w:rFonts w:hint="default"/>
                      <w:color w:val="000000" w:themeColor="text1"/>
                      <w:highlight w:val="none"/>
                      <w:lang w:val="en-US" w:eastAsia="zh-CN" w:bidi="ar-SA"/>
                      <w14:textFill>
                        <w14:solidFill>
                          <w14:schemeClr w14:val="tx1"/>
                        </w14:solidFill>
                      </w14:textFill>
                    </w:rPr>
                  </w:pPr>
                </w:p>
              </w:tc>
              <w:tc>
                <w:tcPr>
                  <w:tcW w:w="504" w:type="pct"/>
                  <w:noWrap w:val="0"/>
                  <w:vAlign w:val="center"/>
                </w:tcPr>
                <w:p w14:paraId="444ED7A7">
                  <w:pPr>
                    <w:pStyle w:val="26"/>
                    <w:bidi w:val="0"/>
                    <w:ind w:firstLine="0" w:firstLineChars="0"/>
                    <w:jc w:val="center"/>
                    <w:rPr>
                      <w:rFonts w:hint="eastAsia"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非甲烷总烃</w:t>
                  </w:r>
                </w:p>
              </w:tc>
              <w:tc>
                <w:tcPr>
                  <w:tcW w:w="382" w:type="pct"/>
                  <w:vMerge w:val="continue"/>
                  <w:noWrap w:val="0"/>
                  <w:vAlign w:val="center"/>
                </w:tcPr>
                <w:p w14:paraId="6BE3276D">
                  <w:pPr>
                    <w:pStyle w:val="26"/>
                    <w:bidi w:val="0"/>
                    <w:jc w:val="center"/>
                    <w:rPr>
                      <w:rFonts w:hint="default"/>
                      <w:color w:val="000000" w:themeColor="text1"/>
                      <w:highlight w:val="none"/>
                      <w:lang w:val="en-US" w:eastAsia="zh-CN" w:bidi="ar-SA"/>
                      <w14:textFill>
                        <w14:solidFill>
                          <w14:schemeClr w14:val="tx1"/>
                        </w14:solidFill>
                      </w14:textFill>
                    </w:rPr>
                  </w:pPr>
                </w:p>
              </w:tc>
              <w:tc>
                <w:tcPr>
                  <w:tcW w:w="474" w:type="pct"/>
                  <w:vMerge w:val="continue"/>
                  <w:noWrap w:val="0"/>
                  <w:vAlign w:val="center"/>
                </w:tcPr>
                <w:p w14:paraId="269FF502">
                  <w:pPr>
                    <w:pStyle w:val="26"/>
                    <w:bidi w:val="0"/>
                    <w:jc w:val="center"/>
                    <w:rPr>
                      <w:rFonts w:hint="default"/>
                      <w:color w:val="000000" w:themeColor="text1"/>
                      <w:highlight w:val="none"/>
                      <w:lang w:val="en-US" w:eastAsia="zh-CN" w:bidi="ar-SA"/>
                      <w14:textFill>
                        <w14:solidFill>
                          <w14:schemeClr w14:val="tx1"/>
                        </w14:solidFill>
                      </w14:textFill>
                    </w:rPr>
                  </w:pPr>
                </w:p>
              </w:tc>
              <w:tc>
                <w:tcPr>
                  <w:tcW w:w="443" w:type="pct"/>
                  <w:vMerge w:val="continue"/>
                  <w:noWrap w:val="0"/>
                  <w:vAlign w:val="center"/>
                </w:tcPr>
                <w:p w14:paraId="0A76A638">
                  <w:pPr>
                    <w:pStyle w:val="26"/>
                    <w:bidi w:val="0"/>
                    <w:jc w:val="center"/>
                    <w:rPr>
                      <w:rFonts w:hint="default"/>
                      <w:color w:val="000000" w:themeColor="text1"/>
                      <w:highlight w:val="none"/>
                      <w:lang w:val="en-US" w:eastAsia="zh-CN" w:bidi="ar-SA"/>
                      <w14:textFill>
                        <w14:solidFill>
                          <w14:schemeClr w14:val="tx1"/>
                        </w14:solidFill>
                      </w14:textFill>
                    </w:rPr>
                  </w:pPr>
                </w:p>
              </w:tc>
              <w:tc>
                <w:tcPr>
                  <w:tcW w:w="1077" w:type="dxa"/>
                  <w:noWrap w:val="0"/>
                  <w:vAlign w:val="center"/>
                </w:tcPr>
                <w:p w14:paraId="0213986A">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12.3079</w:t>
                  </w:r>
                </w:p>
              </w:tc>
              <w:tc>
                <w:tcPr>
                  <w:tcW w:w="430" w:type="pct"/>
                  <w:vMerge w:val="continue"/>
                  <w:noWrap w:val="0"/>
                  <w:vAlign w:val="center"/>
                </w:tcPr>
                <w:p w14:paraId="3B07C267">
                  <w:pPr>
                    <w:pStyle w:val="26"/>
                    <w:bidi w:val="0"/>
                    <w:jc w:val="center"/>
                    <w:rPr>
                      <w:rFonts w:hint="default"/>
                      <w:color w:val="000000" w:themeColor="text1"/>
                      <w:highlight w:val="none"/>
                      <w:lang w:val="en-US" w:eastAsia="zh-CN" w:bidi="ar-SA"/>
                      <w14:textFill>
                        <w14:solidFill>
                          <w14:schemeClr w14:val="tx1"/>
                        </w14:solidFill>
                      </w14:textFill>
                    </w:rPr>
                  </w:pPr>
                </w:p>
              </w:tc>
              <w:tc>
                <w:tcPr>
                  <w:tcW w:w="458" w:type="pct"/>
                  <w:vMerge w:val="continue"/>
                  <w:noWrap w:val="0"/>
                  <w:vAlign w:val="center"/>
                </w:tcPr>
                <w:p w14:paraId="77025584">
                  <w:pPr>
                    <w:pStyle w:val="26"/>
                    <w:bidi w:val="0"/>
                    <w:jc w:val="center"/>
                    <w:rPr>
                      <w:rFonts w:hint="default"/>
                      <w:color w:val="000000" w:themeColor="text1"/>
                      <w:highlight w:val="none"/>
                      <w:lang w:val="en-US" w:eastAsia="zh-CN" w:bidi="ar-SA"/>
                      <w14:textFill>
                        <w14:solidFill>
                          <w14:schemeClr w14:val="tx1"/>
                        </w14:solidFill>
                      </w14:textFill>
                    </w:rPr>
                  </w:pPr>
                </w:p>
              </w:tc>
              <w:tc>
                <w:tcPr>
                  <w:tcW w:w="1105" w:type="dxa"/>
                  <w:noWrap w:val="0"/>
                  <w:vAlign w:val="center"/>
                </w:tcPr>
                <w:p w14:paraId="0A5518A8">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2.7669</w:t>
                  </w:r>
                </w:p>
              </w:tc>
              <w:tc>
                <w:tcPr>
                  <w:tcW w:w="615" w:type="pct"/>
                  <w:noWrap w:val="0"/>
                  <w:vAlign w:val="center"/>
                </w:tcPr>
                <w:p w14:paraId="3605E750">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w:t>
                  </w:r>
                </w:p>
              </w:tc>
            </w:tr>
          </w:tbl>
          <w:p w14:paraId="52242ACD">
            <w:pPr>
              <w:pStyle w:val="30"/>
              <w:bidi w:val="0"/>
              <w:rPr>
                <w:rFonts w:hint="default"/>
                <w:color w:val="000000" w:themeColor="text1"/>
                <w:highlight w:val="none"/>
                <w:lang w:eastAsia="zh-CN"/>
                <w14:textFill>
                  <w14:solidFill>
                    <w14:schemeClr w14:val="tx1"/>
                  </w14:solidFill>
                </w14:textFill>
              </w:rPr>
            </w:pPr>
            <w:bookmarkStart w:id="188" w:name="_Ref2721"/>
            <w:r>
              <w:rPr>
                <w:rFonts w:hint="eastAsia"/>
                <w:color w:val="000000" w:themeColor="text1"/>
                <w:highlight w:val="none"/>
                <w:lang w:val="en-US" w:eastAsia="zh-CN"/>
                <w14:textFill>
                  <w14:solidFill>
                    <w14:schemeClr w14:val="tx1"/>
                  </w14:solidFill>
                </w14:textFill>
              </w:rPr>
              <w:t>二期工程废气产排情况一览表</w:t>
            </w:r>
            <w:bookmarkEnd w:id="187"/>
            <w:bookmarkEnd w:id="188"/>
          </w:p>
          <w:tbl>
            <w:tblPr>
              <w:tblStyle w:val="1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5"/>
              <w:gridCol w:w="1066"/>
              <w:gridCol w:w="995"/>
              <w:gridCol w:w="1390"/>
              <w:gridCol w:w="1028"/>
              <w:gridCol w:w="1306"/>
              <w:gridCol w:w="1293"/>
              <w:gridCol w:w="1127"/>
              <w:gridCol w:w="827"/>
              <w:gridCol w:w="1301"/>
              <w:gridCol w:w="1266"/>
              <w:gridCol w:w="813"/>
            </w:tblGrid>
            <w:tr w14:paraId="2ED589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62" w:type="pct"/>
                  <w:gridSpan w:val="2"/>
                  <w:vMerge w:val="restart"/>
                  <w:tcBorders>
                    <w:tl2br w:val="nil"/>
                    <w:tr2bl w:val="nil"/>
                  </w:tcBorders>
                  <w:noWrap w:val="0"/>
                  <w:vAlign w:val="center"/>
                </w:tcPr>
                <w:p w14:paraId="0EE03C52">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工序/生产线</w:t>
                  </w:r>
                </w:p>
              </w:tc>
              <w:tc>
                <w:tcPr>
                  <w:tcW w:w="371" w:type="pct"/>
                  <w:vMerge w:val="restart"/>
                  <w:tcBorders>
                    <w:tl2br w:val="nil"/>
                    <w:tr2bl w:val="nil"/>
                  </w:tcBorders>
                  <w:noWrap w:val="0"/>
                  <w:vAlign w:val="center"/>
                </w:tcPr>
                <w:p w14:paraId="19038AED">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污染源</w:t>
                  </w:r>
                </w:p>
              </w:tc>
              <w:tc>
                <w:tcPr>
                  <w:tcW w:w="519" w:type="pct"/>
                  <w:vMerge w:val="restart"/>
                  <w:tcBorders>
                    <w:tl2br w:val="nil"/>
                    <w:tr2bl w:val="nil"/>
                  </w:tcBorders>
                  <w:noWrap w:val="0"/>
                  <w:vAlign w:val="center"/>
                </w:tcPr>
                <w:p w14:paraId="3C3CC0A7">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污染物</w:t>
                  </w:r>
                </w:p>
              </w:tc>
              <w:tc>
                <w:tcPr>
                  <w:tcW w:w="383" w:type="pct"/>
                  <w:vMerge w:val="restart"/>
                  <w:tcBorders>
                    <w:tl2br w:val="nil"/>
                    <w:tr2bl w:val="nil"/>
                  </w:tcBorders>
                  <w:noWrap w:val="0"/>
                  <w:vAlign w:val="center"/>
                </w:tcPr>
                <w:p w14:paraId="433E07D2">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废气量/（m</w:t>
                  </w:r>
                  <w:r>
                    <w:rPr>
                      <w:rFonts w:hint="default" w:ascii="Times New Roman" w:hAnsi="Times New Roman" w:cs="Times New Roman"/>
                      <w:color w:val="000000" w:themeColor="text1"/>
                      <w:szCs w:val="20"/>
                      <w:highlight w:val="none"/>
                      <w:vertAlign w:val="superscript"/>
                      <w:lang w:val="en-US" w:eastAsia="zh-CN" w:bidi="ar-SA"/>
                      <w14:textFill>
                        <w14:solidFill>
                          <w14:schemeClr w14:val="tx1"/>
                        </w14:solidFill>
                      </w14:textFill>
                    </w:rPr>
                    <w:t>3</w:t>
                  </w: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/h）</w:t>
                  </w:r>
                </w:p>
              </w:tc>
              <w:tc>
                <w:tcPr>
                  <w:tcW w:w="970" w:type="pct"/>
                  <w:gridSpan w:val="2"/>
                  <w:tcBorders>
                    <w:tl2br w:val="nil"/>
                    <w:tr2bl w:val="nil"/>
                  </w:tcBorders>
                  <w:noWrap w:val="0"/>
                  <w:vAlign w:val="center"/>
                </w:tcPr>
                <w:p w14:paraId="513BD67A">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污染物产生</w:t>
                  </w:r>
                </w:p>
              </w:tc>
              <w:tc>
                <w:tcPr>
                  <w:tcW w:w="729" w:type="pct"/>
                  <w:gridSpan w:val="2"/>
                  <w:tcBorders>
                    <w:tl2br w:val="nil"/>
                    <w:tr2bl w:val="nil"/>
                  </w:tcBorders>
                  <w:noWrap w:val="0"/>
                  <w:vAlign w:val="center"/>
                </w:tcPr>
                <w:p w14:paraId="3AEB8F85">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治理措施</w:t>
                  </w:r>
                </w:p>
              </w:tc>
              <w:tc>
                <w:tcPr>
                  <w:tcW w:w="958" w:type="pct"/>
                  <w:gridSpan w:val="2"/>
                  <w:tcBorders>
                    <w:tl2br w:val="nil"/>
                    <w:tr2bl w:val="nil"/>
                  </w:tcBorders>
                  <w:noWrap w:val="0"/>
                  <w:vAlign w:val="center"/>
                </w:tcPr>
                <w:p w14:paraId="603A69F3">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污染物排放</w:t>
                  </w:r>
                </w:p>
              </w:tc>
              <w:tc>
                <w:tcPr>
                  <w:tcW w:w="303" w:type="pct"/>
                  <w:vMerge w:val="restart"/>
                  <w:tcBorders>
                    <w:tl2br w:val="nil"/>
                    <w:tr2bl w:val="nil"/>
                  </w:tcBorders>
                  <w:noWrap w:val="0"/>
                  <w:vAlign w:val="center"/>
                </w:tcPr>
                <w:p w14:paraId="78491477">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年</w:t>
                  </w: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排放时间/h</w:t>
                  </w:r>
                </w:p>
              </w:tc>
            </w:tr>
            <w:tr w14:paraId="1BFF67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62" w:type="pct"/>
                  <w:gridSpan w:val="2"/>
                  <w:vMerge w:val="continue"/>
                  <w:tcBorders>
                    <w:tl2br w:val="nil"/>
                    <w:tr2bl w:val="nil"/>
                  </w:tcBorders>
                  <w:noWrap w:val="0"/>
                  <w:vAlign w:val="center"/>
                </w:tcPr>
                <w:p w14:paraId="63778533">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p>
              </w:tc>
              <w:tc>
                <w:tcPr>
                  <w:tcW w:w="371" w:type="pct"/>
                  <w:vMerge w:val="continue"/>
                  <w:tcBorders>
                    <w:tl2br w:val="nil"/>
                    <w:tr2bl w:val="nil"/>
                  </w:tcBorders>
                  <w:noWrap w:val="0"/>
                  <w:vAlign w:val="center"/>
                </w:tcPr>
                <w:p w14:paraId="74A1F3C2">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p>
              </w:tc>
              <w:tc>
                <w:tcPr>
                  <w:tcW w:w="519" w:type="pct"/>
                  <w:vMerge w:val="continue"/>
                  <w:tcBorders>
                    <w:tl2br w:val="nil"/>
                    <w:tr2bl w:val="nil"/>
                  </w:tcBorders>
                  <w:noWrap w:val="0"/>
                  <w:vAlign w:val="center"/>
                </w:tcPr>
                <w:p w14:paraId="10B1E356">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p>
              </w:tc>
              <w:tc>
                <w:tcPr>
                  <w:tcW w:w="383" w:type="pct"/>
                  <w:vMerge w:val="continue"/>
                  <w:tcBorders>
                    <w:tl2br w:val="nil"/>
                    <w:tr2bl w:val="nil"/>
                  </w:tcBorders>
                  <w:noWrap w:val="0"/>
                  <w:vAlign w:val="center"/>
                </w:tcPr>
                <w:p w14:paraId="563D140B">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p>
              </w:tc>
              <w:tc>
                <w:tcPr>
                  <w:tcW w:w="487" w:type="pct"/>
                  <w:tcBorders>
                    <w:tl2br w:val="nil"/>
                    <w:tr2bl w:val="nil"/>
                  </w:tcBorders>
                  <w:noWrap w:val="0"/>
                  <w:vAlign w:val="center"/>
                </w:tcPr>
                <w:p w14:paraId="15FA8CCD">
                  <w:pPr>
                    <w:pStyle w:val="26"/>
                    <w:keepNext w:val="0"/>
                    <w:keepLines w:val="0"/>
                    <w:widowControl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产生浓度/（mg/m</w:t>
                  </w:r>
                  <w:r>
                    <w:rPr>
                      <w:rFonts w:hint="default" w:ascii="Times New Roman" w:hAnsi="Times New Roman" w:cs="Times New Roman"/>
                      <w:color w:val="000000" w:themeColor="text1"/>
                      <w:szCs w:val="20"/>
                      <w:highlight w:val="none"/>
                      <w:vertAlign w:val="superscript"/>
                      <w:lang w:val="en-US" w:eastAsia="zh-CN" w:bidi="ar-SA"/>
                      <w14:textFill>
                        <w14:solidFill>
                          <w14:schemeClr w14:val="tx1"/>
                        </w14:solidFill>
                      </w14:textFill>
                    </w:rPr>
                    <w:t>3</w:t>
                  </w: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w:t>
                  </w:r>
                </w:p>
              </w:tc>
              <w:tc>
                <w:tcPr>
                  <w:tcW w:w="482" w:type="pct"/>
                  <w:tcBorders>
                    <w:tl2br w:val="nil"/>
                    <w:tr2bl w:val="nil"/>
                  </w:tcBorders>
                  <w:noWrap w:val="0"/>
                  <w:vAlign w:val="center"/>
                </w:tcPr>
                <w:p w14:paraId="1033BA29">
                  <w:pPr>
                    <w:pStyle w:val="26"/>
                    <w:keepNext w:val="0"/>
                    <w:keepLines w:val="0"/>
                    <w:widowControl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产生</w:t>
                  </w:r>
                  <w:r>
                    <w:rPr>
                      <w:rFonts w:hint="eastAsia" w:cs="Times New Roman"/>
                      <w:color w:val="000000" w:themeColor="text1"/>
                      <w:szCs w:val="20"/>
                      <w:highlight w:val="none"/>
                      <w:lang w:val="en-US" w:eastAsia="zh-CN" w:bidi="ar-SA"/>
                      <w14:textFill>
                        <w14:solidFill>
                          <w14:schemeClr w14:val="tx1"/>
                        </w14:solidFill>
                      </w14:textFill>
                    </w:rPr>
                    <w:t>速率</w:t>
                  </w: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/（kg/h）</w:t>
                  </w:r>
                </w:p>
              </w:tc>
              <w:tc>
                <w:tcPr>
                  <w:tcW w:w="420" w:type="pct"/>
                  <w:tcBorders>
                    <w:tl2br w:val="nil"/>
                    <w:tr2bl w:val="nil"/>
                  </w:tcBorders>
                  <w:noWrap w:val="0"/>
                  <w:vAlign w:val="center"/>
                </w:tcPr>
                <w:p w14:paraId="5A956384">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工艺</w:t>
                  </w:r>
                </w:p>
              </w:tc>
              <w:tc>
                <w:tcPr>
                  <w:tcW w:w="308" w:type="pct"/>
                  <w:tcBorders>
                    <w:tl2br w:val="nil"/>
                    <w:tr2bl w:val="nil"/>
                  </w:tcBorders>
                  <w:noWrap w:val="0"/>
                  <w:vAlign w:val="center"/>
                </w:tcPr>
                <w:p w14:paraId="5D81CCDD">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效率/%</w:t>
                  </w:r>
                </w:p>
              </w:tc>
              <w:tc>
                <w:tcPr>
                  <w:tcW w:w="485" w:type="pct"/>
                  <w:tcBorders>
                    <w:tl2br w:val="nil"/>
                    <w:tr2bl w:val="nil"/>
                  </w:tcBorders>
                  <w:noWrap w:val="0"/>
                  <w:vAlign w:val="center"/>
                </w:tcPr>
                <w:p w14:paraId="52E8B285">
                  <w:pPr>
                    <w:pStyle w:val="26"/>
                    <w:keepNext w:val="0"/>
                    <w:keepLines w:val="0"/>
                    <w:widowControl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排放浓度/（mg/m</w:t>
                  </w:r>
                  <w:r>
                    <w:rPr>
                      <w:rFonts w:hint="default" w:ascii="Times New Roman" w:hAnsi="Times New Roman" w:cs="Times New Roman"/>
                      <w:color w:val="000000" w:themeColor="text1"/>
                      <w:szCs w:val="20"/>
                      <w:highlight w:val="none"/>
                      <w:vertAlign w:val="superscript"/>
                      <w:lang w:val="en-US" w:eastAsia="zh-CN" w:bidi="ar-SA"/>
                      <w14:textFill>
                        <w14:solidFill>
                          <w14:schemeClr w14:val="tx1"/>
                        </w14:solidFill>
                      </w14:textFill>
                    </w:rPr>
                    <w:t>3</w:t>
                  </w: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w:t>
                  </w:r>
                </w:p>
              </w:tc>
              <w:tc>
                <w:tcPr>
                  <w:tcW w:w="472" w:type="pct"/>
                  <w:tcBorders>
                    <w:tl2br w:val="nil"/>
                    <w:tr2bl w:val="nil"/>
                  </w:tcBorders>
                  <w:noWrap w:val="0"/>
                  <w:vAlign w:val="center"/>
                </w:tcPr>
                <w:p w14:paraId="09A3F5AA">
                  <w:pPr>
                    <w:pStyle w:val="26"/>
                    <w:keepNext w:val="0"/>
                    <w:keepLines w:val="0"/>
                    <w:widowControl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排放</w:t>
                  </w:r>
                  <w:r>
                    <w:rPr>
                      <w:rFonts w:hint="eastAsia" w:cs="Times New Roman"/>
                      <w:color w:val="000000" w:themeColor="text1"/>
                      <w:szCs w:val="20"/>
                      <w:highlight w:val="none"/>
                      <w:lang w:val="en-US" w:eastAsia="zh-CN" w:bidi="ar-SA"/>
                      <w14:textFill>
                        <w14:solidFill>
                          <w14:schemeClr w14:val="tx1"/>
                        </w14:solidFill>
                      </w14:textFill>
                    </w:rPr>
                    <w:t>速率</w:t>
                  </w: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/（kg/h）</w:t>
                  </w:r>
                </w:p>
              </w:tc>
              <w:tc>
                <w:tcPr>
                  <w:tcW w:w="303" w:type="pct"/>
                  <w:vMerge w:val="continue"/>
                  <w:tcBorders>
                    <w:tl2br w:val="nil"/>
                    <w:tr2bl w:val="nil"/>
                  </w:tcBorders>
                  <w:noWrap w:val="0"/>
                  <w:vAlign w:val="center"/>
                </w:tcPr>
                <w:p w14:paraId="67CE74FF">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p>
              </w:tc>
            </w:tr>
            <w:tr w14:paraId="35FA23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4" w:type="pct"/>
                  <w:vMerge w:val="restart"/>
                  <w:tcBorders>
                    <w:tl2br w:val="nil"/>
                    <w:tr2bl w:val="nil"/>
                  </w:tcBorders>
                  <w:noWrap w:val="0"/>
                  <w:vAlign w:val="center"/>
                </w:tcPr>
                <w:p w14:paraId="3E692BF4">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二期单壁碳纳米管</w:t>
                  </w:r>
                </w:p>
              </w:tc>
              <w:tc>
                <w:tcPr>
                  <w:tcW w:w="398" w:type="pct"/>
                  <w:tcBorders>
                    <w:tl2br w:val="nil"/>
                    <w:tr2bl w:val="nil"/>
                  </w:tcBorders>
                  <w:noWrap w:val="0"/>
                  <w:vAlign w:val="center"/>
                </w:tcPr>
                <w:p w14:paraId="68775151">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烘干</w:t>
                  </w:r>
                </w:p>
              </w:tc>
              <w:tc>
                <w:tcPr>
                  <w:tcW w:w="371" w:type="pct"/>
                  <w:vMerge w:val="restart"/>
                  <w:tcBorders>
                    <w:tl2br w:val="nil"/>
                    <w:tr2bl w:val="nil"/>
                  </w:tcBorders>
                  <w:noWrap w:val="0"/>
                  <w:vAlign w:val="center"/>
                </w:tcPr>
                <w:p w14:paraId="29C23D90">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排气筒</w:t>
                  </w:r>
                  <w:r>
                    <w:rPr>
                      <w:rFonts w:hint="eastAsia" w:ascii="Times New Roman" w:hAnsi="Times New Roman" w:cs="Times New Roman"/>
                      <w:color w:val="000000" w:themeColor="text1"/>
                      <w:highlight w:val="none"/>
                      <w:lang w:val="en-US" w:eastAsia="zh-CN" w:bidi="ar-SA"/>
                      <w14:textFill>
                        <w14:solidFill>
                          <w14:schemeClr w14:val="tx1"/>
                        </w14:solidFill>
                      </w14:textFill>
                    </w:rPr>
                    <w:t>*</w:t>
                  </w:r>
                  <w:r>
                    <w:rPr>
                      <w:rFonts w:hint="default" w:ascii="Times New Roman" w:hAnsi="Times New Roman" w:cs="Times New Roman"/>
                      <w:color w:val="000000" w:themeColor="text1"/>
                      <w:highlight w:val="none"/>
                      <w:lang w:val="en-US" w:eastAsia="zh-CN" w:bidi="ar-SA"/>
                      <w14:textFill>
                        <w14:solidFill>
                          <w14:schemeClr w14:val="tx1"/>
                        </w14:solidFill>
                      </w14:textFill>
                    </w:rPr>
                    <w:t>DA001</w:t>
                  </w:r>
                </w:p>
              </w:tc>
              <w:tc>
                <w:tcPr>
                  <w:tcW w:w="519" w:type="pct"/>
                  <w:tcBorders>
                    <w:tl2br w:val="nil"/>
                    <w:tr2bl w:val="nil"/>
                  </w:tcBorders>
                  <w:noWrap w:val="0"/>
                  <w:vAlign w:val="center"/>
                </w:tcPr>
                <w:p w14:paraId="07E9956E">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非甲烷总烃</w:t>
                  </w:r>
                </w:p>
              </w:tc>
              <w:tc>
                <w:tcPr>
                  <w:tcW w:w="383" w:type="pct"/>
                  <w:vMerge w:val="restart"/>
                  <w:tcBorders>
                    <w:tl2br w:val="nil"/>
                    <w:tr2bl w:val="nil"/>
                  </w:tcBorders>
                  <w:noWrap w:val="0"/>
                  <w:vAlign w:val="center"/>
                </w:tcPr>
                <w:p w14:paraId="4CEFC4C4">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18</w:t>
                  </w:r>
                  <w:r>
                    <w:rPr>
                      <w:rFonts w:hint="default"/>
                      <w:color w:val="000000" w:themeColor="text1"/>
                      <w:highlight w:val="none"/>
                      <w:lang w:val="en-US" w:eastAsia="zh-CN" w:bidi="ar-SA"/>
                      <w14:textFill>
                        <w14:solidFill>
                          <w14:schemeClr w14:val="tx1"/>
                        </w14:solidFill>
                      </w14:textFill>
                    </w:rPr>
                    <w:t>000</w:t>
                  </w:r>
                </w:p>
              </w:tc>
              <w:tc>
                <w:tcPr>
                  <w:tcW w:w="1306" w:type="dxa"/>
                  <w:tcBorders>
                    <w:tl2br w:val="nil"/>
                    <w:tr2bl w:val="nil"/>
                  </w:tcBorders>
                  <w:noWrap w:val="0"/>
                  <w:vAlign w:val="center"/>
                </w:tcPr>
                <w:p w14:paraId="03733081">
                  <w:pPr>
                    <w:pStyle w:val="26"/>
                    <w:bidi w:val="0"/>
                    <w:jc w:val="center"/>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12.70</w:t>
                  </w:r>
                </w:p>
              </w:tc>
              <w:tc>
                <w:tcPr>
                  <w:tcW w:w="482" w:type="pct"/>
                  <w:tcBorders>
                    <w:tl2br w:val="nil"/>
                    <w:tr2bl w:val="nil"/>
                  </w:tcBorders>
                  <w:noWrap w:val="0"/>
                  <w:vAlign w:val="center"/>
                </w:tcPr>
                <w:p w14:paraId="74AAA4B1">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0.2287</w:t>
                  </w:r>
                </w:p>
              </w:tc>
              <w:tc>
                <w:tcPr>
                  <w:tcW w:w="420" w:type="pct"/>
                  <w:vMerge w:val="restart"/>
                  <w:tcBorders>
                    <w:tl2br w:val="nil"/>
                    <w:tr2bl w:val="nil"/>
                  </w:tcBorders>
                  <w:noWrap w:val="0"/>
                  <w:vAlign w:val="center"/>
                </w:tcPr>
                <w:p w14:paraId="44B4CB45">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布袋除尘+RCO</w:t>
                  </w:r>
                </w:p>
              </w:tc>
              <w:tc>
                <w:tcPr>
                  <w:tcW w:w="308" w:type="pct"/>
                  <w:tcBorders>
                    <w:tl2br w:val="nil"/>
                    <w:tr2bl w:val="nil"/>
                  </w:tcBorders>
                  <w:noWrap w:val="0"/>
                  <w:vAlign w:val="center"/>
                </w:tcPr>
                <w:p w14:paraId="577F6AF2">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95</w:t>
                  </w:r>
                </w:p>
              </w:tc>
              <w:tc>
                <w:tcPr>
                  <w:tcW w:w="1301" w:type="dxa"/>
                  <w:tcBorders>
                    <w:tl2br w:val="nil"/>
                    <w:tr2bl w:val="nil"/>
                  </w:tcBorders>
                  <w:noWrap w:val="0"/>
                  <w:vAlign w:val="center"/>
                </w:tcPr>
                <w:p w14:paraId="239F2146">
                  <w:pPr>
                    <w:pStyle w:val="26"/>
                    <w:bidi w:val="0"/>
                    <w:jc w:val="center"/>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0.64</w:t>
                  </w:r>
                </w:p>
              </w:tc>
              <w:tc>
                <w:tcPr>
                  <w:tcW w:w="472" w:type="pct"/>
                  <w:tcBorders>
                    <w:tl2br w:val="nil"/>
                    <w:tr2bl w:val="nil"/>
                  </w:tcBorders>
                  <w:noWrap w:val="0"/>
                  <w:vAlign w:val="center"/>
                </w:tcPr>
                <w:p w14:paraId="4BC1E676">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0.0114</w:t>
                  </w:r>
                </w:p>
              </w:tc>
              <w:tc>
                <w:tcPr>
                  <w:tcW w:w="303" w:type="pct"/>
                  <w:tcBorders>
                    <w:tl2br w:val="nil"/>
                    <w:tr2bl w:val="nil"/>
                  </w:tcBorders>
                  <w:noWrap w:val="0"/>
                  <w:vAlign w:val="center"/>
                </w:tcPr>
                <w:p w14:paraId="7149C5DB">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1200</w:t>
                  </w:r>
                </w:p>
              </w:tc>
            </w:tr>
            <w:tr w14:paraId="15FBDA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4" w:type="pct"/>
                  <w:vMerge w:val="continue"/>
                  <w:tcBorders>
                    <w:tl2br w:val="nil"/>
                    <w:tr2bl w:val="nil"/>
                  </w:tcBorders>
                  <w:noWrap w:val="0"/>
                  <w:vAlign w:val="center"/>
                </w:tcPr>
                <w:p w14:paraId="737110C9">
                  <w:pPr>
                    <w:pStyle w:val="26"/>
                    <w:bidi w:val="0"/>
                    <w:jc w:val="center"/>
                    <w:rPr>
                      <w:rFonts w:hint="eastAsia" w:ascii="Times New Roman" w:hAnsi="Times New Roman" w:cs="Times New Roman"/>
                      <w:color w:val="000000" w:themeColor="text1"/>
                      <w:highlight w:val="none"/>
                      <w:lang w:val="en-US" w:eastAsia="zh-CN" w:bidi="ar-SA"/>
                      <w14:textFill>
                        <w14:solidFill>
                          <w14:schemeClr w14:val="tx1"/>
                        </w14:solidFill>
                      </w14:textFill>
                    </w:rPr>
                  </w:pPr>
                </w:p>
              </w:tc>
              <w:tc>
                <w:tcPr>
                  <w:tcW w:w="398" w:type="pct"/>
                  <w:tcBorders>
                    <w:tl2br w:val="nil"/>
                    <w:tr2bl w:val="nil"/>
                  </w:tcBorders>
                  <w:noWrap w:val="0"/>
                  <w:vAlign w:val="center"/>
                </w:tcPr>
                <w:p w14:paraId="26455F62">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引弧放电</w:t>
                  </w:r>
                </w:p>
              </w:tc>
              <w:tc>
                <w:tcPr>
                  <w:tcW w:w="371" w:type="pct"/>
                  <w:vMerge w:val="continue"/>
                  <w:tcBorders>
                    <w:tl2br w:val="nil"/>
                    <w:tr2bl w:val="nil"/>
                  </w:tcBorders>
                  <w:noWrap w:val="0"/>
                  <w:vAlign w:val="center"/>
                </w:tcPr>
                <w:p w14:paraId="3E4F8C79">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519" w:type="pct"/>
                  <w:tcBorders>
                    <w:tl2br w:val="nil"/>
                    <w:tr2bl w:val="nil"/>
                  </w:tcBorders>
                  <w:noWrap w:val="0"/>
                  <w:vAlign w:val="center"/>
                </w:tcPr>
                <w:p w14:paraId="4AFCCBF3">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非甲烷总烃</w:t>
                  </w:r>
                </w:p>
              </w:tc>
              <w:tc>
                <w:tcPr>
                  <w:tcW w:w="383" w:type="pct"/>
                  <w:vMerge w:val="continue"/>
                  <w:tcBorders>
                    <w:tl2br w:val="nil"/>
                    <w:tr2bl w:val="nil"/>
                  </w:tcBorders>
                  <w:noWrap w:val="0"/>
                  <w:vAlign w:val="center"/>
                </w:tcPr>
                <w:p w14:paraId="0CD91281">
                  <w:pPr>
                    <w:pStyle w:val="26"/>
                    <w:bidi w:val="0"/>
                    <w:jc w:val="center"/>
                    <w:rPr>
                      <w:rFonts w:hint="default"/>
                      <w:color w:val="000000" w:themeColor="text1"/>
                      <w:highlight w:val="none"/>
                      <w:lang w:val="en-US" w:eastAsia="zh-CN" w:bidi="ar-SA"/>
                      <w14:textFill>
                        <w14:solidFill>
                          <w14:schemeClr w14:val="tx1"/>
                        </w14:solidFill>
                      </w14:textFill>
                    </w:rPr>
                  </w:pPr>
                </w:p>
              </w:tc>
              <w:tc>
                <w:tcPr>
                  <w:tcW w:w="1306" w:type="dxa"/>
                  <w:tcBorders>
                    <w:tl2br w:val="nil"/>
                    <w:tr2bl w:val="nil"/>
                  </w:tcBorders>
                  <w:noWrap w:val="0"/>
                  <w:vAlign w:val="center"/>
                </w:tcPr>
                <w:p w14:paraId="5B5E72E8">
                  <w:pPr>
                    <w:pStyle w:val="26"/>
                    <w:bidi w:val="0"/>
                    <w:jc w:val="center"/>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10.59</w:t>
                  </w:r>
                </w:p>
              </w:tc>
              <w:tc>
                <w:tcPr>
                  <w:tcW w:w="482" w:type="pct"/>
                  <w:tcBorders>
                    <w:tl2br w:val="nil"/>
                    <w:tr2bl w:val="nil"/>
                  </w:tcBorders>
                  <w:noWrap w:val="0"/>
                  <w:vAlign w:val="center"/>
                </w:tcPr>
                <w:p w14:paraId="5F40DB08">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0.1906</w:t>
                  </w:r>
                </w:p>
              </w:tc>
              <w:tc>
                <w:tcPr>
                  <w:tcW w:w="420" w:type="pct"/>
                  <w:vMerge w:val="continue"/>
                  <w:tcBorders>
                    <w:tl2br w:val="nil"/>
                    <w:tr2bl w:val="nil"/>
                  </w:tcBorders>
                  <w:noWrap w:val="0"/>
                  <w:vAlign w:val="center"/>
                </w:tcPr>
                <w:p w14:paraId="57DCE729">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308" w:type="pct"/>
                  <w:tcBorders>
                    <w:tl2br w:val="nil"/>
                    <w:tr2bl w:val="nil"/>
                  </w:tcBorders>
                  <w:noWrap w:val="0"/>
                  <w:vAlign w:val="center"/>
                </w:tcPr>
                <w:p w14:paraId="2E178E5A">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95</w:t>
                  </w:r>
                </w:p>
              </w:tc>
              <w:tc>
                <w:tcPr>
                  <w:tcW w:w="1301" w:type="dxa"/>
                  <w:tcBorders>
                    <w:tl2br w:val="nil"/>
                    <w:tr2bl w:val="nil"/>
                  </w:tcBorders>
                  <w:noWrap w:val="0"/>
                  <w:vAlign w:val="center"/>
                </w:tcPr>
                <w:p w14:paraId="51C53F72">
                  <w:pPr>
                    <w:pStyle w:val="26"/>
                    <w:bidi w:val="0"/>
                    <w:jc w:val="center"/>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0.53</w:t>
                  </w:r>
                </w:p>
              </w:tc>
              <w:tc>
                <w:tcPr>
                  <w:tcW w:w="472" w:type="pct"/>
                  <w:tcBorders>
                    <w:tl2br w:val="nil"/>
                    <w:tr2bl w:val="nil"/>
                  </w:tcBorders>
                  <w:noWrap w:val="0"/>
                  <w:vAlign w:val="center"/>
                </w:tcPr>
                <w:p w14:paraId="407C19B2">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0.0095</w:t>
                  </w:r>
                </w:p>
              </w:tc>
              <w:tc>
                <w:tcPr>
                  <w:tcW w:w="303" w:type="pct"/>
                  <w:tcBorders>
                    <w:tl2br w:val="nil"/>
                    <w:tr2bl w:val="nil"/>
                  </w:tcBorders>
                  <w:noWrap w:val="0"/>
                  <w:vAlign w:val="center"/>
                </w:tcPr>
                <w:p w14:paraId="7484C749">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3600</w:t>
                  </w:r>
                </w:p>
              </w:tc>
            </w:tr>
            <w:tr w14:paraId="200B2D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4" w:type="pct"/>
                  <w:vMerge w:val="restart"/>
                  <w:tcBorders>
                    <w:tl2br w:val="nil"/>
                    <w:tr2bl w:val="nil"/>
                  </w:tcBorders>
                  <w:noWrap w:val="0"/>
                  <w:vAlign w:val="center"/>
                </w:tcPr>
                <w:p w14:paraId="02C21F7A">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二期硅碳负极材料</w:t>
                  </w:r>
                </w:p>
              </w:tc>
              <w:tc>
                <w:tcPr>
                  <w:tcW w:w="398" w:type="pct"/>
                  <w:tcBorders>
                    <w:tl2br w:val="nil"/>
                    <w:tr2bl w:val="nil"/>
                  </w:tcBorders>
                  <w:shd w:val="clear" w:color="auto" w:fill="auto"/>
                  <w:noWrap w:val="0"/>
                  <w:vAlign w:val="center"/>
                </w:tcPr>
                <w:p w14:paraId="2606B5EB">
                  <w:pPr>
                    <w:pStyle w:val="26"/>
                    <w:bidi w:val="0"/>
                    <w:ind w:firstLine="0" w:firstLineChars="0"/>
                    <w:jc w:val="center"/>
                    <w:rPr>
                      <w:rFonts w:hint="eastAsia"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eastAsia" w:cs="Times New Roman"/>
                      <w:color w:val="000000" w:themeColor="text1"/>
                      <w:highlight w:val="none"/>
                      <w:lang w:val="en-US" w:eastAsia="zh-CN" w:bidi="ar-SA"/>
                      <w14:textFill>
                        <w14:solidFill>
                          <w14:schemeClr w14:val="tx1"/>
                        </w14:solidFill>
                      </w14:textFill>
                    </w:rPr>
                    <w:t>砂磨、干燥</w:t>
                  </w:r>
                </w:p>
              </w:tc>
              <w:tc>
                <w:tcPr>
                  <w:tcW w:w="371" w:type="pct"/>
                  <w:vMerge w:val="continue"/>
                  <w:tcBorders>
                    <w:tl2br w:val="nil"/>
                    <w:tr2bl w:val="nil"/>
                  </w:tcBorders>
                  <w:noWrap w:val="0"/>
                  <w:vAlign w:val="center"/>
                </w:tcPr>
                <w:p w14:paraId="598EE2BF">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519" w:type="pct"/>
                  <w:tcBorders>
                    <w:tl2br w:val="nil"/>
                    <w:tr2bl w:val="nil"/>
                  </w:tcBorders>
                  <w:noWrap w:val="0"/>
                  <w:vAlign w:val="center"/>
                </w:tcPr>
                <w:p w14:paraId="19ACB610">
                  <w:pPr>
                    <w:pStyle w:val="26"/>
                    <w:bidi w:val="0"/>
                    <w:jc w:val="center"/>
                    <w:rPr>
                      <w:rFonts w:hint="eastAsia"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非甲烷总烃</w:t>
                  </w:r>
                </w:p>
              </w:tc>
              <w:tc>
                <w:tcPr>
                  <w:tcW w:w="383" w:type="pct"/>
                  <w:vMerge w:val="continue"/>
                  <w:tcBorders>
                    <w:tl2br w:val="nil"/>
                    <w:tr2bl w:val="nil"/>
                  </w:tcBorders>
                  <w:noWrap w:val="0"/>
                  <w:vAlign w:val="center"/>
                </w:tcPr>
                <w:p w14:paraId="2DC4B70A">
                  <w:pPr>
                    <w:pStyle w:val="26"/>
                    <w:bidi w:val="0"/>
                    <w:jc w:val="center"/>
                    <w:rPr>
                      <w:rFonts w:hint="default"/>
                      <w:color w:val="000000" w:themeColor="text1"/>
                      <w:highlight w:val="none"/>
                      <w:lang w:val="en-US" w:eastAsia="zh-CN" w:bidi="ar-SA"/>
                      <w14:textFill>
                        <w14:solidFill>
                          <w14:schemeClr w14:val="tx1"/>
                        </w14:solidFill>
                      </w14:textFill>
                    </w:rPr>
                  </w:pPr>
                </w:p>
              </w:tc>
              <w:tc>
                <w:tcPr>
                  <w:tcW w:w="1306" w:type="dxa"/>
                  <w:tcBorders>
                    <w:tl2br w:val="nil"/>
                    <w:tr2bl w:val="nil"/>
                  </w:tcBorders>
                  <w:noWrap w:val="0"/>
                  <w:vAlign w:val="center"/>
                </w:tcPr>
                <w:p w14:paraId="35B3F1FF">
                  <w:pPr>
                    <w:pStyle w:val="26"/>
                    <w:bidi w:val="0"/>
                    <w:jc w:val="center"/>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153.92</w:t>
                  </w:r>
                </w:p>
              </w:tc>
              <w:tc>
                <w:tcPr>
                  <w:tcW w:w="1293" w:type="dxa"/>
                  <w:tcBorders>
                    <w:tl2br w:val="nil"/>
                    <w:tr2bl w:val="nil"/>
                  </w:tcBorders>
                  <w:noWrap w:val="0"/>
                  <w:vAlign w:val="center"/>
                </w:tcPr>
                <w:p w14:paraId="62E5F9BA">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2.7705</w:t>
                  </w:r>
                </w:p>
              </w:tc>
              <w:tc>
                <w:tcPr>
                  <w:tcW w:w="420" w:type="pct"/>
                  <w:vMerge w:val="continue"/>
                  <w:tcBorders>
                    <w:tl2br w:val="nil"/>
                    <w:tr2bl w:val="nil"/>
                  </w:tcBorders>
                  <w:noWrap w:val="0"/>
                  <w:vAlign w:val="center"/>
                </w:tcPr>
                <w:p w14:paraId="17064709">
                  <w:pPr>
                    <w:pStyle w:val="26"/>
                    <w:bidi w:val="0"/>
                    <w:jc w:val="center"/>
                    <w:rPr>
                      <w:rFonts w:hint="default"/>
                      <w:color w:val="000000" w:themeColor="text1"/>
                      <w:highlight w:val="none"/>
                      <w:lang w:val="en-US" w:eastAsia="zh-CN" w:bidi="ar-SA"/>
                      <w14:textFill>
                        <w14:solidFill>
                          <w14:schemeClr w14:val="tx1"/>
                        </w14:solidFill>
                      </w14:textFill>
                    </w:rPr>
                  </w:pPr>
                </w:p>
              </w:tc>
              <w:tc>
                <w:tcPr>
                  <w:tcW w:w="827" w:type="dxa"/>
                  <w:tcBorders>
                    <w:tl2br w:val="nil"/>
                    <w:tr2bl w:val="nil"/>
                  </w:tcBorders>
                  <w:noWrap w:val="0"/>
                  <w:vAlign w:val="center"/>
                </w:tcPr>
                <w:p w14:paraId="3231EFE4">
                  <w:pPr>
                    <w:pStyle w:val="26"/>
                    <w:bidi w:val="0"/>
                    <w:jc w:val="center"/>
                    <w:rPr>
                      <w:rFonts w:hint="eastAsia"/>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95</w:t>
                  </w:r>
                </w:p>
              </w:tc>
              <w:tc>
                <w:tcPr>
                  <w:tcW w:w="1301" w:type="dxa"/>
                  <w:tcBorders>
                    <w:tl2br w:val="nil"/>
                    <w:tr2bl w:val="nil"/>
                  </w:tcBorders>
                  <w:noWrap w:val="0"/>
                  <w:vAlign w:val="center"/>
                </w:tcPr>
                <w:p w14:paraId="5BAE6CE9">
                  <w:pPr>
                    <w:pStyle w:val="26"/>
                    <w:bidi w:val="0"/>
                    <w:jc w:val="center"/>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7.70</w:t>
                  </w:r>
                </w:p>
              </w:tc>
              <w:tc>
                <w:tcPr>
                  <w:tcW w:w="1266" w:type="dxa"/>
                  <w:tcBorders>
                    <w:tl2br w:val="nil"/>
                    <w:tr2bl w:val="nil"/>
                  </w:tcBorders>
                  <w:noWrap w:val="0"/>
                  <w:vAlign w:val="center"/>
                </w:tcPr>
                <w:p w14:paraId="6C6F3CFF">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0.1385</w:t>
                  </w:r>
                </w:p>
              </w:tc>
              <w:tc>
                <w:tcPr>
                  <w:tcW w:w="303" w:type="pct"/>
                  <w:tcBorders>
                    <w:tl2br w:val="nil"/>
                    <w:tr2bl w:val="nil"/>
                  </w:tcBorders>
                  <w:noWrap w:val="0"/>
                  <w:vAlign w:val="center"/>
                </w:tcPr>
                <w:p w14:paraId="7A1BC1EF">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3600</w:t>
                  </w:r>
                </w:p>
              </w:tc>
            </w:tr>
            <w:tr w14:paraId="31F229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4" w:type="pct"/>
                  <w:vMerge w:val="continue"/>
                  <w:tcBorders>
                    <w:tl2br w:val="nil"/>
                    <w:tr2bl w:val="nil"/>
                  </w:tcBorders>
                  <w:noWrap w:val="0"/>
                  <w:vAlign w:val="center"/>
                </w:tcPr>
                <w:p w14:paraId="355A5AB8">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398" w:type="pct"/>
                  <w:vMerge w:val="restart"/>
                  <w:tcBorders>
                    <w:tl2br w:val="nil"/>
                    <w:tr2bl w:val="nil"/>
                  </w:tcBorders>
                  <w:shd w:val="clear" w:color="auto" w:fill="auto"/>
                  <w:noWrap w:val="0"/>
                  <w:vAlign w:val="center"/>
                </w:tcPr>
                <w:p w14:paraId="1A647533">
                  <w:pPr>
                    <w:pStyle w:val="26"/>
                    <w:bidi w:val="0"/>
                    <w:ind w:firstLine="0" w:firstLineChars="0"/>
                    <w:jc w:val="center"/>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包覆、</w:t>
                  </w:r>
                  <w:r>
                    <w:rPr>
                      <w:rFonts w:hint="eastAsia" w:cs="Times New Roman"/>
                      <w:color w:val="000000" w:themeColor="text1"/>
                      <w:highlight w:val="none"/>
                      <w:lang w:val="en-US" w:eastAsia="zh-CN" w:bidi="ar-SA"/>
                      <w14:textFill>
                        <w14:solidFill>
                          <w14:schemeClr w14:val="tx1"/>
                        </w14:solidFill>
                      </w14:textFill>
                    </w:rPr>
                    <w:t>二次包覆、</w:t>
                  </w:r>
                  <w:r>
                    <w:rPr>
                      <w:rFonts w:hint="eastAsia" w:ascii="Times New Roman" w:hAnsi="Times New Roman" w:cs="Times New Roman"/>
                      <w:color w:val="000000" w:themeColor="text1"/>
                      <w:highlight w:val="none"/>
                      <w:lang w:val="en-US" w:eastAsia="zh-CN" w:bidi="ar-SA"/>
                      <w14:textFill>
                        <w14:solidFill>
                          <w14:schemeClr w14:val="tx1"/>
                        </w14:solidFill>
                      </w14:textFill>
                    </w:rPr>
                    <w:t>碳化</w:t>
                  </w:r>
                </w:p>
              </w:tc>
              <w:tc>
                <w:tcPr>
                  <w:tcW w:w="371" w:type="pct"/>
                  <w:vMerge w:val="continue"/>
                  <w:tcBorders>
                    <w:tl2br w:val="nil"/>
                    <w:tr2bl w:val="nil"/>
                  </w:tcBorders>
                  <w:noWrap w:val="0"/>
                  <w:vAlign w:val="center"/>
                </w:tcPr>
                <w:p w14:paraId="4DF6595B">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519" w:type="pct"/>
                  <w:tcBorders>
                    <w:tl2br w:val="nil"/>
                    <w:tr2bl w:val="nil"/>
                  </w:tcBorders>
                  <w:noWrap w:val="0"/>
                  <w:vAlign w:val="center"/>
                </w:tcPr>
                <w:p w14:paraId="4065166C">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沥青烟</w:t>
                  </w:r>
                </w:p>
              </w:tc>
              <w:tc>
                <w:tcPr>
                  <w:tcW w:w="383" w:type="pct"/>
                  <w:vMerge w:val="continue"/>
                  <w:tcBorders>
                    <w:tl2br w:val="nil"/>
                    <w:tr2bl w:val="nil"/>
                  </w:tcBorders>
                  <w:noWrap w:val="0"/>
                  <w:vAlign w:val="center"/>
                </w:tcPr>
                <w:p w14:paraId="7FE094D6">
                  <w:pPr>
                    <w:pStyle w:val="26"/>
                    <w:bidi w:val="0"/>
                    <w:jc w:val="center"/>
                    <w:rPr>
                      <w:rFonts w:hint="default"/>
                      <w:color w:val="000000" w:themeColor="text1"/>
                      <w:highlight w:val="none"/>
                      <w:lang w:val="en-US" w:eastAsia="zh-CN" w:bidi="ar-SA"/>
                      <w14:textFill>
                        <w14:solidFill>
                          <w14:schemeClr w14:val="tx1"/>
                        </w14:solidFill>
                      </w14:textFill>
                    </w:rPr>
                  </w:pPr>
                </w:p>
              </w:tc>
              <w:tc>
                <w:tcPr>
                  <w:tcW w:w="1306" w:type="dxa"/>
                  <w:tcBorders>
                    <w:tl2br w:val="nil"/>
                    <w:tr2bl w:val="nil"/>
                  </w:tcBorders>
                  <w:noWrap w:val="0"/>
                  <w:vAlign w:val="center"/>
                </w:tcPr>
                <w:p w14:paraId="75BFFBB5">
                  <w:pPr>
                    <w:pStyle w:val="26"/>
                    <w:bidi w:val="0"/>
                    <w:jc w:val="center"/>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5.36</w:t>
                  </w:r>
                </w:p>
              </w:tc>
              <w:tc>
                <w:tcPr>
                  <w:tcW w:w="482" w:type="pct"/>
                  <w:tcBorders>
                    <w:tl2br w:val="nil"/>
                    <w:tr2bl w:val="nil"/>
                  </w:tcBorders>
                  <w:noWrap w:val="0"/>
                  <w:vAlign w:val="center"/>
                </w:tcPr>
                <w:p w14:paraId="42ABF6D6">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0.0965</w:t>
                  </w:r>
                </w:p>
              </w:tc>
              <w:tc>
                <w:tcPr>
                  <w:tcW w:w="420" w:type="pct"/>
                  <w:vMerge w:val="continue"/>
                  <w:tcBorders>
                    <w:tl2br w:val="nil"/>
                    <w:tr2bl w:val="nil"/>
                  </w:tcBorders>
                  <w:noWrap w:val="0"/>
                  <w:vAlign w:val="center"/>
                </w:tcPr>
                <w:p w14:paraId="042C0F7A">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308" w:type="pct"/>
                  <w:tcBorders>
                    <w:tl2br w:val="nil"/>
                    <w:tr2bl w:val="nil"/>
                  </w:tcBorders>
                  <w:noWrap w:val="0"/>
                  <w:vAlign w:val="center"/>
                </w:tcPr>
                <w:p w14:paraId="74EED5C4">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95</w:t>
                  </w:r>
                </w:p>
              </w:tc>
              <w:tc>
                <w:tcPr>
                  <w:tcW w:w="1301" w:type="dxa"/>
                  <w:tcBorders>
                    <w:tl2br w:val="nil"/>
                    <w:tr2bl w:val="nil"/>
                  </w:tcBorders>
                  <w:noWrap w:val="0"/>
                  <w:vAlign w:val="center"/>
                </w:tcPr>
                <w:p w14:paraId="510224A4">
                  <w:pPr>
                    <w:pStyle w:val="26"/>
                    <w:bidi w:val="0"/>
                    <w:jc w:val="center"/>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0.27</w:t>
                  </w:r>
                </w:p>
              </w:tc>
              <w:tc>
                <w:tcPr>
                  <w:tcW w:w="472" w:type="pct"/>
                  <w:tcBorders>
                    <w:tl2br w:val="nil"/>
                    <w:tr2bl w:val="nil"/>
                  </w:tcBorders>
                  <w:noWrap w:val="0"/>
                  <w:vAlign w:val="center"/>
                </w:tcPr>
                <w:p w14:paraId="39ADFC84">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0.0048</w:t>
                  </w:r>
                </w:p>
              </w:tc>
              <w:tc>
                <w:tcPr>
                  <w:tcW w:w="303" w:type="pct"/>
                  <w:tcBorders>
                    <w:tl2br w:val="nil"/>
                    <w:tr2bl w:val="nil"/>
                  </w:tcBorders>
                  <w:noWrap w:val="0"/>
                  <w:vAlign w:val="center"/>
                </w:tcPr>
                <w:p w14:paraId="4F52F041">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3000</w:t>
                  </w:r>
                </w:p>
              </w:tc>
            </w:tr>
            <w:tr w14:paraId="201849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4" w:type="pct"/>
                  <w:vMerge w:val="continue"/>
                  <w:tcBorders>
                    <w:tl2br w:val="nil"/>
                    <w:tr2bl w:val="nil"/>
                  </w:tcBorders>
                  <w:noWrap w:val="0"/>
                  <w:vAlign w:val="center"/>
                </w:tcPr>
                <w:p w14:paraId="0F2ED240">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398" w:type="pct"/>
                  <w:vMerge w:val="continue"/>
                  <w:tcBorders>
                    <w:tl2br w:val="nil"/>
                    <w:tr2bl w:val="nil"/>
                  </w:tcBorders>
                  <w:noWrap w:val="0"/>
                  <w:vAlign w:val="center"/>
                </w:tcPr>
                <w:p w14:paraId="20AE150B">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371" w:type="pct"/>
                  <w:vMerge w:val="continue"/>
                  <w:tcBorders>
                    <w:tl2br w:val="nil"/>
                    <w:tr2bl w:val="nil"/>
                  </w:tcBorders>
                  <w:noWrap w:val="0"/>
                  <w:vAlign w:val="center"/>
                </w:tcPr>
                <w:p w14:paraId="63BD7695">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519" w:type="pct"/>
                  <w:tcBorders>
                    <w:tl2br w:val="nil"/>
                    <w:tr2bl w:val="nil"/>
                  </w:tcBorders>
                  <w:noWrap w:val="0"/>
                  <w:vAlign w:val="center"/>
                </w:tcPr>
                <w:p w14:paraId="0320597E">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苯并[a]芘</w:t>
                  </w:r>
                </w:p>
              </w:tc>
              <w:tc>
                <w:tcPr>
                  <w:tcW w:w="383" w:type="pct"/>
                  <w:vMerge w:val="continue"/>
                  <w:tcBorders>
                    <w:tl2br w:val="nil"/>
                    <w:tr2bl w:val="nil"/>
                  </w:tcBorders>
                  <w:noWrap w:val="0"/>
                  <w:vAlign w:val="center"/>
                </w:tcPr>
                <w:p w14:paraId="491F4BB0">
                  <w:pPr>
                    <w:pStyle w:val="26"/>
                    <w:bidi w:val="0"/>
                    <w:jc w:val="center"/>
                    <w:rPr>
                      <w:rFonts w:hint="default"/>
                      <w:color w:val="000000" w:themeColor="text1"/>
                      <w:highlight w:val="none"/>
                      <w:lang w:val="en-US" w:eastAsia="zh-CN" w:bidi="ar-SA"/>
                      <w14:textFill>
                        <w14:solidFill>
                          <w14:schemeClr w14:val="tx1"/>
                        </w14:solidFill>
                      </w14:textFill>
                    </w:rPr>
                  </w:pPr>
                </w:p>
              </w:tc>
              <w:tc>
                <w:tcPr>
                  <w:tcW w:w="1306" w:type="dxa"/>
                  <w:tcBorders>
                    <w:tl2br w:val="nil"/>
                    <w:tr2bl w:val="nil"/>
                  </w:tcBorders>
                  <w:noWrap w:val="0"/>
                  <w:vAlign w:val="center"/>
                </w:tcPr>
                <w:p w14:paraId="2A0A5417">
                  <w:pPr>
                    <w:pStyle w:val="26"/>
                    <w:bidi w:val="0"/>
                    <w:jc w:val="center"/>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1.43E-03</w:t>
                  </w:r>
                </w:p>
              </w:tc>
              <w:tc>
                <w:tcPr>
                  <w:tcW w:w="482" w:type="pct"/>
                  <w:tcBorders>
                    <w:tl2br w:val="nil"/>
                    <w:tr2bl w:val="nil"/>
                  </w:tcBorders>
                  <w:noWrap w:val="0"/>
                  <w:vAlign w:val="center"/>
                </w:tcPr>
                <w:p w14:paraId="0B295714">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2.57E-05</w:t>
                  </w:r>
                </w:p>
              </w:tc>
              <w:tc>
                <w:tcPr>
                  <w:tcW w:w="420" w:type="pct"/>
                  <w:vMerge w:val="continue"/>
                  <w:tcBorders>
                    <w:tl2br w:val="nil"/>
                    <w:tr2bl w:val="nil"/>
                  </w:tcBorders>
                  <w:noWrap w:val="0"/>
                  <w:vAlign w:val="center"/>
                </w:tcPr>
                <w:p w14:paraId="61AF3CB2">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308" w:type="pct"/>
                  <w:tcBorders>
                    <w:tl2br w:val="nil"/>
                    <w:tr2bl w:val="nil"/>
                  </w:tcBorders>
                  <w:noWrap w:val="0"/>
                  <w:vAlign w:val="center"/>
                </w:tcPr>
                <w:p w14:paraId="0E1BF73D">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95</w:t>
                  </w:r>
                </w:p>
              </w:tc>
              <w:tc>
                <w:tcPr>
                  <w:tcW w:w="1301" w:type="dxa"/>
                  <w:tcBorders>
                    <w:tl2br w:val="nil"/>
                    <w:tr2bl w:val="nil"/>
                  </w:tcBorders>
                  <w:noWrap w:val="0"/>
                  <w:vAlign w:val="center"/>
                </w:tcPr>
                <w:p w14:paraId="4896E533">
                  <w:pPr>
                    <w:pStyle w:val="26"/>
                    <w:bidi w:val="0"/>
                    <w:jc w:val="center"/>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7.15E-05</w:t>
                  </w:r>
                </w:p>
              </w:tc>
              <w:tc>
                <w:tcPr>
                  <w:tcW w:w="472" w:type="pct"/>
                  <w:tcBorders>
                    <w:tl2br w:val="nil"/>
                    <w:tr2bl w:val="nil"/>
                  </w:tcBorders>
                  <w:noWrap w:val="0"/>
                  <w:vAlign w:val="center"/>
                </w:tcPr>
                <w:p w14:paraId="50653992">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1.29E-06</w:t>
                  </w:r>
                </w:p>
              </w:tc>
              <w:tc>
                <w:tcPr>
                  <w:tcW w:w="303" w:type="pct"/>
                  <w:tcBorders>
                    <w:tl2br w:val="nil"/>
                    <w:tr2bl w:val="nil"/>
                  </w:tcBorders>
                  <w:noWrap w:val="0"/>
                  <w:vAlign w:val="center"/>
                </w:tcPr>
                <w:p w14:paraId="23307B46">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3000</w:t>
                  </w:r>
                </w:p>
              </w:tc>
            </w:tr>
            <w:tr w14:paraId="6BAEAE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4" w:type="pct"/>
                  <w:vMerge w:val="continue"/>
                  <w:tcBorders>
                    <w:tl2br w:val="nil"/>
                    <w:tr2bl w:val="nil"/>
                  </w:tcBorders>
                  <w:noWrap w:val="0"/>
                  <w:vAlign w:val="center"/>
                </w:tcPr>
                <w:p w14:paraId="6144B01C">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398" w:type="pct"/>
                  <w:vMerge w:val="continue"/>
                  <w:tcBorders>
                    <w:tl2br w:val="nil"/>
                    <w:tr2bl w:val="nil"/>
                  </w:tcBorders>
                  <w:noWrap w:val="0"/>
                  <w:vAlign w:val="center"/>
                </w:tcPr>
                <w:p w14:paraId="1569F44A">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371" w:type="pct"/>
                  <w:vMerge w:val="continue"/>
                  <w:tcBorders>
                    <w:tl2br w:val="nil"/>
                    <w:tr2bl w:val="nil"/>
                  </w:tcBorders>
                  <w:noWrap w:val="0"/>
                  <w:vAlign w:val="center"/>
                </w:tcPr>
                <w:p w14:paraId="4A193A82">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519" w:type="pct"/>
                  <w:tcBorders>
                    <w:tl2br w:val="nil"/>
                    <w:tr2bl w:val="nil"/>
                  </w:tcBorders>
                  <w:noWrap w:val="0"/>
                  <w:vAlign w:val="center"/>
                </w:tcPr>
                <w:p w14:paraId="74F566D4">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颗粒物</w:t>
                  </w:r>
                </w:p>
              </w:tc>
              <w:tc>
                <w:tcPr>
                  <w:tcW w:w="383" w:type="pct"/>
                  <w:vMerge w:val="continue"/>
                  <w:tcBorders>
                    <w:tl2br w:val="nil"/>
                    <w:tr2bl w:val="nil"/>
                  </w:tcBorders>
                  <w:noWrap w:val="0"/>
                  <w:vAlign w:val="center"/>
                </w:tcPr>
                <w:p w14:paraId="13F0DBF8">
                  <w:pPr>
                    <w:pStyle w:val="26"/>
                    <w:bidi w:val="0"/>
                    <w:jc w:val="center"/>
                    <w:rPr>
                      <w:rFonts w:hint="default"/>
                      <w:color w:val="000000" w:themeColor="text1"/>
                      <w:highlight w:val="none"/>
                      <w:lang w:val="en-US" w:eastAsia="zh-CN" w:bidi="ar-SA"/>
                      <w14:textFill>
                        <w14:solidFill>
                          <w14:schemeClr w14:val="tx1"/>
                        </w14:solidFill>
                      </w14:textFill>
                    </w:rPr>
                  </w:pPr>
                </w:p>
              </w:tc>
              <w:tc>
                <w:tcPr>
                  <w:tcW w:w="1306" w:type="dxa"/>
                  <w:tcBorders>
                    <w:tl2br w:val="nil"/>
                    <w:tr2bl w:val="nil"/>
                  </w:tcBorders>
                  <w:noWrap w:val="0"/>
                  <w:vAlign w:val="center"/>
                </w:tcPr>
                <w:p w14:paraId="6011F034">
                  <w:pPr>
                    <w:pStyle w:val="26"/>
                    <w:bidi w:val="0"/>
                    <w:jc w:val="center"/>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80.67</w:t>
                  </w:r>
                </w:p>
              </w:tc>
              <w:tc>
                <w:tcPr>
                  <w:tcW w:w="1293" w:type="dxa"/>
                  <w:tcBorders>
                    <w:tl2br w:val="nil"/>
                    <w:tr2bl w:val="nil"/>
                  </w:tcBorders>
                  <w:noWrap w:val="0"/>
                  <w:vAlign w:val="center"/>
                </w:tcPr>
                <w:p w14:paraId="1A32F18E">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1.4520</w:t>
                  </w:r>
                </w:p>
              </w:tc>
              <w:tc>
                <w:tcPr>
                  <w:tcW w:w="420" w:type="pct"/>
                  <w:vMerge w:val="continue"/>
                  <w:tcBorders>
                    <w:tl2br w:val="nil"/>
                    <w:tr2bl w:val="nil"/>
                  </w:tcBorders>
                  <w:noWrap w:val="0"/>
                  <w:vAlign w:val="center"/>
                </w:tcPr>
                <w:p w14:paraId="7825905B">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308" w:type="pct"/>
                  <w:tcBorders>
                    <w:tl2br w:val="nil"/>
                    <w:tr2bl w:val="nil"/>
                  </w:tcBorders>
                  <w:noWrap w:val="0"/>
                  <w:vAlign w:val="center"/>
                </w:tcPr>
                <w:p w14:paraId="3434535A">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99</w:t>
                  </w:r>
                </w:p>
              </w:tc>
              <w:tc>
                <w:tcPr>
                  <w:tcW w:w="1301" w:type="dxa"/>
                  <w:tcBorders>
                    <w:tl2br w:val="nil"/>
                    <w:tr2bl w:val="nil"/>
                  </w:tcBorders>
                  <w:noWrap w:val="0"/>
                  <w:vAlign w:val="center"/>
                </w:tcPr>
                <w:p w14:paraId="21E4870C">
                  <w:pPr>
                    <w:pStyle w:val="26"/>
                    <w:bidi w:val="0"/>
                    <w:jc w:val="center"/>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0.81</w:t>
                  </w:r>
                </w:p>
              </w:tc>
              <w:tc>
                <w:tcPr>
                  <w:tcW w:w="1266" w:type="dxa"/>
                  <w:tcBorders>
                    <w:tl2br w:val="nil"/>
                    <w:tr2bl w:val="nil"/>
                  </w:tcBorders>
                  <w:noWrap w:val="0"/>
                  <w:vAlign w:val="center"/>
                </w:tcPr>
                <w:p w14:paraId="4FEEEC2C">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0.0145</w:t>
                  </w:r>
                </w:p>
              </w:tc>
              <w:tc>
                <w:tcPr>
                  <w:tcW w:w="813" w:type="dxa"/>
                  <w:tcBorders>
                    <w:tl2br w:val="nil"/>
                    <w:tr2bl w:val="nil"/>
                  </w:tcBorders>
                  <w:noWrap w:val="0"/>
                  <w:vAlign w:val="center"/>
                </w:tcPr>
                <w:p w14:paraId="1A3BF673">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3000</w:t>
                  </w:r>
                </w:p>
              </w:tc>
            </w:tr>
            <w:tr w14:paraId="25DCB8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4" w:type="pct"/>
                  <w:vMerge w:val="continue"/>
                  <w:tcBorders>
                    <w:tl2br w:val="nil"/>
                    <w:tr2bl w:val="nil"/>
                  </w:tcBorders>
                  <w:noWrap w:val="0"/>
                  <w:vAlign w:val="center"/>
                </w:tcPr>
                <w:p w14:paraId="4429FFD7">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398" w:type="pct"/>
                  <w:vMerge w:val="continue"/>
                  <w:tcBorders>
                    <w:tl2br w:val="nil"/>
                    <w:tr2bl w:val="nil"/>
                  </w:tcBorders>
                  <w:noWrap w:val="0"/>
                  <w:vAlign w:val="center"/>
                </w:tcPr>
                <w:p w14:paraId="2B82C894">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371" w:type="pct"/>
                  <w:vMerge w:val="continue"/>
                  <w:tcBorders>
                    <w:tl2br w:val="nil"/>
                    <w:tr2bl w:val="nil"/>
                  </w:tcBorders>
                  <w:noWrap w:val="0"/>
                  <w:vAlign w:val="center"/>
                </w:tcPr>
                <w:p w14:paraId="1D536443">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519" w:type="pct"/>
                  <w:tcBorders>
                    <w:tl2br w:val="nil"/>
                    <w:tr2bl w:val="nil"/>
                  </w:tcBorders>
                  <w:noWrap w:val="0"/>
                  <w:vAlign w:val="center"/>
                </w:tcPr>
                <w:p w14:paraId="269AD431">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非甲烷总烃</w:t>
                  </w:r>
                </w:p>
              </w:tc>
              <w:tc>
                <w:tcPr>
                  <w:tcW w:w="383" w:type="pct"/>
                  <w:vMerge w:val="continue"/>
                  <w:tcBorders>
                    <w:tl2br w:val="nil"/>
                    <w:tr2bl w:val="nil"/>
                  </w:tcBorders>
                  <w:noWrap w:val="0"/>
                  <w:vAlign w:val="center"/>
                </w:tcPr>
                <w:p w14:paraId="3B1DCFA1">
                  <w:pPr>
                    <w:pStyle w:val="26"/>
                    <w:bidi w:val="0"/>
                    <w:jc w:val="center"/>
                    <w:rPr>
                      <w:rFonts w:hint="default"/>
                      <w:color w:val="000000" w:themeColor="text1"/>
                      <w:highlight w:val="none"/>
                      <w:lang w:val="en-US" w:eastAsia="zh-CN" w:bidi="ar-SA"/>
                      <w14:textFill>
                        <w14:solidFill>
                          <w14:schemeClr w14:val="tx1"/>
                        </w14:solidFill>
                      </w14:textFill>
                    </w:rPr>
                  </w:pPr>
                </w:p>
              </w:tc>
              <w:tc>
                <w:tcPr>
                  <w:tcW w:w="1306" w:type="dxa"/>
                  <w:tcBorders>
                    <w:tl2br w:val="nil"/>
                    <w:tr2bl w:val="nil"/>
                  </w:tcBorders>
                  <w:noWrap w:val="0"/>
                  <w:vAlign w:val="center"/>
                </w:tcPr>
                <w:p w14:paraId="6591B5D4">
                  <w:pPr>
                    <w:pStyle w:val="26"/>
                    <w:bidi w:val="0"/>
                    <w:jc w:val="center"/>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312.84</w:t>
                  </w:r>
                </w:p>
              </w:tc>
              <w:tc>
                <w:tcPr>
                  <w:tcW w:w="1293" w:type="dxa"/>
                  <w:tcBorders>
                    <w:tl2br w:val="nil"/>
                    <w:tr2bl w:val="nil"/>
                  </w:tcBorders>
                  <w:noWrap w:val="0"/>
                  <w:vAlign w:val="center"/>
                </w:tcPr>
                <w:p w14:paraId="5AB4F446">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5.6312</w:t>
                  </w:r>
                </w:p>
              </w:tc>
              <w:tc>
                <w:tcPr>
                  <w:tcW w:w="420" w:type="pct"/>
                  <w:vMerge w:val="continue"/>
                  <w:tcBorders>
                    <w:tl2br w:val="nil"/>
                    <w:tr2bl w:val="nil"/>
                  </w:tcBorders>
                  <w:noWrap w:val="0"/>
                  <w:vAlign w:val="center"/>
                </w:tcPr>
                <w:p w14:paraId="65686256">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308" w:type="pct"/>
                  <w:tcBorders>
                    <w:tl2br w:val="nil"/>
                    <w:tr2bl w:val="nil"/>
                  </w:tcBorders>
                  <w:noWrap w:val="0"/>
                  <w:vAlign w:val="center"/>
                </w:tcPr>
                <w:p w14:paraId="432FA37C">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95</w:t>
                  </w:r>
                </w:p>
              </w:tc>
              <w:tc>
                <w:tcPr>
                  <w:tcW w:w="1301" w:type="dxa"/>
                  <w:tcBorders>
                    <w:tl2br w:val="nil"/>
                    <w:tr2bl w:val="nil"/>
                  </w:tcBorders>
                  <w:noWrap w:val="0"/>
                  <w:vAlign w:val="center"/>
                </w:tcPr>
                <w:p w14:paraId="3BFEBF90">
                  <w:pPr>
                    <w:pStyle w:val="26"/>
                    <w:bidi w:val="0"/>
                    <w:jc w:val="center"/>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15.64</w:t>
                  </w:r>
                </w:p>
              </w:tc>
              <w:tc>
                <w:tcPr>
                  <w:tcW w:w="1266" w:type="dxa"/>
                  <w:tcBorders>
                    <w:tl2br w:val="nil"/>
                    <w:tr2bl w:val="nil"/>
                  </w:tcBorders>
                  <w:noWrap w:val="0"/>
                  <w:vAlign w:val="center"/>
                </w:tcPr>
                <w:p w14:paraId="7D988230">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0.2816</w:t>
                  </w:r>
                </w:p>
              </w:tc>
              <w:tc>
                <w:tcPr>
                  <w:tcW w:w="303" w:type="pct"/>
                  <w:tcBorders>
                    <w:tl2br w:val="nil"/>
                    <w:tr2bl w:val="nil"/>
                  </w:tcBorders>
                  <w:noWrap w:val="0"/>
                  <w:vAlign w:val="center"/>
                </w:tcPr>
                <w:p w14:paraId="5B7077C3">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3000</w:t>
                  </w:r>
                </w:p>
              </w:tc>
            </w:tr>
            <w:tr w14:paraId="66899F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4" w:type="pct"/>
                  <w:vMerge w:val="restart"/>
                  <w:tcBorders>
                    <w:tl2br w:val="nil"/>
                    <w:tr2bl w:val="nil"/>
                  </w:tcBorders>
                  <w:noWrap w:val="0"/>
                  <w:vAlign w:val="center"/>
                </w:tcPr>
                <w:p w14:paraId="476A2F08">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二期单壁碳纳米管</w:t>
                  </w:r>
                </w:p>
              </w:tc>
              <w:tc>
                <w:tcPr>
                  <w:tcW w:w="398" w:type="pct"/>
                  <w:tcBorders>
                    <w:tl2br w:val="nil"/>
                    <w:tr2bl w:val="nil"/>
                  </w:tcBorders>
                  <w:noWrap w:val="0"/>
                  <w:vAlign w:val="center"/>
                </w:tcPr>
                <w:p w14:paraId="29D68D37">
                  <w:pPr>
                    <w:pStyle w:val="26"/>
                    <w:bidi w:val="0"/>
                    <w:ind w:firstLine="0" w:firstLineChars="0"/>
                    <w:jc w:val="center"/>
                    <w:rPr>
                      <w:rFonts w:hint="eastAsia"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烘干</w:t>
                  </w:r>
                </w:p>
              </w:tc>
              <w:tc>
                <w:tcPr>
                  <w:tcW w:w="371" w:type="pct"/>
                  <w:vMerge w:val="restart"/>
                  <w:tcBorders>
                    <w:tl2br w:val="nil"/>
                    <w:tr2bl w:val="nil"/>
                  </w:tcBorders>
                  <w:noWrap w:val="0"/>
                  <w:vAlign w:val="center"/>
                </w:tcPr>
                <w:p w14:paraId="637A8FB1">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无组织排放</w:t>
                  </w:r>
                </w:p>
              </w:tc>
              <w:tc>
                <w:tcPr>
                  <w:tcW w:w="519" w:type="pct"/>
                  <w:tcBorders>
                    <w:tl2br w:val="nil"/>
                    <w:tr2bl w:val="nil"/>
                  </w:tcBorders>
                  <w:noWrap w:val="0"/>
                  <w:vAlign w:val="center"/>
                </w:tcPr>
                <w:p w14:paraId="6211D40C">
                  <w:pPr>
                    <w:pStyle w:val="26"/>
                    <w:bidi w:val="0"/>
                    <w:ind w:firstLine="0" w:firstLineChars="0"/>
                    <w:jc w:val="center"/>
                    <w:rPr>
                      <w:rFonts w:hint="default"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非甲烷总烃</w:t>
                  </w:r>
                </w:p>
              </w:tc>
              <w:tc>
                <w:tcPr>
                  <w:tcW w:w="383" w:type="pct"/>
                  <w:vMerge w:val="restart"/>
                  <w:tcBorders>
                    <w:tl2br w:val="nil"/>
                    <w:tr2bl w:val="nil"/>
                  </w:tcBorders>
                  <w:noWrap w:val="0"/>
                  <w:vAlign w:val="center"/>
                </w:tcPr>
                <w:p w14:paraId="14D2892C">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487" w:type="pct"/>
                  <w:tcBorders>
                    <w:tl2br w:val="nil"/>
                    <w:tr2bl w:val="nil"/>
                  </w:tcBorders>
                  <w:noWrap w:val="0"/>
                  <w:vAlign w:val="center"/>
                </w:tcPr>
                <w:p w14:paraId="291251CC">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482" w:type="pct"/>
                  <w:tcBorders>
                    <w:tl2br w:val="nil"/>
                    <w:tr2bl w:val="nil"/>
                  </w:tcBorders>
                  <w:noWrap w:val="0"/>
                  <w:vAlign w:val="center"/>
                </w:tcPr>
                <w:p w14:paraId="45C2933E">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0.0047</w:t>
                  </w:r>
                </w:p>
              </w:tc>
              <w:tc>
                <w:tcPr>
                  <w:tcW w:w="420" w:type="pct"/>
                  <w:tcBorders>
                    <w:tl2br w:val="nil"/>
                    <w:tr2bl w:val="nil"/>
                  </w:tcBorders>
                  <w:noWrap w:val="0"/>
                  <w:vAlign w:val="center"/>
                </w:tcPr>
                <w:p w14:paraId="10B71C3D">
                  <w:pPr>
                    <w:pStyle w:val="26"/>
                    <w:keepNext w:val="0"/>
                    <w:keepLines w:val="0"/>
                    <w:widowControl w:val="0"/>
                    <w:suppressLineNumbers w:val="0"/>
                    <w:bidi w:val="0"/>
                    <w:spacing w:before="0" w:beforeAutospacing="0" w:after="0" w:afterAutospacing="0"/>
                    <w:ind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设备排气管道收集</w:t>
                  </w:r>
                </w:p>
              </w:tc>
              <w:tc>
                <w:tcPr>
                  <w:tcW w:w="308" w:type="pct"/>
                  <w:tcBorders>
                    <w:tl2br w:val="nil"/>
                    <w:tr2bl w:val="nil"/>
                  </w:tcBorders>
                  <w:noWrap w:val="0"/>
                  <w:vAlign w:val="center"/>
                </w:tcPr>
                <w:p w14:paraId="412464A6">
                  <w:pPr>
                    <w:pStyle w:val="26"/>
                    <w:keepNext w:val="0"/>
                    <w:keepLines w:val="0"/>
                    <w:widowControl w:val="0"/>
                    <w:suppressLineNumbers w:val="0"/>
                    <w:bidi w:val="0"/>
                    <w:spacing w:before="0" w:beforeAutospacing="0" w:after="0" w:afterAutospacing="0"/>
                    <w:ind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98</w:t>
                  </w:r>
                </w:p>
              </w:tc>
              <w:tc>
                <w:tcPr>
                  <w:tcW w:w="485" w:type="pct"/>
                  <w:tcBorders>
                    <w:tl2br w:val="nil"/>
                    <w:tr2bl w:val="nil"/>
                  </w:tcBorders>
                  <w:noWrap w:val="0"/>
                  <w:vAlign w:val="center"/>
                </w:tcPr>
                <w:p w14:paraId="24769D61">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472" w:type="pct"/>
                  <w:tcBorders>
                    <w:tl2br w:val="nil"/>
                    <w:tr2bl w:val="nil"/>
                  </w:tcBorders>
                  <w:noWrap w:val="0"/>
                  <w:vAlign w:val="center"/>
                </w:tcPr>
                <w:p w14:paraId="7ACF00D5">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0.0047</w:t>
                  </w:r>
                </w:p>
              </w:tc>
              <w:tc>
                <w:tcPr>
                  <w:tcW w:w="303" w:type="pct"/>
                  <w:tcBorders>
                    <w:tl2br w:val="nil"/>
                    <w:tr2bl w:val="nil"/>
                  </w:tcBorders>
                  <w:noWrap w:val="0"/>
                  <w:vAlign w:val="center"/>
                </w:tcPr>
                <w:p w14:paraId="1140AE09">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1200</w:t>
                  </w:r>
                </w:p>
              </w:tc>
            </w:tr>
            <w:tr w14:paraId="47BEC0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4" w:type="pct"/>
                  <w:vMerge w:val="continue"/>
                  <w:tcBorders>
                    <w:tl2br w:val="nil"/>
                    <w:tr2bl w:val="nil"/>
                  </w:tcBorders>
                  <w:noWrap w:val="0"/>
                  <w:vAlign w:val="center"/>
                </w:tcPr>
                <w:p w14:paraId="17518138">
                  <w:pPr>
                    <w:pStyle w:val="26"/>
                    <w:bidi w:val="0"/>
                    <w:jc w:val="center"/>
                    <w:rPr>
                      <w:rFonts w:hint="default"/>
                      <w:color w:val="000000" w:themeColor="text1"/>
                      <w:highlight w:val="none"/>
                      <w:lang w:val="en-US" w:eastAsia="zh-CN" w:bidi="ar-SA"/>
                      <w14:textFill>
                        <w14:solidFill>
                          <w14:schemeClr w14:val="tx1"/>
                        </w14:solidFill>
                      </w14:textFill>
                    </w:rPr>
                  </w:pPr>
                </w:p>
              </w:tc>
              <w:tc>
                <w:tcPr>
                  <w:tcW w:w="398" w:type="pct"/>
                  <w:tcBorders>
                    <w:tl2br w:val="nil"/>
                    <w:tr2bl w:val="nil"/>
                  </w:tcBorders>
                  <w:noWrap w:val="0"/>
                  <w:vAlign w:val="center"/>
                </w:tcPr>
                <w:p w14:paraId="77F3FEF7">
                  <w:pPr>
                    <w:pStyle w:val="26"/>
                    <w:bidi w:val="0"/>
                    <w:ind w:firstLine="0" w:firstLineChars="0"/>
                    <w:jc w:val="center"/>
                    <w:rPr>
                      <w:rFonts w:hint="eastAsia"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引弧放电</w:t>
                  </w:r>
                </w:p>
              </w:tc>
              <w:tc>
                <w:tcPr>
                  <w:tcW w:w="371" w:type="pct"/>
                  <w:vMerge w:val="continue"/>
                  <w:tcBorders>
                    <w:tl2br w:val="nil"/>
                    <w:tr2bl w:val="nil"/>
                  </w:tcBorders>
                  <w:noWrap w:val="0"/>
                  <w:vAlign w:val="center"/>
                </w:tcPr>
                <w:p w14:paraId="1B1EEAD0">
                  <w:pPr>
                    <w:pStyle w:val="26"/>
                    <w:bidi w:val="0"/>
                    <w:jc w:val="center"/>
                    <w:rPr>
                      <w:rFonts w:hint="default"/>
                      <w:color w:val="000000" w:themeColor="text1"/>
                      <w:highlight w:val="none"/>
                      <w:lang w:val="en-US" w:eastAsia="zh-CN" w:bidi="ar-SA"/>
                      <w14:textFill>
                        <w14:solidFill>
                          <w14:schemeClr w14:val="tx1"/>
                        </w14:solidFill>
                      </w14:textFill>
                    </w:rPr>
                  </w:pPr>
                </w:p>
              </w:tc>
              <w:tc>
                <w:tcPr>
                  <w:tcW w:w="519" w:type="pct"/>
                  <w:tcBorders>
                    <w:tl2br w:val="nil"/>
                    <w:tr2bl w:val="nil"/>
                  </w:tcBorders>
                  <w:noWrap w:val="0"/>
                  <w:vAlign w:val="center"/>
                </w:tcPr>
                <w:p w14:paraId="10CE2966">
                  <w:pPr>
                    <w:pStyle w:val="26"/>
                    <w:bidi w:val="0"/>
                    <w:ind w:firstLine="0" w:firstLineChars="0"/>
                    <w:jc w:val="center"/>
                    <w:rPr>
                      <w:rFonts w:hint="default"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非甲烷总烃</w:t>
                  </w:r>
                </w:p>
              </w:tc>
              <w:tc>
                <w:tcPr>
                  <w:tcW w:w="383" w:type="pct"/>
                  <w:vMerge w:val="continue"/>
                  <w:tcBorders>
                    <w:tl2br w:val="nil"/>
                    <w:tr2bl w:val="nil"/>
                  </w:tcBorders>
                  <w:noWrap w:val="0"/>
                  <w:vAlign w:val="center"/>
                </w:tcPr>
                <w:p w14:paraId="0A32505B">
                  <w:pPr>
                    <w:pStyle w:val="26"/>
                    <w:bidi w:val="0"/>
                    <w:jc w:val="center"/>
                    <w:rPr>
                      <w:rFonts w:hint="default"/>
                      <w:color w:val="000000" w:themeColor="text1"/>
                      <w:highlight w:val="none"/>
                      <w:lang w:val="en-US" w:eastAsia="zh-CN" w:bidi="ar-SA"/>
                      <w14:textFill>
                        <w14:solidFill>
                          <w14:schemeClr w14:val="tx1"/>
                        </w14:solidFill>
                      </w14:textFill>
                    </w:rPr>
                  </w:pPr>
                </w:p>
              </w:tc>
              <w:tc>
                <w:tcPr>
                  <w:tcW w:w="487" w:type="pct"/>
                  <w:tcBorders>
                    <w:tl2br w:val="nil"/>
                    <w:tr2bl w:val="nil"/>
                  </w:tcBorders>
                  <w:noWrap w:val="0"/>
                  <w:vAlign w:val="center"/>
                </w:tcPr>
                <w:p w14:paraId="4E59FCAB">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482" w:type="pct"/>
                  <w:tcBorders>
                    <w:tl2br w:val="nil"/>
                    <w:tr2bl w:val="nil"/>
                  </w:tcBorders>
                  <w:noWrap w:val="0"/>
                  <w:vAlign w:val="center"/>
                </w:tcPr>
                <w:p w14:paraId="7F876F6E">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0.0039</w:t>
                  </w:r>
                </w:p>
              </w:tc>
              <w:tc>
                <w:tcPr>
                  <w:tcW w:w="420" w:type="pct"/>
                  <w:tcBorders>
                    <w:tl2br w:val="nil"/>
                    <w:tr2bl w:val="nil"/>
                  </w:tcBorders>
                  <w:noWrap w:val="0"/>
                  <w:vAlign w:val="center"/>
                </w:tcPr>
                <w:p w14:paraId="212D52B0">
                  <w:pPr>
                    <w:pStyle w:val="26"/>
                    <w:keepNext w:val="0"/>
                    <w:keepLines w:val="0"/>
                    <w:widowControl w:val="0"/>
                    <w:suppressLineNumbers w:val="0"/>
                    <w:bidi w:val="0"/>
                    <w:spacing w:before="0" w:beforeAutospacing="0" w:after="0" w:afterAutospacing="0"/>
                    <w:ind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设备排气管道收集</w:t>
                  </w:r>
                </w:p>
              </w:tc>
              <w:tc>
                <w:tcPr>
                  <w:tcW w:w="308" w:type="pct"/>
                  <w:tcBorders>
                    <w:tl2br w:val="nil"/>
                    <w:tr2bl w:val="nil"/>
                  </w:tcBorders>
                  <w:noWrap w:val="0"/>
                  <w:vAlign w:val="center"/>
                </w:tcPr>
                <w:p w14:paraId="01762A82">
                  <w:pPr>
                    <w:pStyle w:val="26"/>
                    <w:keepNext w:val="0"/>
                    <w:keepLines w:val="0"/>
                    <w:widowControl w:val="0"/>
                    <w:suppressLineNumbers w:val="0"/>
                    <w:bidi w:val="0"/>
                    <w:spacing w:before="0" w:beforeAutospacing="0" w:after="0" w:afterAutospacing="0"/>
                    <w:ind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98</w:t>
                  </w:r>
                </w:p>
              </w:tc>
              <w:tc>
                <w:tcPr>
                  <w:tcW w:w="485" w:type="pct"/>
                  <w:tcBorders>
                    <w:tl2br w:val="nil"/>
                    <w:tr2bl w:val="nil"/>
                  </w:tcBorders>
                  <w:noWrap w:val="0"/>
                  <w:vAlign w:val="center"/>
                </w:tcPr>
                <w:p w14:paraId="2EDA96DF">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w:t>
                  </w:r>
                </w:p>
              </w:tc>
              <w:tc>
                <w:tcPr>
                  <w:tcW w:w="472" w:type="pct"/>
                  <w:tcBorders>
                    <w:tl2br w:val="nil"/>
                    <w:tr2bl w:val="nil"/>
                  </w:tcBorders>
                  <w:noWrap w:val="0"/>
                  <w:vAlign w:val="center"/>
                </w:tcPr>
                <w:p w14:paraId="69DF522A">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0.0039</w:t>
                  </w:r>
                </w:p>
              </w:tc>
              <w:tc>
                <w:tcPr>
                  <w:tcW w:w="303" w:type="pct"/>
                  <w:tcBorders>
                    <w:tl2br w:val="nil"/>
                    <w:tr2bl w:val="nil"/>
                  </w:tcBorders>
                  <w:noWrap w:val="0"/>
                  <w:vAlign w:val="center"/>
                </w:tcPr>
                <w:p w14:paraId="3FC97D10">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3600</w:t>
                  </w:r>
                </w:p>
              </w:tc>
            </w:tr>
            <w:tr w14:paraId="29276C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4" w:type="pct"/>
                  <w:vMerge w:val="restart"/>
                  <w:tcBorders>
                    <w:tl2br w:val="nil"/>
                    <w:tr2bl w:val="nil"/>
                  </w:tcBorders>
                  <w:noWrap w:val="0"/>
                  <w:vAlign w:val="center"/>
                </w:tcPr>
                <w:p w14:paraId="34655C91">
                  <w:pPr>
                    <w:pStyle w:val="26"/>
                    <w:bidi w:val="0"/>
                    <w:ind w:firstLine="0" w:firstLineChars="0"/>
                    <w:jc w:val="center"/>
                    <w:rPr>
                      <w:rFonts w:hint="default"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二期硅碳负极材料</w:t>
                  </w:r>
                </w:p>
              </w:tc>
              <w:tc>
                <w:tcPr>
                  <w:tcW w:w="398" w:type="pct"/>
                  <w:tcBorders>
                    <w:tl2br w:val="nil"/>
                    <w:tr2bl w:val="nil"/>
                  </w:tcBorders>
                  <w:noWrap w:val="0"/>
                  <w:vAlign w:val="center"/>
                </w:tcPr>
                <w:p w14:paraId="170F5905">
                  <w:pPr>
                    <w:pStyle w:val="26"/>
                    <w:bidi w:val="0"/>
                    <w:ind w:firstLine="0" w:firstLineChars="0"/>
                    <w:jc w:val="center"/>
                    <w:rPr>
                      <w:rFonts w:hint="eastAsia" w:ascii="Times New Roman" w:hAnsi="Times New Roman" w:cs="Times New Roman"/>
                      <w:color w:val="000000" w:themeColor="text1"/>
                      <w:highlight w:val="none"/>
                      <w:lang w:val="en-US" w:eastAsia="zh-CN" w:bidi="ar-SA"/>
                      <w14:textFill>
                        <w14:solidFill>
                          <w14:schemeClr w14:val="tx1"/>
                        </w14:solidFill>
                      </w14:textFill>
                    </w:rPr>
                  </w:pPr>
                  <w:r>
                    <w:rPr>
                      <w:rFonts w:hint="eastAsia" w:cs="Times New Roman"/>
                      <w:color w:val="000000" w:themeColor="text1"/>
                      <w:highlight w:val="none"/>
                      <w:lang w:val="en-US" w:eastAsia="zh-CN" w:bidi="ar-SA"/>
                      <w14:textFill>
                        <w14:solidFill>
                          <w14:schemeClr w14:val="tx1"/>
                        </w14:solidFill>
                      </w14:textFill>
                    </w:rPr>
                    <w:t>砂磨、干燥</w:t>
                  </w:r>
                </w:p>
              </w:tc>
              <w:tc>
                <w:tcPr>
                  <w:tcW w:w="371" w:type="pct"/>
                  <w:vMerge w:val="continue"/>
                  <w:tcBorders>
                    <w:tl2br w:val="nil"/>
                    <w:tr2bl w:val="nil"/>
                  </w:tcBorders>
                  <w:noWrap w:val="0"/>
                  <w:vAlign w:val="center"/>
                </w:tcPr>
                <w:p w14:paraId="5AB838C1">
                  <w:pPr>
                    <w:pStyle w:val="26"/>
                    <w:bidi w:val="0"/>
                    <w:jc w:val="center"/>
                    <w:rPr>
                      <w:rFonts w:hint="default"/>
                      <w:color w:val="000000" w:themeColor="text1"/>
                      <w:highlight w:val="none"/>
                      <w:lang w:val="en-US" w:eastAsia="zh-CN" w:bidi="ar-SA"/>
                      <w14:textFill>
                        <w14:solidFill>
                          <w14:schemeClr w14:val="tx1"/>
                        </w14:solidFill>
                      </w14:textFill>
                    </w:rPr>
                  </w:pPr>
                </w:p>
              </w:tc>
              <w:tc>
                <w:tcPr>
                  <w:tcW w:w="519" w:type="pct"/>
                  <w:tcBorders>
                    <w:tl2br w:val="nil"/>
                    <w:tr2bl w:val="nil"/>
                  </w:tcBorders>
                  <w:noWrap w:val="0"/>
                  <w:vAlign w:val="center"/>
                </w:tcPr>
                <w:p w14:paraId="45BB475D">
                  <w:pPr>
                    <w:pStyle w:val="26"/>
                    <w:bidi w:val="0"/>
                    <w:ind w:firstLine="0" w:firstLineChars="0"/>
                    <w:jc w:val="center"/>
                    <w:rPr>
                      <w:rFonts w:hint="eastAsia"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非甲烷总烃</w:t>
                  </w:r>
                </w:p>
              </w:tc>
              <w:tc>
                <w:tcPr>
                  <w:tcW w:w="383" w:type="pct"/>
                  <w:tcBorders>
                    <w:tl2br w:val="nil"/>
                    <w:tr2bl w:val="nil"/>
                  </w:tcBorders>
                  <w:noWrap w:val="0"/>
                  <w:vAlign w:val="center"/>
                </w:tcPr>
                <w:p w14:paraId="38E60C3B">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w:t>
                  </w:r>
                </w:p>
              </w:tc>
              <w:tc>
                <w:tcPr>
                  <w:tcW w:w="487" w:type="pct"/>
                  <w:tcBorders>
                    <w:tl2br w:val="nil"/>
                    <w:tr2bl w:val="nil"/>
                  </w:tcBorders>
                  <w:noWrap w:val="0"/>
                  <w:vAlign w:val="center"/>
                </w:tcPr>
                <w:p w14:paraId="482B6F49">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w:t>
                  </w:r>
                </w:p>
              </w:tc>
              <w:tc>
                <w:tcPr>
                  <w:tcW w:w="482" w:type="pct"/>
                  <w:tcBorders>
                    <w:tl2br w:val="nil"/>
                    <w:tr2bl w:val="nil"/>
                  </w:tcBorders>
                  <w:noWrap w:val="0"/>
                  <w:vAlign w:val="center"/>
                </w:tcPr>
                <w:p w14:paraId="6DD42ED2">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0.1458</w:t>
                  </w:r>
                </w:p>
              </w:tc>
              <w:tc>
                <w:tcPr>
                  <w:tcW w:w="420" w:type="pct"/>
                  <w:tcBorders>
                    <w:tl2br w:val="nil"/>
                    <w:tr2bl w:val="nil"/>
                  </w:tcBorders>
                  <w:noWrap w:val="0"/>
                  <w:vAlign w:val="center"/>
                </w:tcPr>
                <w:p w14:paraId="586788F9">
                  <w:pPr>
                    <w:pStyle w:val="26"/>
                    <w:keepNext w:val="0"/>
                    <w:keepLines w:val="0"/>
                    <w:widowControl w:val="0"/>
                    <w:suppressLineNumbers w:val="0"/>
                    <w:bidi w:val="0"/>
                    <w:spacing w:before="0" w:beforeAutospacing="0" w:after="0" w:afterAutospacing="0"/>
                    <w:ind w:right="0"/>
                    <w:jc w:val="center"/>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设备排气管道收集</w:t>
                  </w:r>
                </w:p>
              </w:tc>
              <w:tc>
                <w:tcPr>
                  <w:tcW w:w="308" w:type="pct"/>
                  <w:tcBorders>
                    <w:tl2br w:val="nil"/>
                    <w:tr2bl w:val="nil"/>
                  </w:tcBorders>
                  <w:noWrap w:val="0"/>
                  <w:vAlign w:val="center"/>
                </w:tcPr>
                <w:p w14:paraId="1DCA7483">
                  <w:pPr>
                    <w:pStyle w:val="26"/>
                    <w:keepNext w:val="0"/>
                    <w:keepLines w:val="0"/>
                    <w:widowControl w:val="0"/>
                    <w:suppressLineNumbers w:val="0"/>
                    <w:bidi w:val="0"/>
                    <w:spacing w:before="0" w:beforeAutospacing="0" w:after="0" w:afterAutospacing="0"/>
                    <w:ind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95</w:t>
                  </w:r>
                </w:p>
              </w:tc>
              <w:tc>
                <w:tcPr>
                  <w:tcW w:w="485" w:type="pct"/>
                  <w:tcBorders>
                    <w:tl2br w:val="nil"/>
                    <w:tr2bl w:val="nil"/>
                  </w:tcBorders>
                  <w:noWrap w:val="0"/>
                  <w:vAlign w:val="center"/>
                </w:tcPr>
                <w:p w14:paraId="65D3C9D8">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w:t>
                  </w:r>
                </w:p>
              </w:tc>
              <w:tc>
                <w:tcPr>
                  <w:tcW w:w="472" w:type="pct"/>
                  <w:tcBorders>
                    <w:tl2br w:val="nil"/>
                    <w:tr2bl w:val="nil"/>
                  </w:tcBorders>
                  <w:noWrap w:val="0"/>
                  <w:vAlign w:val="center"/>
                </w:tcPr>
                <w:p w14:paraId="7A3898DE">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0.1458</w:t>
                  </w:r>
                </w:p>
              </w:tc>
              <w:tc>
                <w:tcPr>
                  <w:tcW w:w="303" w:type="pct"/>
                  <w:tcBorders>
                    <w:tl2br w:val="nil"/>
                    <w:tr2bl w:val="nil"/>
                  </w:tcBorders>
                  <w:noWrap w:val="0"/>
                  <w:vAlign w:val="center"/>
                </w:tcPr>
                <w:p w14:paraId="40ED99CB">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3600</w:t>
                  </w:r>
                </w:p>
              </w:tc>
            </w:tr>
            <w:tr w14:paraId="2BC8F3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4" w:type="pct"/>
                  <w:vMerge w:val="continue"/>
                  <w:tcBorders>
                    <w:tl2br w:val="nil"/>
                    <w:tr2bl w:val="nil"/>
                  </w:tcBorders>
                  <w:noWrap w:val="0"/>
                  <w:vAlign w:val="center"/>
                </w:tcPr>
                <w:p w14:paraId="17197D04">
                  <w:pPr>
                    <w:pStyle w:val="26"/>
                    <w:bidi w:val="0"/>
                    <w:ind w:firstLine="0" w:firstLineChars="0"/>
                    <w:jc w:val="center"/>
                    <w:rPr>
                      <w:rFonts w:hint="default" w:ascii="Times New Roman" w:hAnsi="Times New Roman" w:cs="Times New Roman"/>
                      <w:color w:val="000000" w:themeColor="text1"/>
                      <w:sz w:val="21"/>
                      <w:szCs w:val="22"/>
                      <w:highlight w:val="none"/>
                      <w:lang w:val="en-US" w:eastAsia="zh-CN" w:bidi="ar-SA"/>
                      <w14:textFill>
                        <w14:solidFill>
                          <w14:schemeClr w14:val="tx1"/>
                        </w14:solidFill>
                      </w14:textFill>
                    </w:rPr>
                  </w:pPr>
                </w:p>
              </w:tc>
              <w:tc>
                <w:tcPr>
                  <w:tcW w:w="398" w:type="pct"/>
                  <w:vMerge w:val="restart"/>
                  <w:tcBorders>
                    <w:tl2br w:val="nil"/>
                    <w:tr2bl w:val="nil"/>
                  </w:tcBorders>
                  <w:noWrap w:val="0"/>
                  <w:vAlign w:val="center"/>
                </w:tcPr>
                <w:p w14:paraId="2AB9A293">
                  <w:pPr>
                    <w:pStyle w:val="26"/>
                    <w:bidi w:val="0"/>
                    <w:ind w:firstLine="0" w:firstLineChars="0"/>
                    <w:jc w:val="center"/>
                    <w:rPr>
                      <w:rFonts w:hint="eastAsia"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包覆、</w:t>
                  </w:r>
                  <w:r>
                    <w:rPr>
                      <w:rFonts w:hint="eastAsia" w:cs="Times New Roman"/>
                      <w:color w:val="000000" w:themeColor="text1"/>
                      <w:highlight w:val="none"/>
                      <w:lang w:val="en-US" w:eastAsia="zh-CN" w:bidi="ar-SA"/>
                      <w14:textFill>
                        <w14:solidFill>
                          <w14:schemeClr w14:val="tx1"/>
                        </w14:solidFill>
                      </w14:textFill>
                    </w:rPr>
                    <w:t>二次包覆、</w:t>
                  </w:r>
                  <w:r>
                    <w:rPr>
                      <w:rFonts w:hint="eastAsia" w:ascii="Times New Roman" w:hAnsi="Times New Roman" w:cs="Times New Roman"/>
                      <w:color w:val="000000" w:themeColor="text1"/>
                      <w:highlight w:val="none"/>
                      <w:lang w:val="en-US" w:eastAsia="zh-CN" w:bidi="ar-SA"/>
                      <w14:textFill>
                        <w14:solidFill>
                          <w14:schemeClr w14:val="tx1"/>
                        </w14:solidFill>
                      </w14:textFill>
                    </w:rPr>
                    <w:t>碳化</w:t>
                  </w:r>
                </w:p>
              </w:tc>
              <w:tc>
                <w:tcPr>
                  <w:tcW w:w="371" w:type="pct"/>
                  <w:vMerge w:val="continue"/>
                  <w:tcBorders>
                    <w:tl2br w:val="nil"/>
                    <w:tr2bl w:val="nil"/>
                  </w:tcBorders>
                  <w:noWrap w:val="0"/>
                  <w:vAlign w:val="center"/>
                </w:tcPr>
                <w:p w14:paraId="478D032F">
                  <w:pPr>
                    <w:pStyle w:val="26"/>
                    <w:bidi w:val="0"/>
                    <w:jc w:val="center"/>
                    <w:rPr>
                      <w:rFonts w:hint="default"/>
                      <w:color w:val="000000" w:themeColor="text1"/>
                      <w:highlight w:val="none"/>
                      <w:lang w:val="en-US" w:eastAsia="zh-CN" w:bidi="ar-SA"/>
                      <w14:textFill>
                        <w14:solidFill>
                          <w14:schemeClr w14:val="tx1"/>
                        </w14:solidFill>
                      </w14:textFill>
                    </w:rPr>
                  </w:pPr>
                </w:p>
              </w:tc>
              <w:tc>
                <w:tcPr>
                  <w:tcW w:w="519" w:type="pct"/>
                  <w:tcBorders>
                    <w:tl2br w:val="nil"/>
                    <w:tr2bl w:val="nil"/>
                  </w:tcBorders>
                  <w:noWrap w:val="0"/>
                  <w:vAlign w:val="center"/>
                </w:tcPr>
                <w:p w14:paraId="0ADDC980">
                  <w:pPr>
                    <w:pStyle w:val="26"/>
                    <w:bidi w:val="0"/>
                    <w:ind w:firstLine="0" w:firstLineChars="0"/>
                    <w:jc w:val="center"/>
                    <w:rPr>
                      <w:rFonts w:hint="default"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沥青烟</w:t>
                  </w:r>
                </w:p>
              </w:tc>
              <w:tc>
                <w:tcPr>
                  <w:tcW w:w="383" w:type="pct"/>
                  <w:vMerge w:val="restart"/>
                  <w:tcBorders>
                    <w:tl2br w:val="nil"/>
                    <w:tr2bl w:val="nil"/>
                  </w:tcBorders>
                  <w:noWrap w:val="0"/>
                  <w:vAlign w:val="center"/>
                </w:tcPr>
                <w:p w14:paraId="3ADED719">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487" w:type="pct"/>
                  <w:tcBorders>
                    <w:tl2br w:val="nil"/>
                    <w:tr2bl w:val="nil"/>
                  </w:tcBorders>
                  <w:noWrap w:val="0"/>
                  <w:vAlign w:val="center"/>
                </w:tcPr>
                <w:p w14:paraId="1CF55737">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482" w:type="pct"/>
                  <w:tcBorders>
                    <w:tl2br w:val="nil"/>
                    <w:tr2bl w:val="nil"/>
                  </w:tcBorders>
                  <w:noWrap w:val="0"/>
                  <w:vAlign w:val="center"/>
                </w:tcPr>
                <w:p w14:paraId="71C2DE85">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0.0020</w:t>
                  </w:r>
                </w:p>
              </w:tc>
              <w:tc>
                <w:tcPr>
                  <w:tcW w:w="420" w:type="pct"/>
                  <w:vMerge w:val="restart"/>
                  <w:tcBorders>
                    <w:tl2br w:val="nil"/>
                    <w:tr2bl w:val="nil"/>
                  </w:tcBorders>
                  <w:noWrap w:val="0"/>
                  <w:vAlign w:val="center"/>
                </w:tcPr>
                <w:p w14:paraId="3573E86A">
                  <w:pPr>
                    <w:pStyle w:val="26"/>
                    <w:keepNext w:val="0"/>
                    <w:keepLines w:val="0"/>
                    <w:widowControl w:val="0"/>
                    <w:suppressLineNumbers w:val="0"/>
                    <w:bidi w:val="0"/>
                    <w:spacing w:before="0" w:beforeAutospacing="0" w:after="0" w:afterAutospacing="0"/>
                    <w:ind w:right="0"/>
                    <w:jc w:val="center"/>
                    <w:rPr>
                      <w:rFonts w:hint="eastAsia"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设备排气管道收集</w:t>
                  </w:r>
                </w:p>
              </w:tc>
              <w:tc>
                <w:tcPr>
                  <w:tcW w:w="308" w:type="pct"/>
                  <w:tcBorders>
                    <w:tl2br w:val="nil"/>
                    <w:tr2bl w:val="nil"/>
                  </w:tcBorders>
                  <w:noWrap w:val="0"/>
                  <w:vAlign w:val="center"/>
                </w:tcPr>
                <w:p w14:paraId="214D8BE4">
                  <w:pPr>
                    <w:pStyle w:val="26"/>
                    <w:keepNext w:val="0"/>
                    <w:keepLines w:val="0"/>
                    <w:widowControl w:val="0"/>
                    <w:suppressLineNumbers w:val="0"/>
                    <w:bidi w:val="0"/>
                    <w:spacing w:before="0" w:beforeAutospacing="0" w:after="0" w:afterAutospacing="0"/>
                    <w:ind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98</w:t>
                  </w:r>
                </w:p>
              </w:tc>
              <w:tc>
                <w:tcPr>
                  <w:tcW w:w="485" w:type="pct"/>
                  <w:tcBorders>
                    <w:tl2br w:val="nil"/>
                    <w:tr2bl w:val="nil"/>
                  </w:tcBorders>
                  <w:noWrap w:val="0"/>
                  <w:vAlign w:val="center"/>
                </w:tcPr>
                <w:p w14:paraId="74BB5E6B">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472" w:type="pct"/>
                  <w:tcBorders>
                    <w:tl2br w:val="nil"/>
                    <w:tr2bl w:val="nil"/>
                  </w:tcBorders>
                  <w:noWrap w:val="0"/>
                  <w:vAlign w:val="center"/>
                </w:tcPr>
                <w:p w14:paraId="397A44D5">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0.0020</w:t>
                  </w:r>
                </w:p>
              </w:tc>
              <w:tc>
                <w:tcPr>
                  <w:tcW w:w="303" w:type="pct"/>
                  <w:tcBorders>
                    <w:tl2br w:val="nil"/>
                    <w:tr2bl w:val="nil"/>
                  </w:tcBorders>
                  <w:noWrap w:val="0"/>
                  <w:vAlign w:val="center"/>
                </w:tcPr>
                <w:p w14:paraId="5B170652">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3000</w:t>
                  </w:r>
                </w:p>
              </w:tc>
            </w:tr>
            <w:tr w14:paraId="60558E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4" w:type="pct"/>
                  <w:vMerge w:val="continue"/>
                  <w:tcBorders>
                    <w:tl2br w:val="nil"/>
                    <w:tr2bl w:val="nil"/>
                  </w:tcBorders>
                  <w:noWrap w:val="0"/>
                  <w:vAlign w:val="center"/>
                </w:tcPr>
                <w:p w14:paraId="6022EFC0">
                  <w:pPr>
                    <w:pStyle w:val="26"/>
                    <w:bidi w:val="0"/>
                    <w:jc w:val="center"/>
                    <w:rPr>
                      <w:rFonts w:hint="default"/>
                      <w:color w:val="000000" w:themeColor="text1"/>
                      <w:highlight w:val="none"/>
                      <w:lang w:val="en-US" w:eastAsia="zh-CN" w:bidi="ar-SA"/>
                      <w14:textFill>
                        <w14:solidFill>
                          <w14:schemeClr w14:val="tx1"/>
                        </w14:solidFill>
                      </w14:textFill>
                    </w:rPr>
                  </w:pPr>
                </w:p>
              </w:tc>
              <w:tc>
                <w:tcPr>
                  <w:tcW w:w="398" w:type="pct"/>
                  <w:vMerge w:val="continue"/>
                  <w:tcBorders>
                    <w:tl2br w:val="nil"/>
                    <w:tr2bl w:val="nil"/>
                  </w:tcBorders>
                  <w:noWrap w:val="0"/>
                  <w:vAlign w:val="center"/>
                </w:tcPr>
                <w:p w14:paraId="2D73BD86">
                  <w:pPr>
                    <w:pStyle w:val="26"/>
                    <w:bidi w:val="0"/>
                    <w:ind w:firstLine="0" w:firstLineChars="0"/>
                    <w:jc w:val="center"/>
                    <w:rPr>
                      <w:rFonts w:hint="eastAsia" w:ascii="Times New Roman" w:hAnsi="Times New Roman" w:cs="Times New Roman"/>
                      <w:color w:val="000000" w:themeColor="text1"/>
                      <w:highlight w:val="none"/>
                      <w:lang w:val="en-US" w:eastAsia="zh-CN" w:bidi="ar-SA"/>
                      <w14:textFill>
                        <w14:solidFill>
                          <w14:schemeClr w14:val="tx1"/>
                        </w14:solidFill>
                      </w14:textFill>
                    </w:rPr>
                  </w:pPr>
                </w:p>
              </w:tc>
              <w:tc>
                <w:tcPr>
                  <w:tcW w:w="371" w:type="pct"/>
                  <w:vMerge w:val="continue"/>
                  <w:tcBorders>
                    <w:tl2br w:val="nil"/>
                    <w:tr2bl w:val="nil"/>
                  </w:tcBorders>
                  <w:noWrap w:val="0"/>
                  <w:vAlign w:val="center"/>
                </w:tcPr>
                <w:p w14:paraId="617E1DA4">
                  <w:pPr>
                    <w:pStyle w:val="26"/>
                    <w:bidi w:val="0"/>
                    <w:jc w:val="center"/>
                    <w:rPr>
                      <w:rFonts w:hint="default"/>
                      <w:color w:val="000000" w:themeColor="text1"/>
                      <w:highlight w:val="none"/>
                      <w:lang w:val="en-US" w:eastAsia="zh-CN" w:bidi="ar-SA"/>
                      <w14:textFill>
                        <w14:solidFill>
                          <w14:schemeClr w14:val="tx1"/>
                        </w14:solidFill>
                      </w14:textFill>
                    </w:rPr>
                  </w:pPr>
                </w:p>
              </w:tc>
              <w:tc>
                <w:tcPr>
                  <w:tcW w:w="519" w:type="pct"/>
                  <w:tcBorders>
                    <w:tl2br w:val="nil"/>
                    <w:tr2bl w:val="nil"/>
                  </w:tcBorders>
                  <w:noWrap w:val="0"/>
                  <w:vAlign w:val="center"/>
                </w:tcPr>
                <w:p w14:paraId="6F255C55">
                  <w:pPr>
                    <w:pStyle w:val="26"/>
                    <w:bidi w:val="0"/>
                    <w:ind w:firstLine="0" w:firstLineChars="0"/>
                    <w:jc w:val="center"/>
                    <w:rPr>
                      <w:rFonts w:hint="default"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苯并[a]芘</w:t>
                  </w:r>
                </w:p>
              </w:tc>
              <w:tc>
                <w:tcPr>
                  <w:tcW w:w="383" w:type="pct"/>
                  <w:vMerge w:val="continue"/>
                  <w:tcBorders>
                    <w:tl2br w:val="nil"/>
                    <w:tr2bl w:val="nil"/>
                  </w:tcBorders>
                  <w:noWrap w:val="0"/>
                  <w:vAlign w:val="center"/>
                </w:tcPr>
                <w:p w14:paraId="393C23CC">
                  <w:pPr>
                    <w:pStyle w:val="26"/>
                    <w:bidi w:val="0"/>
                    <w:jc w:val="center"/>
                    <w:rPr>
                      <w:rFonts w:hint="default"/>
                      <w:color w:val="000000" w:themeColor="text1"/>
                      <w:highlight w:val="none"/>
                      <w:lang w:val="en-US" w:eastAsia="zh-CN" w:bidi="ar-SA"/>
                      <w14:textFill>
                        <w14:solidFill>
                          <w14:schemeClr w14:val="tx1"/>
                        </w14:solidFill>
                      </w14:textFill>
                    </w:rPr>
                  </w:pPr>
                </w:p>
              </w:tc>
              <w:tc>
                <w:tcPr>
                  <w:tcW w:w="487" w:type="pct"/>
                  <w:tcBorders>
                    <w:tl2br w:val="nil"/>
                    <w:tr2bl w:val="nil"/>
                  </w:tcBorders>
                  <w:noWrap w:val="0"/>
                  <w:vAlign w:val="center"/>
                </w:tcPr>
                <w:p w14:paraId="4C18B87A">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482" w:type="pct"/>
                  <w:tcBorders>
                    <w:tl2br w:val="nil"/>
                    <w:tr2bl w:val="nil"/>
                  </w:tcBorders>
                  <w:noWrap w:val="0"/>
                  <w:vAlign w:val="center"/>
                </w:tcPr>
                <w:p w14:paraId="48ED5EEE">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5.25E-07</w:t>
                  </w:r>
                </w:p>
              </w:tc>
              <w:tc>
                <w:tcPr>
                  <w:tcW w:w="420" w:type="pct"/>
                  <w:vMerge w:val="continue"/>
                  <w:tcBorders>
                    <w:tl2br w:val="nil"/>
                    <w:tr2bl w:val="nil"/>
                  </w:tcBorders>
                  <w:noWrap w:val="0"/>
                  <w:vAlign w:val="center"/>
                </w:tcPr>
                <w:p w14:paraId="0238DE74">
                  <w:pPr>
                    <w:pStyle w:val="26"/>
                    <w:keepNext w:val="0"/>
                    <w:keepLines w:val="0"/>
                    <w:widowControl w:val="0"/>
                    <w:suppressLineNumbers w:val="0"/>
                    <w:bidi w:val="0"/>
                    <w:spacing w:before="0" w:beforeAutospacing="0" w:after="0" w:afterAutospacing="0"/>
                    <w:ind w:right="0"/>
                    <w:jc w:val="center"/>
                    <w:rPr>
                      <w:rFonts w:hint="eastAsia" w:cs="Times New Roman"/>
                      <w:color w:val="000000" w:themeColor="text1"/>
                      <w:szCs w:val="20"/>
                      <w:highlight w:val="none"/>
                      <w:lang w:val="en-US" w:eastAsia="zh-CN" w:bidi="ar-SA"/>
                      <w14:textFill>
                        <w14:solidFill>
                          <w14:schemeClr w14:val="tx1"/>
                        </w14:solidFill>
                      </w14:textFill>
                    </w:rPr>
                  </w:pPr>
                </w:p>
              </w:tc>
              <w:tc>
                <w:tcPr>
                  <w:tcW w:w="308" w:type="pct"/>
                  <w:tcBorders>
                    <w:tl2br w:val="nil"/>
                    <w:tr2bl w:val="nil"/>
                  </w:tcBorders>
                  <w:noWrap w:val="0"/>
                  <w:vAlign w:val="center"/>
                </w:tcPr>
                <w:p w14:paraId="5A8236E7">
                  <w:pPr>
                    <w:pStyle w:val="26"/>
                    <w:keepNext w:val="0"/>
                    <w:keepLines w:val="0"/>
                    <w:widowControl w:val="0"/>
                    <w:suppressLineNumbers w:val="0"/>
                    <w:bidi w:val="0"/>
                    <w:spacing w:before="0" w:beforeAutospacing="0" w:after="0" w:afterAutospacing="0"/>
                    <w:ind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98</w:t>
                  </w:r>
                </w:p>
              </w:tc>
              <w:tc>
                <w:tcPr>
                  <w:tcW w:w="485" w:type="pct"/>
                  <w:tcBorders>
                    <w:tl2br w:val="nil"/>
                    <w:tr2bl w:val="nil"/>
                  </w:tcBorders>
                  <w:noWrap w:val="0"/>
                  <w:vAlign w:val="center"/>
                </w:tcPr>
                <w:p w14:paraId="62C19EB3">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472" w:type="pct"/>
                  <w:tcBorders>
                    <w:tl2br w:val="nil"/>
                    <w:tr2bl w:val="nil"/>
                  </w:tcBorders>
                  <w:noWrap w:val="0"/>
                  <w:vAlign w:val="center"/>
                </w:tcPr>
                <w:p w14:paraId="0B5A6F12">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5.25E-07</w:t>
                  </w:r>
                </w:p>
              </w:tc>
              <w:tc>
                <w:tcPr>
                  <w:tcW w:w="303" w:type="pct"/>
                  <w:tcBorders>
                    <w:tl2br w:val="nil"/>
                    <w:tr2bl w:val="nil"/>
                  </w:tcBorders>
                  <w:noWrap w:val="0"/>
                  <w:vAlign w:val="center"/>
                </w:tcPr>
                <w:p w14:paraId="7A15DD38">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3000</w:t>
                  </w:r>
                </w:p>
              </w:tc>
            </w:tr>
            <w:tr w14:paraId="7A2CCF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4" w:type="pct"/>
                  <w:vMerge w:val="continue"/>
                  <w:tcBorders>
                    <w:tl2br w:val="nil"/>
                    <w:tr2bl w:val="nil"/>
                  </w:tcBorders>
                  <w:noWrap w:val="0"/>
                  <w:vAlign w:val="center"/>
                </w:tcPr>
                <w:p w14:paraId="4DD1F0E9">
                  <w:pPr>
                    <w:pStyle w:val="26"/>
                    <w:bidi w:val="0"/>
                    <w:jc w:val="center"/>
                    <w:rPr>
                      <w:rFonts w:hint="default"/>
                      <w:color w:val="000000" w:themeColor="text1"/>
                      <w:highlight w:val="none"/>
                      <w:lang w:val="en-US" w:eastAsia="zh-CN" w:bidi="ar-SA"/>
                      <w14:textFill>
                        <w14:solidFill>
                          <w14:schemeClr w14:val="tx1"/>
                        </w14:solidFill>
                      </w14:textFill>
                    </w:rPr>
                  </w:pPr>
                </w:p>
              </w:tc>
              <w:tc>
                <w:tcPr>
                  <w:tcW w:w="398" w:type="pct"/>
                  <w:vMerge w:val="continue"/>
                  <w:tcBorders>
                    <w:tl2br w:val="nil"/>
                    <w:tr2bl w:val="nil"/>
                  </w:tcBorders>
                  <w:noWrap w:val="0"/>
                  <w:vAlign w:val="center"/>
                </w:tcPr>
                <w:p w14:paraId="7FBE61FE">
                  <w:pPr>
                    <w:pStyle w:val="26"/>
                    <w:bidi w:val="0"/>
                    <w:ind w:firstLine="0" w:firstLineChars="0"/>
                    <w:jc w:val="center"/>
                    <w:rPr>
                      <w:rFonts w:hint="eastAsia" w:ascii="Times New Roman" w:hAnsi="Times New Roman" w:cs="Times New Roman"/>
                      <w:color w:val="000000" w:themeColor="text1"/>
                      <w:highlight w:val="none"/>
                      <w:lang w:val="en-US" w:eastAsia="zh-CN" w:bidi="ar-SA"/>
                      <w14:textFill>
                        <w14:solidFill>
                          <w14:schemeClr w14:val="tx1"/>
                        </w14:solidFill>
                      </w14:textFill>
                    </w:rPr>
                  </w:pPr>
                </w:p>
              </w:tc>
              <w:tc>
                <w:tcPr>
                  <w:tcW w:w="371" w:type="pct"/>
                  <w:vMerge w:val="continue"/>
                  <w:tcBorders>
                    <w:tl2br w:val="nil"/>
                    <w:tr2bl w:val="nil"/>
                  </w:tcBorders>
                  <w:noWrap w:val="0"/>
                  <w:vAlign w:val="center"/>
                </w:tcPr>
                <w:p w14:paraId="01EA93FC">
                  <w:pPr>
                    <w:pStyle w:val="26"/>
                    <w:bidi w:val="0"/>
                    <w:jc w:val="center"/>
                    <w:rPr>
                      <w:rFonts w:hint="default"/>
                      <w:color w:val="000000" w:themeColor="text1"/>
                      <w:highlight w:val="none"/>
                      <w:lang w:val="en-US" w:eastAsia="zh-CN" w:bidi="ar-SA"/>
                      <w14:textFill>
                        <w14:solidFill>
                          <w14:schemeClr w14:val="tx1"/>
                        </w14:solidFill>
                      </w14:textFill>
                    </w:rPr>
                  </w:pPr>
                </w:p>
              </w:tc>
              <w:tc>
                <w:tcPr>
                  <w:tcW w:w="519" w:type="pct"/>
                  <w:tcBorders>
                    <w:tl2br w:val="nil"/>
                    <w:tr2bl w:val="nil"/>
                  </w:tcBorders>
                  <w:noWrap w:val="0"/>
                  <w:vAlign w:val="center"/>
                </w:tcPr>
                <w:p w14:paraId="163B17BF">
                  <w:pPr>
                    <w:pStyle w:val="26"/>
                    <w:bidi w:val="0"/>
                    <w:ind w:firstLine="0" w:firstLineChars="0"/>
                    <w:jc w:val="center"/>
                    <w:rPr>
                      <w:rFonts w:hint="default"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颗粒物</w:t>
                  </w:r>
                </w:p>
              </w:tc>
              <w:tc>
                <w:tcPr>
                  <w:tcW w:w="383" w:type="pct"/>
                  <w:vMerge w:val="continue"/>
                  <w:tcBorders>
                    <w:tl2br w:val="nil"/>
                    <w:tr2bl w:val="nil"/>
                  </w:tcBorders>
                  <w:noWrap w:val="0"/>
                  <w:vAlign w:val="center"/>
                </w:tcPr>
                <w:p w14:paraId="592BC8E3">
                  <w:pPr>
                    <w:pStyle w:val="26"/>
                    <w:bidi w:val="0"/>
                    <w:jc w:val="center"/>
                    <w:rPr>
                      <w:rFonts w:hint="default"/>
                      <w:color w:val="000000" w:themeColor="text1"/>
                      <w:highlight w:val="none"/>
                      <w:lang w:val="en-US" w:eastAsia="zh-CN" w:bidi="ar-SA"/>
                      <w14:textFill>
                        <w14:solidFill>
                          <w14:schemeClr w14:val="tx1"/>
                        </w14:solidFill>
                      </w14:textFill>
                    </w:rPr>
                  </w:pPr>
                </w:p>
              </w:tc>
              <w:tc>
                <w:tcPr>
                  <w:tcW w:w="487" w:type="pct"/>
                  <w:tcBorders>
                    <w:tl2br w:val="nil"/>
                    <w:tr2bl w:val="nil"/>
                  </w:tcBorders>
                  <w:noWrap w:val="0"/>
                  <w:vAlign w:val="center"/>
                </w:tcPr>
                <w:p w14:paraId="2BBEAF5C">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482" w:type="pct"/>
                  <w:tcBorders>
                    <w:tl2br w:val="nil"/>
                    <w:tr2bl w:val="nil"/>
                  </w:tcBorders>
                  <w:noWrap w:val="0"/>
                  <w:vAlign w:val="center"/>
                </w:tcPr>
                <w:p w14:paraId="48169C3D">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0.0296</w:t>
                  </w:r>
                </w:p>
              </w:tc>
              <w:tc>
                <w:tcPr>
                  <w:tcW w:w="420" w:type="pct"/>
                  <w:vMerge w:val="continue"/>
                  <w:tcBorders>
                    <w:tl2br w:val="nil"/>
                    <w:tr2bl w:val="nil"/>
                  </w:tcBorders>
                  <w:noWrap w:val="0"/>
                  <w:vAlign w:val="center"/>
                </w:tcPr>
                <w:p w14:paraId="222376CC">
                  <w:pPr>
                    <w:pStyle w:val="26"/>
                    <w:keepNext w:val="0"/>
                    <w:keepLines w:val="0"/>
                    <w:widowControl w:val="0"/>
                    <w:suppressLineNumbers w:val="0"/>
                    <w:bidi w:val="0"/>
                    <w:spacing w:before="0" w:beforeAutospacing="0" w:after="0" w:afterAutospacing="0"/>
                    <w:ind w:right="0"/>
                    <w:jc w:val="center"/>
                    <w:rPr>
                      <w:rFonts w:hint="eastAsia" w:cs="Times New Roman"/>
                      <w:color w:val="000000" w:themeColor="text1"/>
                      <w:szCs w:val="20"/>
                      <w:highlight w:val="none"/>
                      <w:lang w:val="en-US" w:eastAsia="zh-CN" w:bidi="ar-SA"/>
                      <w14:textFill>
                        <w14:solidFill>
                          <w14:schemeClr w14:val="tx1"/>
                        </w14:solidFill>
                      </w14:textFill>
                    </w:rPr>
                  </w:pPr>
                </w:p>
              </w:tc>
              <w:tc>
                <w:tcPr>
                  <w:tcW w:w="308" w:type="pct"/>
                  <w:tcBorders>
                    <w:tl2br w:val="nil"/>
                    <w:tr2bl w:val="nil"/>
                  </w:tcBorders>
                  <w:noWrap w:val="0"/>
                  <w:vAlign w:val="center"/>
                </w:tcPr>
                <w:p w14:paraId="0076D35A">
                  <w:pPr>
                    <w:pStyle w:val="26"/>
                    <w:keepNext w:val="0"/>
                    <w:keepLines w:val="0"/>
                    <w:widowControl w:val="0"/>
                    <w:suppressLineNumbers w:val="0"/>
                    <w:bidi w:val="0"/>
                    <w:spacing w:before="0" w:beforeAutospacing="0" w:after="0" w:afterAutospacing="0"/>
                    <w:ind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98</w:t>
                  </w:r>
                </w:p>
              </w:tc>
              <w:tc>
                <w:tcPr>
                  <w:tcW w:w="485" w:type="pct"/>
                  <w:tcBorders>
                    <w:tl2br w:val="nil"/>
                    <w:tr2bl w:val="nil"/>
                  </w:tcBorders>
                  <w:noWrap w:val="0"/>
                  <w:vAlign w:val="center"/>
                </w:tcPr>
                <w:p w14:paraId="4EE0E23B">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472" w:type="pct"/>
                  <w:tcBorders>
                    <w:tl2br w:val="nil"/>
                    <w:tr2bl w:val="nil"/>
                  </w:tcBorders>
                  <w:noWrap w:val="0"/>
                  <w:vAlign w:val="center"/>
                </w:tcPr>
                <w:p w14:paraId="2725FD43">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0.0296</w:t>
                  </w:r>
                </w:p>
              </w:tc>
              <w:tc>
                <w:tcPr>
                  <w:tcW w:w="303" w:type="pct"/>
                  <w:tcBorders>
                    <w:tl2br w:val="nil"/>
                    <w:tr2bl w:val="nil"/>
                  </w:tcBorders>
                  <w:noWrap w:val="0"/>
                  <w:vAlign w:val="center"/>
                </w:tcPr>
                <w:p w14:paraId="048A9106">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3000</w:t>
                  </w:r>
                </w:p>
              </w:tc>
            </w:tr>
            <w:tr w14:paraId="0AE8E9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4" w:type="pct"/>
                  <w:vMerge w:val="continue"/>
                  <w:noWrap w:val="0"/>
                  <w:vAlign w:val="center"/>
                </w:tcPr>
                <w:p w14:paraId="16979B22">
                  <w:pPr>
                    <w:pStyle w:val="26"/>
                    <w:bidi w:val="0"/>
                    <w:jc w:val="center"/>
                    <w:rPr>
                      <w:rFonts w:hint="default"/>
                      <w:color w:val="000000" w:themeColor="text1"/>
                      <w:highlight w:val="none"/>
                      <w:lang w:val="en-US" w:eastAsia="zh-CN" w:bidi="ar-SA"/>
                      <w14:textFill>
                        <w14:solidFill>
                          <w14:schemeClr w14:val="tx1"/>
                        </w14:solidFill>
                      </w14:textFill>
                    </w:rPr>
                  </w:pPr>
                </w:p>
              </w:tc>
              <w:tc>
                <w:tcPr>
                  <w:tcW w:w="398" w:type="pct"/>
                  <w:vMerge w:val="continue"/>
                  <w:noWrap w:val="0"/>
                  <w:vAlign w:val="center"/>
                </w:tcPr>
                <w:p w14:paraId="3424BB4A">
                  <w:pPr>
                    <w:pStyle w:val="26"/>
                    <w:bidi w:val="0"/>
                    <w:ind w:firstLine="0" w:firstLineChars="0"/>
                    <w:jc w:val="center"/>
                    <w:rPr>
                      <w:rFonts w:hint="eastAsia" w:ascii="Times New Roman" w:hAnsi="Times New Roman" w:cs="Times New Roman"/>
                      <w:color w:val="000000" w:themeColor="text1"/>
                      <w:highlight w:val="none"/>
                      <w:lang w:val="en-US" w:eastAsia="zh-CN" w:bidi="ar-SA"/>
                      <w14:textFill>
                        <w14:solidFill>
                          <w14:schemeClr w14:val="tx1"/>
                        </w14:solidFill>
                      </w14:textFill>
                    </w:rPr>
                  </w:pPr>
                </w:p>
              </w:tc>
              <w:tc>
                <w:tcPr>
                  <w:tcW w:w="371" w:type="pct"/>
                  <w:vMerge w:val="continue"/>
                  <w:noWrap w:val="0"/>
                  <w:vAlign w:val="center"/>
                </w:tcPr>
                <w:p w14:paraId="2ECF6CD4">
                  <w:pPr>
                    <w:pStyle w:val="26"/>
                    <w:bidi w:val="0"/>
                    <w:jc w:val="center"/>
                    <w:rPr>
                      <w:rFonts w:hint="default"/>
                      <w:color w:val="000000" w:themeColor="text1"/>
                      <w:highlight w:val="none"/>
                      <w:lang w:val="en-US" w:eastAsia="zh-CN" w:bidi="ar-SA"/>
                      <w14:textFill>
                        <w14:solidFill>
                          <w14:schemeClr w14:val="tx1"/>
                        </w14:solidFill>
                      </w14:textFill>
                    </w:rPr>
                  </w:pPr>
                </w:p>
              </w:tc>
              <w:tc>
                <w:tcPr>
                  <w:tcW w:w="519" w:type="pct"/>
                  <w:noWrap w:val="0"/>
                  <w:vAlign w:val="center"/>
                </w:tcPr>
                <w:p w14:paraId="28ABE95D">
                  <w:pPr>
                    <w:pStyle w:val="26"/>
                    <w:bidi w:val="0"/>
                    <w:ind w:firstLine="0" w:firstLineChars="0"/>
                    <w:jc w:val="center"/>
                    <w:rPr>
                      <w:rFonts w:hint="default"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非甲烷总烃</w:t>
                  </w:r>
                </w:p>
              </w:tc>
              <w:tc>
                <w:tcPr>
                  <w:tcW w:w="383" w:type="pct"/>
                  <w:vMerge w:val="continue"/>
                  <w:noWrap w:val="0"/>
                  <w:vAlign w:val="center"/>
                </w:tcPr>
                <w:p w14:paraId="06566831">
                  <w:pPr>
                    <w:pStyle w:val="26"/>
                    <w:bidi w:val="0"/>
                    <w:jc w:val="center"/>
                    <w:rPr>
                      <w:rFonts w:hint="default"/>
                      <w:color w:val="000000" w:themeColor="text1"/>
                      <w:highlight w:val="none"/>
                      <w:lang w:val="en-US" w:eastAsia="zh-CN" w:bidi="ar-SA"/>
                      <w14:textFill>
                        <w14:solidFill>
                          <w14:schemeClr w14:val="tx1"/>
                        </w14:solidFill>
                      </w14:textFill>
                    </w:rPr>
                  </w:pPr>
                </w:p>
              </w:tc>
              <w:tc>
                <w:tcPr>
                  <w:tcW w:w="487" w:type="pct"/>
                  <w:noWrap w:val="0"/>
                  <w:vAlign w:val="center"/>
                </w:tcPr>
                <w:p w14:paraId="2F7ED179">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482" w:type="pct"/>
                  <w:noWrap w:val="0"/>
                  <w:vAlign w:val="center"/>
                </w:tcPr>
                <w:p w14:paraId="7376F651">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0.1149</w:t>
                  </w:r>
                </w:p>
              </w:tc>
              <w:tc>
                <w:tcPr>
                  <w:tcW w:w="420" w:type="pct"/>
                  <w:vMerge w:val="continue"/>
                  <w:noWrap w:val="0"/>
                  <w:vAlign w:val="center"/>
                </w:tcPr>
                <w:p w14:paraId="011260A7">
                  <w:pPr>
                    <w:pStyle w:val="26"/>
                    <w:keepNext w:val="0"/>
                    <w:keepLines w:val="0"/>
                    <w:widowControl w:val="0"/>
                    <w:suppressLineNumbers w:val="0"/>
                    <w:bidi w:val="0"/>
                    <w:spacing w:before="0" w:beforeAutospacing="0" w:after="0" w:afterAutospacing="0"/>
                    <w:ind w:right="0"/>
                    <w:jc w:val="center"/>
                    <w:rPr>
                      <w:rFonts w:hint="eastAsia" w:cs="Times New Roman"/>
                      <w:color w:val="000000" w:themeColor="text1"/>
                      <w:szCs w:val="20"/>
                      <w:highlight w:val="none"/>
                      <w:lang w:val="en-US" w:eastAsia="zh-CN" w:bidi="ar-SA"/>
                      <w14:textFill>
                        <w14:solidFill>
                          <w14:schemeClr w14:val="tx1"/>
                        </w14:solidFill>
                      </w14:textFill>
                    </w:rPr>
                  </w:pPr>
                </w:p>
              </w:tc>
              <w:tc>
                <w:tcPr>
                  <w:tcW w:w="308" w:type="pct"/>
                  <w:noWrap w:val="0"/>
                  <w:vAlign w:val="center"/>
                </w:tcPr>
                <w:p w14:paraId="42B26E14">
                  <w:pPr>
                    <w:pStyle w:val="26"/>
                    <w:keepNext w:val="0"/>
                    <w:keepLines w:val="0"/>
                    <w:widowControl w:val="0"/>
                    <w:suppressLineNumbers w:val="0"/>
                    <w:bidi w:val="0"/>
                    <w:spacing w:before="0" w:beforeAutospacing="0" w:after="0" w:afterAutospacing="0"/>
                    <w:ind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98</w:t>
                  </w:r>
                </w:p>
              </w:tc>
              <w:tc>
                <w:tcPr>
                  <w:tcW w:w="485" w:type="pct"/>
                  <w:noWrap w:val="0"/>
                  <w:vAlign w:val="center"/>
                </w:tcPr>
                <w:p w14:paraId="23763BCF">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472" w:type="pct"/>
                  <w:noWrap w:val="0"/>
                  <w:vAlign w:val="center"/>
                </w:tcPr>
                <w:p w14:paraId="2A6BAA50">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0.1149</w:t>
                  </w:r>
                </w:p>
              </w:tc>
              <w:tc>
                <w:tcPr>
                  <w:tcW w:w="303" w:type="pct"/>
                  <w:noWrap w:val="0"/>
                  <w:vAlign w:val="center"/>
                </w:tcPr>
                <w:p w14:paraId="7C5A909A">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3000</w:t>
                  </w:r>
                </w:p>
              </w:tc>
            </w:tr>
            <w:tr w14:paraId="336D92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2" w:type="pct"/>
                  <w:gridSpan w:val="2"/>
                  <w:noWrap w:val="0"/>
                  <w:vAlign w:val="center"/>
                </w:tcPr>
                <w:p w14:paraId="181AD906">
                  <w:pPr>
                    <w:pStyle w:val="26"/>
                    <w:bidi w:val="0"/>
                    <w:ind w:firstLine="0" w:firstLineChars="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cs="Times New Roman"/>
                      <w:color w:val="000000" w:themeColor="text1"/>
                      <w:highlight w:val="none"/>
                      <w:lang w:val="en-US" w:eastAsia="zh-CN" w:bidi="ar-SA"/>
                      <w14:textFill>
                        <w14:solidFill>
                          <w14:schemeClr w14:val="tx1"/>
                        </w14:solidFill>
                      </w14:textFill>
                    </w:rPr>
                    <w:t>二</w:t>
                  </w:r>
                  <w:r>
                    <w:rPr>
                      <w:rFonts w:hint="eastAsia" w:ascii="Times New Roman" w:hAnsi="Times New Roman" w:cs="Times New Roman"/>
                      <w:color w:val="000000" w:themeColor="text1"/>
                      <w:highlight w:val="none"/>
                      <w:lang w:val="en-US" w:eastAsia="zh-CN" w:bidi="ar-SA"/>
                      <w14:textFill>
                        <w14:solidFill>
                          <w14:schemeClr w14:val="tx1"/>
                        </w14:solidFill>
                      </w14:textFill>
                    </w:rPr>
                    <w:t>期乙醇储罐呼吸废气</w:t>
                  </w:r>
                </w:p>
              </w:tc>
              <w:tc>
                <w:tcPr>
                  <w:tcW w:w="371" w:type="pct"/>
                  <w:vMerge w:val="continue"/>
                  <w:noWrap w:val="0"/>
                  <w:vAlign w:val="center"/>
                </w:tcPr>
                <w:p w14:paraId="5412DD46">
                  <w:pPr>
                    <w:pStyle w:val="26"/>
                    <w:bidi w:val="0"/>
                    <w:jc w:val="center"/>
                    <w:rPr>
                      <w:rFonts w:hint="default"/>
                      <w:color w:val="000000" w:themeColor="text1"/>
                      <w:highlight w:val="none"/>
                      <w:lang w:val="en-US" w:eastAsia="zh-CN" w:bidi="ar-SA"/>
                      <w14:textFill>
                        <w14:solidFill>
                          <w14:schemeClr w14:val="tx1"/>
                        </w14:solidFill>
                      </w14:textFill>
                    </w:rPr>
                  </w:pPr>
                </w:p>
              </w:tc>
              <w:tc>
                <w:tcPr>
                  <w:tcW w:w="519" w:type="pct"/>
                  <w:noWrap w:val="0"/>
                  <w:vAlign w:val="center"/>
                </w:tcPr>
                <w:p w14:paraId="210F4339">
                  <w:pPr>
                    <w:pStyle w:val="26"/>
                    <w:bidi w:val="0"/>
                    <w:ind w:firstLine="0" w:firstLineChars="0"/>
                    <w:jc w:val="center"/>
                    <w:rPr>
                      <w:rFonts w:hint="eastAsia"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非甲烷总烃</w:t>
                  </w:r>
                </w:p>
              </w:tc>
              <w:tc>
                <w:tcPr>
                  <w:tcW w:w="383" w:type="pct"/>
                  <w:noWrap w:val="0"/>
                  <w:vAlign w:val="center"/>
                </w:tcPr>
                <w:p w14:paraId="4313E66D">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w:t>
                  </w:r>
                </w:p>
              </w:tc>
              <w:tc>
                <w:tcPr>
                  <w:tcW w:w="487" w:type="pct"/>
                  <w:noWrap w:val="0"/>
                  <w:vAlign w:val="center"/>
                </w:tcPr>
                <w:p w14:paraId="2E712BA0">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w:t>
                  </w:r>
                </w:p>
              </w:tc>
              <w:tc>
                <w:tcPr>
                  <w:tcW w:w="482" w:type="pct"/>
                  <w:noWrap w:val="0"/>
                  <w:vAlign w:val="center"/>
                </w:tcPr>
                <w:p w14:paraId="225A27F3">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0.0002</w:t>
                  </w:r>
                </w:p>
              </w:tc>
              <w:tc>
                <w:tcPr>
                  <w:tcW w:w="420" w:type="pct"/>
                  <w:noWrap w:val="0"/>
                  <w:vAlign w:val="center"/>
                </w:tcPr>
                <w:p w14:paraId="685BF8FE">
                  <w:pPr>
                    <w:pStyle w:val="26"/>
                    <w:keepNext w:val="0"/>
                    <w:keepLines w:val="0"/>
                    <w:widowControl w:val="0"/>
                    <w:suppressLineNumbers w:val="0"/>
                    <w:bidi w:val="0"/>
                    <w:spacing w:before="0" w:beforeAutospacing="0" w:after="0" w:afterAutospacing="0"/>
                    <w:ind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w:t>
                  </w:r>
                </w:p>
              </w:tc>
              <w:tc>
                <w:tcPr>
                  <w:tcW w:w="308" w:type="pct"/>
                  <w:noWrap w:val="0"/>
                  <w:vAlign w:val="center"/>
                </w:tcPr>
                <w:p w14:paraId="44125B6D">
                  <w:pPr>
                    <w:pStyle w:val="26"/>
                    <w:keepNext w:val="0"/>
                    <w:keepLines w:val="0"/>
                    <w:widowControl w:val="0"/>
                    <w:suppressLineNumbers w:val="0"/>
                    <w:bidi w:val="0"/>
                    <w:spacing w:before="0" w:beforeAutospacing="0" w:after="0" w:afterAutospacing="0"/>
                    <w:ind w:right="0"/>
                    <w:jc w:val="center"/>
                    <w:rPr>
                      <w:rFonts w:hint="default"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w:t>
                  </w:r>
                </w:p>
              </w:tc>
              <w:tc>
                <w:tcPr>
                  <w:tcW w:w="485" w:type="pct"/>
                  <w:noWrap w:val="0"/>
                  <w:vAlign w:val="center"/>
                </w:tcPr>
                <w:p w14:paraId="30807FEE">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w:t>
                  </w:r>
                </w:p>
              </w:tc>
              <w:tc>
                <w:tcPr>
                  <w:tcW w:w="472" w:type="pct"/>
                  <w:noWrap w:val="0"/>
                  <w:vAlign w:val="center"/>
                </w:tcPr>
                <w:p w14:paraId="6C2198C8">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0.0002</w:t>
                  </w:r>
                </w:p>
              </w:tc>
              <w:tc>
                <w:tcPr>
                  <w:tcW w:w="303" w:type="pct"/>
                  <w:noWrap w:val="0"/>
                  <w:vAlign w:val="center"/>
                </w:tcPr>
                <w:p w14:paraId="449DB538">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w:t>
                  </w:r>
                </w:p>
              </w:tc>
            </w:tr>
            <w:tr w14:paraId="39B512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12"/>
                  <w:noWrap w:val="0"/>
                  <w:vAlign w:val="center"/>
                </w:tcPr>
                <w:p w14:paraId="4C2F1C47">
                  <w:pPr>
                    <w:pStyle w:val="26"/>
                    <w:bidi w:val="0"/>
                    <w:jc w:val="both"/>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注：乙醇储罐呼吸废气的产生速率和排放速率为最大瞬时速率。</w:t>
                  </w:r>
                </w:p>
              </w:tc>
            </w:tr>
          </w:tbl>
          <w:p w14:paraId="2F213390">
            <w:pPr>
              <w:pStyle w:val="30"/>
              <w:bidi w:val="0"/>
              <w:rPr>
                <w:rFonts w:hint="default"/>
                <w:color w:val="000000" w:themeColor="text1"/>
                <w:highlight w:val="none"/>
                <w:lang w:eastAsia="zh-CN"/>
                <w14:textFill>
                  <w14:solidFill>
                    <w14:schemeClr w14:val="tx1"/>
                  </w14:solidFill>
                </w14:textFill>
              </w:rPr>
            </w:pPr>
            <w:bookmarkStart w:id="189" w:name="_Ref9895"/>
            <w:r>
              <w:rPr>
                <w:rFonts w:hint="eastAsia"/>
                <w:color w:val="000000" w:themeColor="text1"/>
                <w:highlight w:val="none"/>
                <w:lang w:val="en-US" w:eastAsia="zh-CN"/>
                <w14:textFill>
                  <w14:solidFill>
                    <w14:schemeClr w14:val="tx1"/>
                  </w14:solidFill>
                </w14:textFill>
              </w:rPr>
              <w:t>二期工程建成后全厂废气产排情况汇总表</w:t>
            </w:r>
            <w:bookmarkEnd w:id="189"/>
          </w:p>
          <w:tbl>
            <w:tblPr>
              <w:tblStyle w:val="18"/>
              <w:tblW w:w="499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1"/>
              <w:gridCol w:w="1538"/>
              <w:gridCol w:w="1350"/>
              <w:gridCol w:w="1023"/>
              <w:gridCol w:w="1268"/>
              <w:gridCol w:w="1187"/>
              <w:gridCol w:w="1077"/>
              <w:gridCol w:w="1152"/>
              <w:gridCol w:w="1227"/>
              <w:gridCol w:w="1105"/>
              <w:gridCol w:w="1646"/>
            </w:tblGrid>
            <w:tr w14:paraId="2CEFCC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874" w:type="pct"/>
                  <w:gridSpan w:val="2"/>
                  <w:vMerge w:val="restart"/>
                  <w:tcBorders>
                    <w:tl2br w:val="nil"/>
                    <w:tr2bl w:val="nil"/>
                  </w:tcBorders>
                  <w:noWrap w:val="0"/>
                  <w:vAlign w:val="center"/>
                </w:tcPr>
                <w:p w14:paraId="09BDA63A">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污染源</w:t>
                  </w:r>
                </w:p>
              </w:tc>
              <w:tc>
                <w:tcPr>
                  <w:tcW w:w="504" w:type="pct"/>
                  <w:vMerge w:val="restart"/>
                  <w:tcBorders>
                    <w:tl2br w:val="nil"/>
                    <w:tr2bl w:val="nil"/>
                  </w:tcBorders>
                  <w:noWrap w:val="0"/>
                  <w:vAlign w:val="center"/>
                </w:tcPr>
                <w:p w14:paraId="0FCFE7A5">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污染物</w:t>
                  </w:r>
                </w:p>
              </w:tc>
              <w:tc>
                <w:tcPr>
                  <w:tcW w:w="382" w:type="pct"/>
                  <w:vMerge w:val="restart"/>
                  <w:tcBorders>
                    <w:tl2br w:val="nil"/>
                    <w:tr2bl w:val="nil"/>
                  </w:tcBorders>
                  <w:noWrap w:val="0"/>
                  <w:vAlign w:val="center"/>
                </w:tcPr>
                <w:p w14:paraId="790CBFEF">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废气量/（m</w:t>
                  </w:r>
                  <w:r>
                    <w:rPr>
                      <w:rFonts w:hint="default" w:ascii="Times New Roman" w:hAnsi="Times New Roman" w:cs="Times New Roman"/>
                      <w:color w:val="000000" w:themeColor="text1"/>
                      <w:szCs w:val="20"/>
                      <w:highlight w:val="none"/>
                      <w:vertAlign w:val="superscript"/>
                      <w:lang w:val="en-US" w:eastAsia="zh-CN" w:bidi="ar-SA"/>
                      <w14:textFill>
                        <w14:solidFill>
                          <w14:schemeClr w14:val="tx1"/>
                        </w14:solidFill>
                      </w14:textFill>
                    </w:rPr>
                    <w:t>3</w:t>
                  </w: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/h）</w:t>
                  </w:r>
                </w:p>
              </w:tc>
              <w:tc>
                <w:tcPr>
                  <w:tcW w:w="1320" w:type="pct"/>
                  <w:gridSpan w:val="3"/>
                  <w:tcBorders>
                    <w:tl2br w:val="nil"/>
                    <w:tr2bl w:val="nil"/>
                  </w:tcBorders>
                  <w:noWrap w:val="0"/>
                  <w:vAlign w:val="center"/>
                </w:tcPr>
                <w:p w14:paraId="4B20A9D9">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污染物产生</w:t>
                  </w:r>
                </w:p>
              </w:tc>
              <w:tc>
                <w:tcPr>
                  <w:tcW w:w="1302" w:type="pct"/>
                  <w:gridSpan w:val="3"/>
                  <w:tcBorders>
                    <w:tl2br w:val="nil"/>
                    <w:tr2bl w:val="nil"/>
                  </w:tcBorders>
                  <w:noWrap w:val="0"/>
                  <w:vAlign w:val="center"/>
                </w:tcPr>
                <w:p w14:paraId="165B56D5">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污染物排放</w:t>
                  </w:r>
                </w:p>
              </w:tc>
              <w:tc>
                <w:tcPr>
                  <w:tcW w:w="615" w:type="pct"/>
                  <w:vMerge w:val="restart"/>
                  <w:tcBorders>
                    <w:tl2br w:val="nil"/>
                    <w:tr2bl w:val="nil"/>
                  </w:tcBorders>
                  <w:noWrap w:val="0"/>
                  <w:vAlign w:val="center"/>
                </w:tcPr>
                <w:p w14:paraId="5742DFBE">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年</w:t>
                  </w: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排放时间/h</w:t>
                  </w:r>
                </w:p>
              </w:tc>
            </w:tr>
            <w:tr w14:paraId="75BF80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874" w:type="pct"/>
                  <w:gridSpan w:val="2"/>
                  <w:vMerge w:val="continue"/>
                  <w:tcBorders>
                    <w:tl2br w:val="nil"/>
                    <w:tr2bl w:val="nil"/>
                  </w:tcBorders>
                  <w:noWrap w:val="0"/>
                  <w:vAlign w:val="center"/>
                </w:tcPr>
                <w:p w14:paraId="1A7B9A8C">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p>
              </w:tc>
              <w:tc>
                <w:tcPr>
                  <w:tcW w:w="504" w:type="pct"/>
                  <w:vMerge w:val="continue"/>
                  <w:tcBorders>
                    <w:tl2br w:val="nil"/>
                    <w:tr2bl w:val="nil"/>
                  </w:tcBorders>
                  <w:noWrap w:val="0"/>
                  <w:vAlign w:val="center"/>
                </w:tcPr>
                <w:p w14:paraId="1DA22401">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p>
              </w:tc>
              <w:tc>
                <w:tcPr>
                  <w:tcW w:w="382" w:type="pct"/>
                  <w:vMerge w:val="continue"/>
                  <w:tcBorders>
                    <w:tl2br w:val="nil"/>
                    <w:tr2bl w:val="nil"/>
                  </w:tcBorders>
                  <w:noWrap w:val="0"/>
                  <w:vAlign w:val="center"/>
                </w:tcPr>
                <w:p w14:paraId="4492C635">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p>
              </w:tc>
              <w:tc>
                <w:tcPr>
                  <w:tcW w:w="474" w:type="pct"/>
                  <w:tcBorders>
                    <w:tl2br w:val="nil"/>
                    <w:tr2bl w:val="nil"/>
                  </w:tcBorders>
                  <w:noWrap w:val="0"/>
                  <w:vAlign w:val="center"/>
                </w:tcPr>
                <w:p w14:paraId="3A402466">
                  <w:pPr>
                    <w:pStyle w:val="26"/>
                    <w:keepNext w:val="0"/>
                    <w:keepLines w:val="0"/>
                    <w:widowControl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产生浓度/（mg/m</w:t>
                  </w:r>
                  <w:r>
                    <w:rPr>
                      <w:rFonts w:hint="default" w:ascii="Times New Roman" w:hAnsi="Times New Roman" w:cs="Times New Roman"/>
                      <w:color w:val="000000" w:themeColor="text1"/>
                      <w:szCs w:val="20"/>
                      <w:highlight w:val="none"/>
                      <w:vertAlign w:val="superscript"/>
                      <w:lang w:val="en-US" w:eastAsia="zh-CN" w:bidi="ar-SA"/>
                      <w14:textFill>
                        <w14:solidFill>
                          <w14:schemeClr w14:val="tx1"/>
                        </w14:solidFill>
                      </w14:textFill>
                    </w:rPr>
                    <w:t>3</w:t>
                  </w: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w:t>
                  </w:r>
                </w:p>
              </w:tc>
              <w:tc>
                <w:tcPr>
                  <w:tcW w:w="443" w:type="pct"/>
                  <w:tcBorders>
                    <w:tl2br w:val="nil"/>
                    <w:tr2bl w:val="nil"/>
                  </w:tcBorders>
                  <w:noWrap w:val="0"/>
                  <w:vAlign w:val="center"/>
                </w:tcPr>
                <w:p w14:paraId="69A16FD3">
                  <w:pPr>
                    <w:pStyle w:val="26"/>
                    <w:keepNext w:val="0"/>
                    <w:keepLines w:val="0"/>
                    <w:widowControl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产生</w:t>
                  </w:r>
                  <w:r>
                    <w:rPr>
                      <w:rFonts w:hint="eastAsia" w:cs="Times New Roman"/>
                      <w:color w:val="000000" w:themeColor="text1"/>
                      <w:szCs w:val="20"/>
                      <w:highlight w:val="none"/>
                      <w:lang w:val="en-US" w:eastAsia="zh-CN" w:bidi="ar-SA"/>
                      <w14:textFill>
                        <w14:solidFill>
                          <w14:schemeClr w14:val="tx1"/>
                        </w14:solidFill>
                      </w14:textFill>
                    </w:rPr>
                    <w:t>速率</w:t>
                  </w: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/（kg/h）</w:t>
                  </w:r>
                </w:p>
              </w:tc>
              <w:tc>
                <w:tcPr>
                  <w:tcW w:w="402" w:type="pct"/>
                  <w:tcBorders>
                    <w:tl2br w:val="nil"/>
                    <w:tr2bl w:val="nil"/>
                  </w:tcBorders>
                  <w:noWrap w:val="0"/>
                  <w:vAlign w:val="center"/>
                </w:tcPr>
                <w:p w14:paraId="33C8C78A">
                  <w:pPr>
                    <w:pStyle w:val="26"/>
                    <w:keepNext w:val="0"/>
                    <w:keepLines w:val="0"/>
                    <w:widowControl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eastAsia" w:ascii="Times New Roman" w:hAnsi="Times New Roman" w:cs="Times New Roman"/>
                      <w:color w:val="000000" w:themeColor="text1"/>
                      <w:szCs w:val="20"/>
                      <w:highlight w:val="none"/>
                      <w:lang w:val="en-US" w:eastAsia="zh-CN" w:bidi="ar-SA"/>
                      <w14:textFill>
                        <w14:solidFill>
                          <w14:schemeClr w14:val="tx1"/>
                        </w14:solidFill>
                      </w14:textFill>
                    </w:rPr>
                    <w:t>产生量/（t/a）</w:t>
                  </w:r>
                </w:p>
              </w:tc>
              <w:tc>
                <w:tcPr>
                  <w:tcW w:w="430" w:type="pct"/>
                  <w:tcBorders>
                    <w:tl2br w:val="nil"/>
                    <w:tr2bl w:val="nil"/>
                  </w:tcBorders>
                  <w:noWrap w:val="0"/>
                  <w:vAlign w:val="center"/>
                </w:tcPr>
                <w:p w14:paraId="5D650E31">
                  <w:pPr>
                    <w:pStyle w:val="26"/>
                    <w:keepNext w:val="0"/>
                    <w:keepLines w:val="0"/>
                    <w:widowControl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排放浓度/（mg/m</w:t>
                  </w:r>
                  <w:r>
                    <w:rPr>
                      <w:rFonts w:hint="default" w:ascii="Times New Roman" w:hAnsi="Times New Roman" w:cs="Times New Roman"/>
                      <w:color w:val="000000" w:themeColor="text1"/>
                      <w:szCs w:val="20"/>
                      <w:highlight w:val="none"/>
                      <w:vertAlign w:val="superscript"/>
                      <w:lang w:val="en-US" w:eastAsia="zh-CN" w:bidi="ar-SA"/>
                      <w14:textFill>
                        <w14:solidFill>
                          <w14:schemeClr w14:val="tx1"/>
                        </w14:solidFill>
                      </w14:textFill>
                    </w:rPr>
                    <w:t>3</w:t>
                  </w: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w:t>
                  </w:r>
                </w:p>
              </w:tc>
              <w:tc>
                <w:tcPr>
                  <w:tcW w:w="458" w:type="pct"/>
                  <w:tcBorders>
                    <w:tl2br w:val="nil"/>
                    <w:tr2bl w:val="nil"/>
                  </w:tcBorders>
                  <w:noWrap w:val="0"/>
                  <w:vAlign w:val="center"/>
                </w:tcPr>
                <w:p w14:paraId="29668DA1">
                  <w:pPr>
                    <w:pStyle w:val="26"/>
                    <w:keepNext w:val="0"/>
                    <w:keepLines w:val="0"/>
                    <w:widowControl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排放</w:t>
                  </w:r>
                  <w:r>
                    <w:rPr>
                      <w:rFonts w:hint="eastAsia" w:cs="Times New Roman"/>
                      <w:color w:val="000000" w:themeColor="text1"/>
                      <w:szCs w:val="20"/>
                      <w:highlight w:val="none"/>
                      <w:lang w:val="en-US" w:eastAsia="zh-CN" w:bidi="ar-SA"/>
                      <w14:textFill>
                        <w14:solidFill>
                          <w14:schemeClr w14:val="tx1"/>
                        </w14:solidFill>
                      </w14:textFill>
                    </w:rPr>
                    <w:t>速率</w:t>
                  </w: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/（kg/h）</w:t>
                  </w:r>
                </w:p>
              </w:tc>
              <w:tc>
                <w:tcPr>
                  <w:tcW w:w="413" w:type="pct"/>
                  <w:tcBorders>
                    <w:tl2br w:val="nil"/>
                    <w:tr2bl w:val="nil"/>
                  </w:tcBorders>
                  <w:noWrap w:val="0"/>
                  <w:vAlign w:val="center"/>
                </w:tcPr>
                <w:p w14:paraId="47D5C99C">
                  <w:pPr>
                    <w:pStyle w:val="26"/>
                    <w:keepNext w:val="0"/>
                    <w:keepLines w:val="0"/>
                    <w:widowControl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eastAsia" w:ascii="Times New Roman" w:hAnsi="Times New Roman" w:cs="Times New Roman"/>
                      <w:color w:val="000000" w:themeColor="text1"/>
                      <w:szCs w:val="20"/>
                      <w:highlight w:val="none"/>
                      <w:lang w:val="en-US" w:eastAsia="zh-CN" w:bidi="ar-SA"/>
                      <w14:textFill>
                        <w14:solidFill>
                          <w14:schemeClr w14:val="tx1"/>
                        </w14:solidFill>
                      </w14:textFill>
                    </w:rPr>
                    <w:t>排放量/（t/a）</w:t>
                  </w:r>
                </w:p>
              </w:tc>
              <w:tc>
                <w:tcPr>
                  <w:tcW w:w="615" w:type="pct"/>
                  <w:vMerge w:val="continue"/>
                  <w:tcBorders>
                    <w:tl2br w:val="nil"/>
                    <w:tr2bl w:val="nil"/>
                  </w:tcBorders>
                  <w:noWrap w:val="0"/>
                  <w:vAlign w:val="center"/>
                </w:tcPr>
                <w:p w14:paraId="72B1E567">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p>
              </w:tc>
            </w:tr>
            <w:tr w14:paraId="4F40FD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4" w:type="pct"/>
                  <w:gridSpan w:val="2"/>
                  <w:vMerge w:val="restart"/>
                  <w:tcBorders>
                    <w:tl2br w:val="nil"/>
                    <w:tr2bl w:val="nil"/>
                  </w:tcBorders>
                  <w:noWrap w:val="0"/>
                  <w:vAlign w:val="center"/>
                </w:tcPr>
                <w:p w14:paraId="55F88ABA">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排气筒</w:t>
                  </w:r>
                  <w:r>
                    <w:rPr>
                      <w:rFonts w:hint="eastAsia" w:ascii="Times New Roman" w:hAnsi="Times New Roman" w:cs="Times New Roman"/>
                      <w:color w:val="000000" w:themeColor="text1"/>
                      <w:highlight w:val="none"/>
                      <w:lang w:val="en-US" w:eastAsia="zh-CN" w:bidi="ar-SA"/>
                      <w14:textFill>
                        <w14:solidFill>
                          <w14:schemeClr w14:val="tx1"/>
                        </w14:solidFill>
                      </w14:textFill>
                    </w:rPr>
                    <w:t>*</w:t>
                  </w:r>
                  <w:r>
                    <w:rPr>
                      <w:rFonts w:hint="default" w:ascii="Times New Roman" w:hAnsi="Times New Roman" w:cs="Times New Roman"/>
                      <w:color w:val="000000" w:themeColor="text1"/>
                      <w:highlight w:val="none"/>
                      <w:lang w:val="en-US" w:eastAsia="zh-CN" w:bidi="ar-SA"/>
                      <w14:textFill>
                        <w14:solidFill>
                          <w14:schemeClr w14:val="tx1"/>
                        </w14:solidFill>
                      </w14:textFill>
                    </w:rPr>
                    <w:t>DA00</w:t>
                  </w:r>
                  <w:r>
                    <w:rPr>
                      <w:rFonts w:hint="eastAsia" w:ascii="Times New Roman" w:hAnsi="Times New Roman" w:cs="Times New Roman"/>
                      <w:color w:val="000000" w:themeColor="text1"/>
                      <w:highlight w:val="none"/>
                      <w:lang w:val="en-US" w:eastAsia="zh-CN" w:bidi="ar-SA"/>
                      <w14:textFill>
                        <w14:solidFill>
                          <w14:schemeClr w14:val="tx1"/>
                        </w14:solidFill>
                      </w14:textFill>
                    </w:rPr>
                    <w:t>1</w:t>
                  </w:r>
                </w:p>
              </w:tc>
              <w:tc>
                <w:tcPr>
                  <w:tcW w:w="504" w:type="pct"/>
                  <w:tcBorders>
                    <w:tl2br w:val="nil"/>
                    <w:tr2bl w:val="nil"/>
                  </w:tcBorders>
                  <w:noWrap w:val="0"/>
                  <w:vAlign w:val="center"/>
                </w:tcPr>
                <w:p w14:paraId="051F1EDA">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沥青烟</w:t>
                  </w:r>
                </w:p>
              </w:tc>
              <w:tc>
                <w:tcPr>
                  <w:tcW w:w="382" w:type="pct"/>
                  <w:vMerge w:val="restart"/>
                  <w:tcBorders>
                    <w:tl2br w:val="nil"/>
                    <w:tr2bl w:val="nil"/>
                  </w:tcBorders>
                  <w:noWrap w:val="0"/>
                  <w:vAlign w:val="center"/>
                </w:tcPr>
                <w:p w14:paraId="375EC3AE">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18</w:t>
                  </w:r>
                  <w:r>
                    <w:rPr>
                      <w:rFonts w:hint="default"/>
                      <w:color w:val="000000" w:themeColor="text1"/>
                      <w:highlight w:val="none"/>
                      <w:lang w:val="en-US" w:eastAsia="zh-CN" w:bidi="ar-SA"/>
                      <w14:textFill>
                        <w14:solidFill>
                          <w14:schemeClr w14:val="tx1"/>
                        </w14:solidFill>
                      </w14:textFill>
                    </w:rPr>
                    <w:t>000</w:t>
                  </w:r>
                </w:p>
              </w:tc>
              <w:tc>
                <w:tcPr>
                  <w:tcW w:w="1268" w:type="dxa"/>
                  <w:tcBorders>
                    <w:tl2br w:val="nil"/>
                    <w:tr2bl w:val="nil"/>
                  </w:tcBorders>
                  <w:noWrap w:val="0"/>
                  <w:vAlign w:val="center"/>
                </w:tcPr>
                <w:p w14:paraId="284DFB2F">
                  <w:pPr>
                    <w:pStyle w:val="26"/>
                    <w:bidi w:val="0"/>
                    <w:jc w:val="center"/>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7.66</w:t>
                  </w:r>
                </w:p>
              </w:tc>
              <w:tc>
                <w:tcPr>
                  <w:tcW w:w="443" w:type="pct"/>
                  <w:tcBorders>
                    <w:tl2br w:val="nil"/>
                    <w:tr2bl w:val="nil"/>
                  </w:tcBorders>
                  <w:noWrap w:val="0"/>
                  <w:vAlign w:val="center"/>
                </w:tcPr>
                <w:p w14:paraId="3774AD38">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0.1378</w:t>
                  </w:r>
                </w:p>
              </w:tc>
              <w:tc>
                <w:tcPr>
                  <w:tcW w:w="402" w:type="pct"/>
                  <w:tcBorders>
                    <w:tl2br w:val="nil"/>
                    <w:tr2bl w:val="nil"/>
                  </w:tcBorders>
                  <w:noWrap w:val="0"/>
                  <w:vAlign w:val="center"/>
                </w:tcPr>
                <w:p w14:paraId="13BF167A">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0.4134</w:t>
                  </w:r>
                </w:p>
              </w:tc>
              <w:tc>
                <w:tcPr>
                  <w:tcW w:w="1152" w:type="dxa"/>
                  <w:tcBorders>
                    <w:tl2br w:val="nil"/>
                    <w:tr2bl w:val="nil"/>
                  </w:tcBorders>
                  <w:noWrap w:val="0"/>
                  <w:vAlign w:val="center"/>
                </w:tcPr>
                <w:p w14:paraId="44B5BBB7">
                  <w:pPr>
                    <w:pStyle w:val="26"/>
                    <w:bidi w:val="0"/>
                    <w:jc w:val="center"/>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0.38</w:t>
                  </w:r>
                </w:p>
              </w:tc>
              <w:tc>
                <w:tcPr>
                  <w:tcW w:w="458" w:type="pct"/>
                  <w:tcBorders>
                    <w:tl2br w:val="nil"/>
                    <w:tr2bl w:val="nil"/>
                  </w:tcBorders>
                  <w:noWrap w:val="0"/>
                  <w:vAlign w:val="center"/>
                </w:tcPr>
                <w:p w14:paraId="269E6064">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0.0069</w:t>
                  </w:r>
                </w:p>
              </w:tc>
              <w:tc>
                <w:tcPr>
                  <w:tcW w:w="413" w:type="pct"/>
                  <w:tcBorders>
                    <w:tl2br w:val="nil"/>
                    <w:tr2bl w:val="nil"/>
                  </w:tcBorders>
                  <w:noWrap w:val="0"/>
                  <w:vAlign w:val="center"/>
                </w:tcPr>
                <w:p w14:paraId="5B85AC04">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0.0207</w:t>
                  </w:r>
                </w:p>
              </w:tc>
              <w:tc>
                <w:tcPr>
                  <w:tcW w:w="615" w:type="pct"/>
                  <w:tcBorders>
                    <w:tl2br w:val="nil"/>
                    <w:tr2bl w:val="nil"/>
                  </w:tcBorders>
                  <w:noWrap w:val="0"/>
                  <w:vAlign w:val="center"/>
                </w:tcPr>
                <w:p w14:paraId="644A067A">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3000</w:t>
                  </w:r>
                </w:p>
              </w:tc>
            </w:tr>
            <w:tr w14:paraId="46A4F0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4" w:type="pct"/>
                  <w:gridSpan w:val="2"/>
                  <w:vMerge w:val="continue"/>
                  <w:tcBorders>
                    <w:tl2br w:val="nil"/>
                    <w:tr2bl w:val="nil"/>
                  </w:tcBorders>
                  <w:noWrap w:val="0"/>
                  <w:vAlign w:val="center"/>
                </w:tcPr>
                <w:p w14:paraId="3F5126E7">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504" w:type="pct"/>
                  <w:tcBorders>
                    <w:tl2br w:val="nil"/>
                    <w:tr2bl w:val="nil"/>
                  </w:tcBorders>
                  <w:noWrap w:val="0"/>
                  <w:vAlign w:val="center"/>
                </w:tcPr>
                <w:p w14:paraId="2C551E0A">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苯并[a]芘</w:t>
                  </w:r>
                </w:p>
              </w:tc>
              <w:tc>
                <w:tcPr>
                  <w:tcW w:w="382" w:type="pct"/>
                  <w:vMerge w:val="continue"/>
                  <w:tcBorders>
                    <w:tl2br w:val="nil"/>
                    <w:tr2bl w:val="nil"/>
                  </w:tcBorders>
                  <w:noWrap w:val="0"/>
                  <w:vAlign w:val="center"/>
                </w:tcPr>
                <w:p w14:paraId="02CFDCB8">
                  <w:pPr>
                    <w:pStyle w:val="26"/>
                    <w:bidi w:val="0"/>
                    <w:jc w:val="center"/>
                    <w:rPr>
                      <w:rFonts w:hint="default"/>
                      <w:color w:val="000000" w:themeColor="text1"/>
                      <w:highlight w:val="none"/>
                      <w:lang w:val="en-US" w:eastAsia="zh-CN" w:bidi="ar-SA"/>
                      <w14:textFill>
                        <w14:solidFill>
                          <w14:schemeClr w14:val="tx1"/>
                        </w14:solidFill>
                      </w14:textFill>
                    </w:rPr>
                  </w:pPr>
                </w:p>
              </w:tc>
              <w:tc>
                <w:tcPr>
                  <w:tcW w:w="1268" w:type="dxa"/>
                  <w:tcBorders>
                    <w:tl2br w:val="nil"/>
                    <w:tr2bl w:val="nil"/>
                  </w:tcBorders>
                  <w:noWrap w:val="0"/>
                  <w:vAlign w:val="center"/>
                </w:tcPr>
                <w:p w14:paraId="21DA8214">
                  <w:pPr>
                    <w:pStyle w:val="26"/>
                    <w:bidi w:val="0"/>
                    <w:jc w:val="center"/>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2.04E-03</w:t>
                  </w:r>
                </w:p>
              </w:tc>
              <w:tc>
                <w:tcPr>
                  <w:tcW w:w="443" w:type="pct"/>
                  <w:tcBorders>
                    <w:tl2br w:val="nil"/>
                    <w:tr2bl w:val="nil"/>
                  </w:tcBorders>
                  <w:noWrap w:val="0"/>
                  <w:vAlign w:val="center"/>
                </w:tcPr>
                <w:p w14:paraId="3EA10E45">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3.68E-05</w:t>
                  </w:r>
                </w:p>
              </w:tc>
              <w:tc>
                <w:tcPr>
                  <w:tcW w:w="402" w:type="pct"/>
                  <w:tcBorders>
                    <w:tl2br w:val="nil"/>
                    <w:tr2bl w:val="nil"/>
                  </w:tcBorders>
                  <w:noWrap w:val="0"/>
                  <w:vAlign w:val="center"/>
                </w:tcPr>
                <w:p w14:paraId="51B96DE1">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1.10E-04</w:t>
                  </w:r>
                </w:p>
              </w:tc>
              <w:tc>
                <w:tcPr>
                  <w:tcW w:w="1152" w:type="dxa"/>
                  <w:tcBorders>
                    <w:tl2br w:val="nil"/>
                    <w:tr2bl w:val="nil"/>
                  </w:tcBorders>
                  <w:noWrap w:val="0"/>
                  <w:vAlign w:val="center"/>
                </w:tcPr>
                <w:p w14:paraId="2D612E76">
                  <w:pPr>
                    <w:pStyle w:val="26"/>
                    <w:bidi w:val="0"/>
                    <w:jc w:val="center"/>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1.02E-04</w:t>
                  </w:r>
                </w:p>
              </w:tc>
              <w:tc>
                <w:tcPr>
                  <w:tcW w:w="1227" w:type="dxa"/>
                  <w:tcBorders>
                    <w:tl2br w:val="nil"/>
                    <w:tr2bl w:val="nil"/>
                  </w:tcBorders>
                  <w:noWrap w:val="0"/>
                  <w:vAlign w:val="center"/>
                </w:tcPr>
                <w:p w14:paraId="7AD14653">
                  <w:pPr>
                    <w:pStyle w:val="26"/>
                    <w:bidi w:val="0"/>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1.84E-06</w:t>
                  </w:r>
                </w:p>
              </w:tc>
              <w:tc>
                <w:tcPr>
                  <w:tcW w:w="413" w:type="pct"/>
                  <w:tcBorders>
                    <w:tl2br w:val="nil"/>
                    <w:tr2bl w:val="nil"/>
                  </w:tcBorders>
                  <w:noWrap w:val="0"/>
                  <w:vAlign w:val="center"/>
                </w:tcPr>
                <w:p w14:paraId="24CE665E">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5.51E-06</w:t>
                  </w:r>
                </w:p>
              </w:tc>
              <w:tc>
                <w:tcPr>
                  <w:tcW w:w="615" w:type="pct"/>
                  <w:tcBorders>
                    <w:tl2br w:val="nil"/>
                    <w:tr2bl w:val="nil"/>
                  </w:tcBorders>
                  <w:noWrap w:val="0"/>
                  <w:vAlign w:val="center"/>
                </w:tcPr>
                <w:p w14:paraId="48C3F613">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3000</w:t>
                  </w:r>
                </w:p>
              </w:tc>
            </w:tr>
            <w:tr w14:paraId="531194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4" w:type="pct"/>
                  <w:gridSpan w:val="2"/>
                  <w:vMerge w:val="continue"/>
                  <w:tcBorders>
                    <w:tl2br w:val="nil"/>
                    <w:tr2bl w:val="nil"/>
                  </w:tcBorders>
                  <w:noWrap w:val="0"/>
                  <w:vAlign w:val="center"/>
                </w:tcPr>
                <w:p w14:paraId="27EC570D">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504" w:type="pct"/>
                  <w:tcBorders>
                    <w:tl2br w:val="nil"/>
                    <w:tr2bl w:val="nil"/>
                  </w:tcBorders>
                  <w:noWrap w:val="0"/>
                  <w:vAlign w:val="center"/>
                </w:tcPr>
                <w:p w14:paraId="3299B80F">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颗粒物</w:t>
                  </w:r>
                </w:p>
              </w:tc>
              <w:tc>
                <w:tcPr>
                  <w:tcW w:w="382" w:type="pct"/>
                  <w:vMerge w:val="continue"/>
                  <w:tcBorders>
                    <w:tl2br w:val="nil"/>
                    <w:tr2bl w:val="nil"/>
                  </w:tcBorders>
                  <w:noWrap w:val="0"/>
                  <w:vAlign w:val="center"/>
                </w:tcPr>
                <w:p w14:paraId="7441E80B">
                  <w:pPr>
                    <w:pStyle w:val="26"/>
                    <w:bidi w:val="0"/>
                    <w:jc w:val="center"/>
                    <w:rPr>
                      <w:rFonts w:hint="default"/>
                      <w:color w:val="000000" w:themeColor="text1"/>
                      <w:highlight w:val="none"/>
                      <w:lang w:val="en-US" w:eastAsia="zh-CN" w:bidi="ar-SA"/>
                      <w14:textFill>
                        <w14:solidFill>
                          <w14:schemeClr w14:val="tx1"/>
                        </w14:solidFill>
                      </w14:textFill>
                    </w:rPr>
                  </w:pPr>
                </w:p>
              </w:tc>
              <w:tc>
                <w:tcPr>
                  <w:tcW w:w="1268" w:type="dxa"/>
                  <w:tcBorders>
                    <w:tl2br w:val="nil"/>
                    <w:tr2bl w:val="nil"/>
                  </w:tcBorders>
                  <w:noWrap w:val="0"/>
                  <w:vAlign w:val="center"/>
                </w:tcPr>
                <w:p w14:paraId="5C5C59EF">
                  <w:pPr>
                    <w:pStyle w:val="26"/>
                    <w:bidi w:val="0"/>
                    <w:jc w:val="center"/>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115.24</w:t>
                  </w:r>
                </w:p>
              </w:tc>
              <w:tc>
                <w:tcPr>
                  <w:tcW w:w="1187" w:type="dxa"/>
                  <w:tcBorders>
                    <w:tl2br w:val="nil"/>
                    <w:tr2bl w:val="nil"/>
                  </w:tcBorders>
                  <w:noWrap w:val="0"/>
                  <w:vAlign w:val="center"/>
                </w:tcPr>
                <w:p w14:paraId="44A10268">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2.0743</w:t>
                  </w:r>
                </w:p>
              </w:tc>
              <w:tc>
                <w:tcPr>
                  <w:tcW w:w="1077" w:type="dxa"/>
                  <w:tcBorders>
                    <w:tl2br w:val="nil"/>
                    <w:tr2bl w:val="nil"/>
                  </w:tcBorders>
                  <w:noWrap w:val="0"/>
                  <w:vAlign w:val="center"/>
                </w:tcPr>
                <w:p w14:paraId="514C38E5">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6.2230</w:t>
                  </w:r>
                </w:p>
              </w:tc>
              <w:tc>
                <w:tcPr>
                  <w:tcW w:w="1152" w:type="dxa"/>
                  <w:tcBorders>
                    <w:tl2br w:val="nil"/>
                    <w:tr2bl w:val="nil"/>
                  </w:tcBorders>
                  <w:noWrap w:val="0"/>
                  <w:vAlign w:val="center"/>
                </w:tcPr>
                <w:p w14:paraId="171B695C">
                  <w:pPr>
                    <w:pStyle w:val="26"/>
                    <w:bidi w:val="0"/>
                    <w:jc w:val="center"/>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1.15</w:t>
                  </w:r>
                </w:p>
              </w:tc>
              <w:tc>
                <w:tcPr>
                  <w:tcW w:w="1227" w:type="dxa"/>
                  <w:tcBorders>
                    <w:tl2br w:val="nil"/>
                    <w:tr2bl w:val="nil"/>
                  </w:tcBorders>
                  <w:noWrap w:val="0"/>
                  <w:vAlign w:val="center"/>
                </w:tcPr>
                <w:p w14:paraId="57CC1A45">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0.0207</w:t>
                  </w:r>
                </w:p>
              </w:tc>
              <w:tc>
                <w:tcPr>
                  <w:tcW w:w="1105" w:type="dxa"/>
                  <w:tcBorders>
                    <w:tl2br w:val="nil"/>
                    <w:tr2bl w:val="nil"/>
                  </w:tcBorders>
                  <w:noWrap w:val="0"/>
                  <w:vAlign w:val="center"/>
                </w:tcPr>
                <w:p w14:paraId="6513009F">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0.0622</w:t>
                  </w:r>
                </w:p>
              </w:tc>
              <w:tc>
                <w:tcPr>
                  <w:tcW w:w="615" w:type="pct"/>
                  <w:tcBorders>
                    <w:tl2br w:val="nil"/>
                    <w:tr2bl w:val="nil"/>
                  </w:tcBorders>
                  <w:noWrap w:val="0"/>
                  <w:vAlign w:val="center"/>
                </w:tcPr>
                <w:p w14:paraId="33AED690">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3000</w:t>
                  </w:r>
                </w:p>
              </w:tc>
            </w:tr>
            <w:tr w14:paraId="78BEC9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4" w:type="pct"/>
                  <w:gridSpan w:val="2"/>
                  <w:vMerge w:val="continue"/>
                  <w:tcBorders>
                    <w:tl2br w:val="nil"/>
                    <w:tr2bl w:val="nil"/>
                  </w:tcBorders>
                  <w:noWrap w:val="0"/>
                  <w:vAlign w:val="center"/>
                </w:tcPr>
                <w:p w14:paraId="09E9A67F">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504" w:type="pct"/>
                  <w:tcBorders>
                    <w:tl2br w:val="nil"/>
                    <w:tr2bl w:val="nil"/>
                  </w:tcBorders>
                  <w:noWrap w:val="0"/>
                  <w:vAlign w:val="center"/>
                </w:tcPr>
                <w:p w14:paraId="308E21E7">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非甲烷总烃</w:t>
                  </w:r>
                </w:p>
              </w:tc>
              <w:tc>
                <w:tcPr>
                  <w:tcW w:w="382" w:type="pct"/>
                  <w:vMerge w:val="continue"/>
                  <w:tcBorders>
                    <w:tl2br w:val="nil"/>
                    <w:tr2bl w:val="nil"/>
                  </w:tcBorders>
                  <w:noWrap w:val="0"/>
                  <w:vAlign w:val="center"/>
                </w:tcPr>
                <w:p w14:paraId="1CD70D80">
                  <w:pPr>
                    <w:pStyle w:val="26"/>
                    <w:bidi w:val="0"/>
                    <w:jc w:val="center"/>
                    <w:rPr>
                      <w:rFonts w:hint="default"/>
                      <w:color w:val="000000" w:themeColor="text1"/>
                      <w:highlight w:val="none"/>
                      <w:lang w:val="en-US" w:eastAsia="zh-CN" w:bidi="ar-SA"/>
                      <w14:textFill>
                        <w14:solidFill>
                          <w14:schemeClr w14:val="tx1"/>
                        </w14:solidFill>
                      </w14:textFill>
                    </w:rPr>
                  </w:pPr>
                </w:p>
              </w:tc>
              <w:tc>
                <w:tcPr>
                  <w:tcW w:w="1268" w:type="dxa"/>
                  <w:tcBorders>
                    <w:tl2br w:val="nil"/>
                    <w:tr2bl w:val="nil"/>
                  </w:tcBorders>
                  <w:noWrap w:val="0"/>
                  <w:vAlign w:val="center"/>
                </w:tcPr>
                <w:p w14:paraId="64A05552">
                  <w:pPr>
                    <w:pStyle w:val="26"/>
                    <w:bidi w:val="0"/>
                    <w:jc w:val="center"/>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700.07</w:t>
                  </w:r>
                </w:p>
              </w:tc>
              <w:tc>
                <w:tcPr>
                  <w:tcW w:w="1187" w:type="dxa"/>
                  <w:tcBorders>
                    <w:tl2br w:val="nil"/>
                    <w:tr2bl w:val="nil"/>
                  </w:tcBorders>
                  <w:noWrap w:val="0"/>
                  <w:vAlign w:val="center"/>
                </w:tcPr>
                <w:p w14:paraId="58A8F56C">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12.6013</w:t>
                  </w:r>
                </w:p>
              </w:tc>
              <w:tc>
                <w:tcPr>
                  <w:tcW w:w="1077" w:type="dxa"/>
                  <w:tcBorders>
                    <w:tl2br w:val="nil"/>
                    <w:tr2bl w:val="nil"/>
                  </w:tcBorders>
                  <w:noWrap w:val="0"/>
                  <w:vAlign w:val="center"/>
                </w:tcPr>
                <w:p w14:paraId="50EA3C01">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39.7540</w:t>
                  </w:r>
                </w:p>
              </w:tc>
              <w:tc>
                <w:tcPr>
                  <w:tcW w:w="1152" w:type="dxa"/>
                  <w:tcBorders>
                    <w:tl2br w:val="nil"/>
                    <w:tr2bl w:val="nil"/>
                  </w:tcBorders>
                  <w:noWrap w:val="0"/>
                  <w:vAlign w:val="center"/>
                </w:tcPr>
                <w:p w14:paraId="26BF5BD7">
                  <w:pPr>
                    <w:pStyle w:val="26"/>
                    <w:bidi w:val="0"/>
                    <w:jc w:val="center"/>
                    <w:rPr>
                      <w:rFonts w:hint="default"/>
                      <w:color w:val="000000" w:themeColor="text1"/>
                      <w:lang w:val="en-US" w:eastAsia="zh-CN" w:bidi="ar-SA"/>
                      <w14:textFill>
                        <w14:solidFill>
                          <w14:schemeClr w14:val="tx1"/>
                        </w14:solidFill>
                      </w14:textFill>
                    </w:rPr>
                  </w:pPr>
                  <w:r>
                    <w:rPr>
                      <w:rFonts w:hint="default"/>
                      <w:color w:val="000000" w:themeColor="text1"/>
                      <w:lang w:val="en-US" w:eastAsia="zh-CN" w:bidi="ar-SA"/>
                      <w14:textFill>
                        <w14:solidFill>
                          <w14:schemeClr w14:val="tx1"/>
                        </w14:solidFill>
                      </w14:textFill>
                    </w:rPr>
                    <w:t>35.00</w:t>
                  </w:r>
                </w:p>
              </w:tc>
              <w:tc>
                <w:tcPr>
                  <w:tcW w:w="1227" w:type="dxa"/>
                  <w:tcBorders>
                    <w:tl2br w:val="nil"/>
                    <w:tr2bl w:val="nil"/>
                  </w:tcBorders>
                  <w:noWrap w:val="0"/>
                  <w:vAlign w:val="center"/>
                </w:tcPr>
                <w:p w14:paraId="20197E17">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0.6301</w:t>
                  </w:r>
                </w:p>
              </w:tc>
              <w:tc>
                <w:tcPr>
                  <w:tcW w:w="1105" w:type="dxa"/>
                  <w:tcBorders>
                    <w:tl2br w:val="nil"/>
                    <w:tr2bl w:val="nil"/>
                  </w:tcBorders>
                  <w:noWrap w:val="0"/>
                  <w:vAlign w:val="center"/>
                </w:tcPr>
                <w:p w14:paraId="69BB993A">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1.9877</w:t>
                  </w:r>
                </w:p>
              </w:tc>
              <w:tc>
                <w:tcPr>
                  <w:tcW w:w="615" w:type="pct"/>
                  <w:tcBorders>
                    <w:tl2br w:val="nil"/>
                    <w:tr2bl w:val="nil"/>
                  </w:tcBorders>
                  <w:noWrap w:val="0"/>
                  <w:vAlign w:val="center"/>
                </w:tcPr>
                <w:p w14:paraId="616CB6B0">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1200/3600/3000</w:t>
                  </w:r>
                </w:p>
              </w:tc>
            </w:tr>
            <w:tr w14:paraId="5C4422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9" w:type="pct"/>
                  <w:vMerge w:val="restart"/>
                  <w:tcBorders>
                    <w:tl2br w:val="nil"/>
                    <w:tr2bl w:val="nil"/>
                  </w:tcBorders>
                  <w:noWrap w:val="0"/>
                  <w:vAlign w:val="center"/>
                </w:tcPr>
                <w:p w14:paraId="5D06DEED">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无组织排放</w:t>
                  </w:r>
                </w:p>
              </w:tc>
              <w:tc>
                <w:tcPr>
                  <w:tcW w:w="574" w:type="pct"/>
                  <w:vMerge w:val="restart"/>
                  <w:tcBorders>
                    <w:tl2br w:val="nil"/>
                    <w:tr2bl w:val="nil"/>
                  </w:tcBorders>
                  <w:noWrap w:val="0"/>
                  <w:vAlign w:val="center"/>
                </w:tcPr>
                <w:p w14:paraId="1A214A56">
                  <w:pPr>
                    <w:pStyle w:val="26"/>
                    <w:bidi w:val="0"/>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w:t>
                  </w:r>
                  <w:r>
                    <w:rPr>
                      <w:color w:val="000000" w:themeColor="text1"/>
                      <w:highlight w:val="none"/>
                      <w:lang w:val="en-US" w:eastAsia="zh-CN" w:bidi="ar-SA"/>
                      <w14:textFill>
                        <w14:solidFill>
                          <w14:schemeClr w14:val="tx1"/>
                        </w14:solidFill>
                      </w14:textFill>
                    </w:rPr>
                    <w:t>车间（烘干、引弧放电、</w:t>
                  </w:r>
                  <w:r>
                    <w:rPr>
                      <w:rFonts w:hint="eastAsia" w:cs="Times New Roman"/>
                      <w:color w:val="000000" w:themeColor="text1"/>
                      <w:highlight w:val="none"/>
                      <w:lang w:val="en-US" w:eastAsia="zh-CN" w:bidi="ar-SA"/>
                      <w14:textFill>
                        <w14:solidFill>
                          <w14:schemeClr w14:val="tx1"/>
                        </w14:solidFill>
                      </w14:textFill>
                    </w:rPr>
                    <w:t>砂磨、干燥、</w:t>
                  </w:r>
                  <w:r>
                    <w:rPr>
                      <w:color w:val="000000" w:themeColor="text1"/>
                      <w:highlight w:val="none"/>
                      <w:lang w:val="en-US" w:eastAsia="zh-CN" w:bidi="ar-SA"/>
                      <w14:textFill>
                        <w14:solidFill>
                          <w14:schemeClr w14:val="tx1"/>
                        </w14:solidFill>
                      </w14:textFill>
                    </w:rPr>
                    <w:t>包覆</w:t>
                  </w:r>
                  <w:r>
                    <w:rPr>
                      <w:rFonts w:hint="eastAsia"/>
                      <w:color w:val="000000" w:themeColor="text1"/>
                      <w:highlight w:val="none"/>
                      <w:lang w:val="en-US" w:eastAsia="zh-CN" w:bidi="ar-SA"/>
                      <w14:textFill>
                        <w14:solidFill>
                          <w14:schemeClr w14:val="tx1"/>
                        </w14:solidFill>
                      </w14:textFill>
                    </w:rPr>
                    <w:t>、二次包覆</w:t>
                  </w:r>
                  <w:r>
                    <w:rPr>
                      <w:color w:val="000000" w:themeColor="text1"/>
                      <w:highlight w:val="none"/>
                      <w:lang w:val="en-US" w:eastAsia="zh-CN" w:bidi="ar-SA"/>
                      <w14:textFill>
                        <w14:solidFill>
                          <w14:schemeClr w14:val="tx1"/>
                        </w14:solidFill>
                      </w14:textFill>
                    </w:rPr>
                    <w:t>、碳化）</w:t>
                  </w:r>
                </w:p>
              </w:tc>
              <w:tc>
                <w:tcPr>
                  <w:tcW w:w="504" w:type="pct"/>
                  <w:tcBorders>
                    <w:tl2br w:val="nil"/>
                    <w:tr2bl w:val="nil"/>
                  </w:tcBorders>
                  <w:noWrap w:val="0"/>
                  <w:vAlign w:val="center"/>
                </w:tcPr>
                <w:p w14:paraId="792B0EC2">
                  <w:pPr>
                    <w:pStyle w:val="26"/>
                    <w:bidi w:val="0"/>
                    <w:ind w:firstLine="0" w:firstLineChars="0"/>
                    <w:jc w:val="center"/>
                    <w:rPr>
                      <w:rFonts w:hint="default"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沥青烟</w:t>
                  </w:r>
                </w:p>
              </w:tc>
              <w:tc>
                <w:tcPr>
                  <w:tcW w:w="382" w:type="pct"/>
                  <w:vMerge w:val="restart"/>
                  <w:tcBorders>
                    <w:tl2br w:val="nil"/>
                    <w:tr2bl w:val="nil"/>
                  </w:tcBorders>
                  <w:noWrap w:val="0"/>
                  <w:vAlign w:val="center"/>
                </w:tcPr>
                <w:p w14:paraId="59A96570">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474" w:type="pct"/>
                  <w:tcBorders>
                    <w:tl2br w:val="nil"/>
                    <w:tr2bl w:val="nil"/>
                  </w:tcBorders>
                  <w:noWrap w:val="0"/>
                  <w:vAlign w:val="center"/>
                </w:tcPr>
                <w:p w14:paraId="65F8D2AA">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443" w:type="pct"/>
                  <w:tcBorders>
                    <w:tl2br w:val="nil"/>
                    <w:tr2bl w:val="nil"/>
                  </w:tcBorders>
                  <w:noWrap w:val="0"/>
                  <w:vAlign w:val="center"/>
                </w:tcPr>
                <w:p w14:paraId="53E926EB">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0.0008</w:t>
                  </w:r>
                </w:p>
              </w:tc>
              <w:tc>
                <w:tcPr>
                  <w:tcW w:w="402" w:type="pct"/>
                  <w:tcBorders>
                    <w:tl2br w:val="nil"/>
                    <w:tr2bl w:val="nil"/>
                  </w:tcBorders>
                  <w:noWrap w:val="0"/>
                  <w:vAlign w:val="center"/>
                </w:tcPr>
                <w:p w14:paraId="380E685B">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0.0025</w:t>
                  </w:r>
                </w:p>
              </w:tc>
              <w:tc>
                <w:tcPr>
                  <w:tcW w:w="430" w:type="pct"/>
                  <w:tcBorders>
                    <w:tl2br w:val="nil"/>
                    <w:tr2bl w:val="nil"/>
                  </w:tcBorders>
                  <w:noWrap w:val="0"/>
                  <w:vAlign w:val="center"/>
                </w:tcPr>
                <w:p w14:paraId="4351F4BF">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458" w:type="pct"/>
                  <w:tcBorders>
                    <w:tl2br w:val="nil"/>
                    <w:tr2bl w:val="nil"/>
                  </w:tcBorders>
                  <w:noWrap w:val="0"/>
                  <w:vAlign w:val="center"/>
                </w:tcPr>
                <w:p w14:paraId="3C522814">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0.0008</w:t>
                  </w:r>
                </w:p>
              </w:tc>
              <w:tc>
                <w:tcPr>
                  <w:tcW w:w="413" w:type="pct"/>
                  <w:tcBorders>
                    <w:tl2br w:val="nil"/>
                    <w:tr2bl w:val="nil"/>
                  </w:tcBorders>
                  <w:noWrap w:val="0"/>
                  <w:vAlign w:val="center"/>
                </w:tcPr>
                <w:p w14:paraId="148C74B2">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0.0025</w:t>
                  </w:r>
                </w:p>
              </w:tc>
              <w:tc>
                <w:tcPr>
                  <w:tcW w:w="615" w:type="pct"/>
                  <w:tcBorders>
                    <w:tl2br w:val="nil"/>
                    <w:tr2bl w:val="nil"/>
                  </w:tcBorders>
                  <w:noWrap w:val="0"/>
                  <w:vAlign w:val="center"/>
                </w:tcPr>
                <w:p w14:paraId="112CCF32">
                  <w:pPr>
                    <w:pStyle w:val="26"/>
                    <w:bidi w:val="0"/>
                    <w:jc w:val="center"/>
                    <w:rPr>
                      <w:rFonts w:hint="eastAsia"/>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3000</w:t>
                  </w:r>
                </w:p>
              </w:tc>
            </w:tr>
            <w:tr w14:paraId="5E9E78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9" w:type="pct"/>
                  <w:vMerge w:val="continue"/>
                  <w:tcBorders>
                    <w:tl2br w:val="nil"/>
                    <w:tr2bl w:val="nil"/>
                  </w:tcBorders>
                  <w:noWrap w:val="0"/>
                  <w:vAlign w:val="center"/>
                </w:tcPr>
                <w:p w14:paraId="2C90F2A7">
                  <w:pPr>
                    <w:pStyle w:val="26"/>
                    <w:bidi w:val="0"/>
                    <w:jc w:val="center"/>
                    <w:rPr>
                      <w:rFonts w:hint="eastAsia"/>
                      <w:color w:val="000000" w:themeColor="text1"/>
                      <w:highlight w:val="none"/>
                      <w:lang w:val="en-US" w:eastAsia="zh-CN" w:bidi="ar-SA"/>
                      <w14:textFill>
                        <w14:solidFill>
                          <w14:schemeClr w14:val="tx1"/>
                        </w14:solidFill>
                      </w14:textFill>
                    </w:rPr>
                  </w:pPr>
                </w:p>
              </w:tc>
              <w:tc>
                <w:tcPr>
                  <w:tcW w:w="574" w:type="pct"/>
                  <w:vMerge w:val="continue"/>
                  <w:tcBorders>
                    <w:tl2br w:val="nil"/>
                    <w:tr2bl w:val="nil"/>
                  </w:tcBorders>
                  <w:noWrap w:val="0"/>
                  <w:vAlign w:val="center"/>
                </w:tcPr>
                <w:p w14:paraId="3AC50D2A">
                  <w:pPr>
                    <w:pStyle w:val="26"/>
                    <w:bidi w:val="0"/>
                    <w:rPr>
                      <w:rFonts w:hint="eastAsia"/>
                      <w:color w:val="000000" w:themeColor="text1"/>
                      <w:highlight w:val="none"/>
                      <w:lang w:val="en-US" w:eastAsia="zh-CN" w:bidi="ar-SA"/>
                      <w14:textFill>
                        <w14:solidFill>
                          <w14:schemeClr w14:val="tx1"/>
                        </w14:solidFill>
                      </w14:textFill>
                    </w:rPr>
                  </w:pPr>
                </w:p>
              </w:tc>
              <w:tc>
                <w:tcPr>
                  <w:tcW w:w="504" w:type="pct"/>
                  <w:tcBorders>
                    <w:tl2br w:val="nil"/>
                    <w:tr2bl w:val="nil"/>
                  </w:tcBorders>
                  <w:noWrap w:val="0"/>
                  <w:vAlign w:val="center"/>
                </w:tcPr>
                <w:p w14:paraId="39A95B30">
                  <w:pPr>
                    <w:pStyle w:val="26"/>
                    <w:bidi w:val="0"/>
                    <w:ind w:firstLine="0" w:firstLineChars="0"/>
                    <w:jc w:val="center"/>
                    <w:rPr>
                      <w:rFonts w:hint="eastAsia"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苯并[a]芘</w:t>
                  </w:r>
                </w:p>
              </w:tc>
              <w:tc>
                <w:tcPr>
                  <w:tcW w:w="382" w:type="pct"/>
                  <w:vMerge w:val="continue"/>
                  <w:tcBorders>
                    <w:tl2br w:val="nil"/>
                    <w:tr2bl w:val="nil"/>
                  </w:tcBorders>
                  <w:noWrap w:val="0"/>
                  <w:vAlign w:val="center"/>
                </w:tcPr>
                <w:p w14:paraId="6080D872">
                  <w:pPr>
                    <w:pStyle w:val="26"/>
                    <w:bidi w:val="0"/>
                    <w:jc w:val="center"/>
                    <w:rPr>
                      <w:rFonts w:hint="default"/>
                      <w:color w:val="000000" w:themeColor="text1"/>
                      <w:highlight w:val="none"/>
                      <w:lang w:val="en-US" w:eastAsia="zh-CN" w:bidi="ar-SA"/>
                      <w14:textFill>
                        <w14:solidFill>
                          <w14:schemeClr w14:val="tx1"/>
                        </w14:solidFill>
                      </w14:textFill>
                    </w:rPr>
                  </w:pPr>
                </w:p>
              </w:tc>
              <w:tc>
                <w:tcPr>
                  <w:tcW w:w="474" w:type="pct"/>
                  <w:tcBorders>
                    <w:tl2br w:val="nil"/>
                    <w:tr2bl w:val="nil"/>
                  </w:tcBorders>
                  <w:noWrap w:val="0"/>
                  <w:vAlign w:val="center"/>
                </w:tcPr>
                <w:p w14:paraId="5AC3C8D7">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443" w:type="pct"/>
                  <w:tcBorders>
                    <w:tl2br w:val="nil"/>
                    <w:tr2bl w:val="nil"/>
                  </w:tcBorders>
                  <w:noWrap w:val="0"/>
                  <w:vAlign w:val="center"/>
                </w:tcPr>
                <w:p w14:paraId="5B51F797">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2.25E-07</w:t>
                  </w:r>
                </w:p>
              </w:tc>
              <w:tc>
                <w:tcPr>
                  <w:tcW w:w="402" w:type="pct"/>
                  <w:tcBorders>
                    <w:tl2br w:val="nil"/>
                    <w:tr2bl w:val="nil"/>
                  </w:tcBorders>
                  <w:noWrap w:val="0"/>
                  <w:vAlign w:val="center"/>
                </w:tcPr>
                <w:p w14:paraId="31DB73EF">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6.75E-07</w:t>
                  </w:r>
                </w:p>
              </w:tc>
              <w:tc>
                <w:tcPr>
                  <w:tcW w:w="430" w:type="pct"/>
                  <w:tcBorders>
                    <w:tl2br w:val="nil"/>
                    <w:tr2bl w:val="nil"/>
                  </w:tcBorders>
                  <w:noWrap w:val="0"/>
                  <w:vAlign w:val="center"/>
                </w:tcPr>
                <w:p w14:paraId="72B4CB89">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458" w:type="pct"/>
                  <w:tcBorders>
                    <w:tl2br w:val="nil"/>
                    <w:tr2bl w:val="nil"/>
                  </w:tcBorders>
                  <w:noWrap w:val="0"/>
                  <w:vAlign w:val="center"/>
                </w:tcPr>
                <w:p w14:paraId="50C76FB0">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2.25E-07</w:t>
                  </w:r>
                </w:p>
              </w:tc>
              <w:tc>
                <w:tcPr>
                  <w:tcW w:w="413" w:type="pct"/>
                  <w:tcBorders>
                    <w:tl2br w:val="nil"/>
                    <w:tr2bl w:val="nil"/>
                  </w:tcBorders>
                  <w:noWrap w:val="0"/>
                  <w:vAlign w:val="center"/>
                </w:tcPr>
                <w:p w14:paraId="08A06F74">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6.75E-07</w:t>
                  </w:r>
                </w:p>
              </w:tc>
              <w:tc>
                <w:tcPr>
                  <w:tcW w:w="615" w:type="pct"/>
                  <w:tcBorders>
                    <w:tl2br w:val="nil"/>
                    <w:tr2bl w:val="nil"/>
                  </w:tcBorders>
                  <w:noWrap w:val="0"/>
                  <w:vAlign w:val="center"/>
                </w:tcPr>
                <w:p w14:paraId="0638FE2B">
                  <w:pPr>
                    <w:pStyle w:val="26"/>
                    <w:bidi w:val="0"/>
                    <w:jc w:val="center"/>
                    <w:rPr>
                      <w:rFonts w:hint="eastAsia"/>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3000</w:t>
                  </w:r>
                </w:p>
              </w:tc>
            </w:tr>
            <w:tr w14:paraId="7E458D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9" w:type="pct"/>
                  <w:vMerge w:val="continue"/>
                  <w:tcBorders>
                    <w:tl2br w:val="nil"/>
                    <w:tr2bl w:val="nil"/>
                  </w:tcBorders>
                  <w:noWrap w:val="0"/>
                  <w:vAlign w:val="center"/>
                </w:tcPr>
                <w:p w14:paraId="0E75FD16">
                  <w:pPr>
                    <w:pStyle w:val="26"/>
                    <w:bidi w:val="0"/>
                    <w:jc w:val="center"/>
                    <w:rPr>
                      <w:rFonts w:hint="eastAsia"/>
                      <w:color w:val="000000" w:themeColor="text1"/>
                      <w:highlight w:val="none"/>
                      <w:lang w:val="en-US" w:eastAsia="zh-CN" w:bidi="ar-SA"/>
                      <w14:textFill>
                        <w14:solidFill>
                          <w14:schemeClr w14:val="tx1"/>
                        </w14:solidFill>
                      </w14:textFill>
                    </w:rPr>
                  </w:pPr>
                </w:p>
              </w:tc>
              <w:tc>
                <w:tcPr>
                  <w:tcW w:w="574" w:type="pct"/>
                  <w:vMerge w:val="continue"/>
                  <w:tcBorders>
                    <w:tl2br w:val="nil"/>
                    <w:tr2bl w:val="nil"/>
                  </w:tcBorders>
                  <w:noWrap w:val="0"/>
                  <w:vAlign w:val="center"/>
                </w:tcPr>
                <w:p w14:paraId="197FA997">
                  <w:pPr>
                    <w:pStyle w:val="26"/>
                    <w:bidi w:val="0"/>
                    <w:rPr>
                      <w:rFonts w:hint="eastAsia"/>
                      <w:color w:val="000000" w:themeColor="text1"/>
                      <w:highlight w:val="none"/>
                      <w:lang w:val="en-US" w:eastAsia="zh-CN" w:bidi="ar-SA"/>
                      <w14:textFill>
                        <w14:solidFill>
                          <w14:schemeClr w14:val="tx1"/>
                        </w14:solidFill>
                      </w14:textFill>
                    </w:rPr>
                  </w:pPr>
                </w:p>
              </w:tc>
              <w:tc>
                <w:tcPr>
                  <w:tcW w:w="504" w:type="pct"/>
                  <w:tcBorders>
                    <w:tl2br w:val="nil"/>
                    <w:tr2bl w:val="nil"/>
                  </w:tcBorders>
                  <w:noWrap w:val="0"/>
                  <w:vAlign w:val="center"/>
                </w:tcPr>
                <w:p w14:paraId="3BAC95FC">
                  <w:pPr>
                    <w:pStyle w:val="26"/>
                    <w:bidi w:val="0"/>
                    <w:ind w:firstLine="0" w:firstLineChars="0"/>
                    <w:jc w:val="center"/>
                    <w:rPr>
                      <w:rFonts w:hint="eastAsia"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颗粒物</w:t>
                  </w:r>
                </w:p>
              </w:tc>
              <w:tc>
                <w:tcPr>
                  <w:tcW w:w="382" w:type="pct"/>
                  <w:vMerge w:val="continue"/>
                  <w:tcBorders>
                    <w:tl2br w:val="nil"/>
                    <w:tr2bl w:val="nil"/>
                  </w:tcBorders>
                  <w:noWrap w:val="0"/>
                  <w:vAlign w:val="center"/>
                </w:tcPr>
                <w:p w14:paraId="49E14D59">
                  <w:pPr>
                    <w:pStyle w:val="26"/>
                    <w:bidi w:val="0"/>
                    <w:jc w:val="center"/>
                    <w:rPr>
                      <w:rFonts w:hint="default"/>
                      <w:color w:val="000000" w:themeColor="text1"/>
                      <w:highlight w:val="none"/>
                      <w:lang w:val="en-US" w:eastAsia="zh-CN" w:bidi="ar-SA"/>
                      <w14:textFill>
                        <w14:solidFill>
                          <w14:schemeClr w14:val="tx1"/>
                        </w14:solidFill>
                      </w14:textFill>
                    </w:rPr>
                  </w:pPr>
                </w:p>
              </w:tc>
              <w:tc>
                <w:tcPr>
                  <w:tcW w:w="474" w:type="pct"/>
                  <w:tcBorders>
                    <w:tl2br w:val="nil"/>
                    <w:tr2bl w:val="nil"/>
                  </w:tcBorders>
                  <w:noWrap w:val="0"/>
                  <w:vAlign w:val="center"/>
                </w:tcPr>
                <w:p w14:paraId="42AC748E">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443" w:type="pct"/>
                  <w:tcBorders>
                    <w:tl2br w:val="nil"/>
                    <w:tr2bl w:val="nil"/>
                  </w:tcBorders>
                  <w:noWrap w:val="0"/>
                  <w:vAlign w:val="center"/>
                </w:tcPr>
                <w:p w14:paraId="541E81F8">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0.0127</w:t>
                  </w:r>
                </w:p>
              </w:tc>
              <w:tc>
                <w:tcPr>
                  <w:tcW w:w="402" w:type="pct"/>
                  <w:tcBorders>
                    <w:tl2br w:val="nil"/>
                    <w:tr2bl w:val="nil"/>
                  </w:tcBorders>
                  <w:noWrap w:val="0"/>
                  <w:vAlign w:val="center"/>
                </w:tcPr>
                <w:p w14:paraId="5536F836">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0.0381</w:t>
                  </w:r>
                </w:p>
              </w:tc>
              <w:tc>
                <w:tcPr>
                  <w:tcW w:w="430" w:type="pct"/>
                  <w:tcBorders>
                    <w:tl2br w:val="nil"/>
                    <w:tr2bl w:val="nil"/>
                  </w:tcBorders>
                  <w:noWrap w:val="0"/>
                  <w:vAlign w:val="center"/>
                </w:tcPr>
                <w:p w14:paraId="2A5D174A">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458" w:type="pct"/>
                  <w:tcBorders>
                    <w:tl2br w:val="nil"/>
                    <w:tr2bl w:val="nil"/>
                  </w:tcBorders>
                  <w:noWrap w:val="0"/>
                  <w:vAlign w:val="center"/>
                </w:tcPr>
                <w:p w14:paraId="3EC6F84B">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0.0127</w:t>
                  </w:r>
                </w:p>
              </w:tc>
              <w:tc>
                <w:tcPr>
                  <w:tcW w:w="413" w:type="pct"/>
                  <w:tcBorders>
                    <w:tl2br w:val="nil"/>
                    <w:tr2bl w:val="nil"/>
                  </w:tcBorders>
                  <w:noWrap w:val="0"/>
                  <w:vAlign w:val="center"/>
                </w:tcPr>
                <w:p w14:paraId="7AB36344">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0.0381</w:t>
                  </w:r>
                </w:p>
              </w:tc>
              <w:tc>
                <w:tcPr>
                  <w:tcW w:w="615" w:type="pct"/>
                  <w:tcBorders>
                    <w:tl2br w:val="nil"/>
                    <w:tr2bl w:val="nil"/>
                  </w:tcBorders>
                  <w:noWrap w:val="0"/>
                  <w:vAlign w:val="center"/>
                </w:tcPr>
                <w:p w14:paraId="1F139FDA">
                  <w:pPr>
                    <w:pStyle w:val="26"/>
                    <w:bidi w:val="0"/>
                    <w:jc w:val="center"/>
                    <w:rPr>
                      <w:rFonts w:hint="eastAsia"/>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3000</w:t>
                  </w:r>
                </w:p>
              </w:tc>
            </w:tr>
            <w:tr w14:paraId="6657C9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9" w:type="pct"/>
                  <w:vMerge w:val="continue"/>
                  <w:tcBorders>
                    <w:tl2br w:val="nil"/>
                    <w:tr2bl w:val="nil"/>
                  </w:tcBorders>
                  <w:noWrap w:val="0"/>
                  <w:vAlign w:val="center"/>
                </w:tcPr>
                <w:p w14:paraId="2A918839">
                  <w:pPr>
                    <w:pStyle w:val="26"/>
                    <w:bidi w:val="0"/>
                    <w:jc w:val="center"/>
                    <w:rPr>
                      <w:rFonts w:hint="eastAsia"/>
                      <w:color w:val="000000" w:themeColor="text1"/>
                      <w:highlight w:val="none"/>
                      <w:lang w:val="en-US" w:eastAsia="zh-CN" w:bidi="ar-SA"/>
                      <w14:textFill>
                        <w14:solidFill>
                          <w14:schemeClr w14:val="tx1"/>
                        </w14:solidFill>
                      </w14:textFill>
                    </w:rPr>
                  </w:pPr>
                </w:p>
              </w:tc>
              <w:tc>
                <w:tcPr>
                  <w:tcW w:w="574" w:type="pct"/>
                  <w:vMerge w:val="continue"/>
                  <w:tcBorders>
                    <w:tl2br w:val="nil"/>
                    <w:tr2bl w:val="nil"/>
                  </w:tcBorders>
                  <w:noWrap w:val="0"/>
                  <w:vAlign w:val="center"/>
                </w:tcPr>
                <w:p w14:paraId="6CE81AF8">
                  <w:pPr>
                    <w:pStyle w:val="26"/>
                    <w:bidi w:val="0"/>
                    <w:rPr>
                      <w:rFonts w:hint="eastAsia"/>
                      <w:color w:val="000000" w:themeColor="text1"/>
                      <w:highlight w:val="none"/>
                      <w:lang w:val="en-US" w:eastAsia="zh-CN" w:bidi="ar-SA"/>
                      <w14:textFill>
                        <w14:solidFill>
                          <w14:schemeClr w14:val="tx1"/>
                        </w14:solidFill>
                      </w14:textFill>
                    </w:rPr>
                  </w:pPr>
                </w:p>
              </w:tc>
              <w:tc>
                <w:tcPr>
                  <w:tcW w:w="504" w:type="pct"/>
                  <w:tcBorders>
                    <w:tl2br w:val="nil"/>
                    <w:tr2bl w:val="nil"/>
                  </w:tcBorders>
                  <w:noWrap w:val="0"/>
                  <w:vAlign w:val="center"/>
                </w:tcPr>
                <w:p w14:paraId="0ED8EFD9">
                  <w:pPr>
                    <w:pStyle w:val="26"/>
                    <w:bidi w:val="0"/>
                    <w:ind w:firstLine="0" w:firstLineChars="0"/>
                    <w:jc w:val="center"/>
                    <w:rPr>
                      <w:rFonts w:hint="eastAsia"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非甲烷总烃</w:t>
                  </w:r>
                </w:p>
              </w:tc>
              <w:tc>
                <w:tcPr>
                  <w:tcW w:w="382" w:type="pct"/>
                  <w:vMerge w:val="continue"/>
                  <w:tcBorders>
                    <w:tl2br w:val="nil"/>
                    <w:tr2bl w:val="nil"/>
                  </w:tcBorders>
                  <w:noWrap w:val="0"/>
                  <w:vAlign w:val="center"/>
                </w:tcPr>
                <w:p w14:paraId="4E2DBB42">
                  <w:pPr>
                    <w:pStyle w:val="26"/>
                    <w:bidi w:val="0"/>
                    <w:jc w:val="center"/>
                    <w:rPr>
                      <w:rFonts w:hint="default"/>
                      <w:color w:val="000000" w:themeColor="text1"/>
                      <w:highlight w:val="none"/>
                      <w:lang w:val="en-US" w:eastAsia="zh-CN" w:bidi="ar-SA"/>
                      <w14:textFill>
                        <w14:solidFill>
                          <w14:schemeClr w14:val="tx1"/>
                        </w14:solidFill>
                      </w14:textFill>
                    </w:rPr>
                  </w:pPr>
                </w:p>
              </w:tc>
              <w:tc>
                <w:tcPr>
                  <w:tcW w:w="474" w:type="pct"/>
                  <w:tcBorders>
                    <w:tl2br w:val="nil"/>
                    <w:tr2bl w:val="nil"/>
                  </w:tcBorders>
                  <w:noWrap w:val="0"/>
                  <w:vAlign w:val="center"/>
                </w:tcPr>
                <w:p w14:paraId="4C6BE1E5">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1187" w:type="dxa"/>
                  <w:tcBorders>
                    <w:tl2br w:val="nil"/>
                    <w:tr2bl w:val="nil"/>
                  </w:tcBorders>
                  <w:noWrap w:val="0"/>
                  <w:vAlign w:val="center"/>
                </w:tcPr>
                <w:p w14:paraId="68EBB840">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0.1154</w:t>
                  </w:r>
                </w:p>
              </w:tc>
              <w:tc>
                <w:tcPr>
                  <w:tcW w:w="1077" w:type="dxa"/>
                  <w:tcBorders>
                    <w:tl2br w:val="nil"/>
                    <w:tr2bl w:val="nil"/>
                  </w:tcBorders>
                  <w:noWrap w:val="0"/>
                  <w:vAlign w:val="center"/>
                </w:tcPr>
                <w:p w14:paraId="48468A88">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0.3811</w:t>
                  </w:r>
                </w:p>
              </w:tc>
              <w:tc>
                <w:tcPr>
                  <w:tcW w:w="1152" w:type="dxa"/>
                  <w:tcBorders>
                    <w:tl2br w:val="nil"/>
                    <w:tr2bl w:val="nil"/>
                  </w:tcBorders>
                  <w:noWrap w:val="0"/>
                  <w:vAlign w:val="center"/>
                </w:tcPr>
                <w:p w14:paraId="0AD0C311">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1227" w:type="dxa"/>
                  <w:tcBorders>
                    <w:tl2br w:val="nil"/>
                    <w:tr2bl w:val="nil"/>
                  </w:tcBorders>
                  <w:noWrap w:val="0"/>
                  <w:vAlign w:val="center"/>
                </w:tcPr>
                <w:p w14:paraId="7DE3EAD3">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0.1154</w:t>
                  </w:r>
                </w:p>
              </w:tc>
              <w:tc>
                <w:tcPr>
                  <w:tcW w:w="1105" w:type="dxa"/>
                  <w:tcBorders>
                    <w:tl2br w:val="nil"/>
                    <w:tr2bl w:val="nil"/>
                  </w:tcBorders>
                  <w:noWrap w:val="0"/>
                  <w:vAlign w:val="center"/>
                </w:tcPr>
                <w:p w14:paraId="57DBA4A1">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0.3811</w:t>
                  </w:r>
                </w:p>
              </w:tc>
              <w:tc>
                <w:tcPr>
                  <w:tcW w:w="615" w:type="pct"/>
                  <w:tcBorders>
                    <w:tl2br w:val="nil"/>
                    <w:tr2bl w:val="nil"/>
                  </w:tcBorders>
                  <w:noWrap w:val="0"/>
                  <w:vAlign w:val="center"/>
                </w:tcPr>
                <w:p w14:paraId="1F85228E">
                  <w:pPr>
                    <w:pStyle w:val="26"/>
                    <w:bidi w:val="0"/>
                    <w:jc w:val="center"/>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1200/3600/3000</w:t>
                  </w:r>
                </w:p>
              </w:tc>
            </w:tr>
            <w:tr w14:paraId="6DD248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9" w:type="pct"/>
                  <w:vMerge w:val="continue"/>
                  <w:tcBorders>
                    <w:tl2br w:val="nil"/>
                    <w:tr2bl w:val="nil"/>
                  </w:tcBorders>
                  <w:noWrap w:val="0"/>
                  <w:vAlign w:val="center"/>
                </w:tcPr>
                <w:p w14:paraId="08BB16B5">
                  <w:pPr>
                    <w:pStyle w:val="26"/>
                    <w:bidi w:val="0"/>
                    <w:jc w:val="center"/>
                    <w:rPr>
                      <w:rFonts w:hint="eastAsia"/>
                      <w:color w:val="000000" w:themeColor="text1"/>
                      <w:highlight w:val="none"/>
                      <w:lang w:val="en-US" w:eastAsia="zh-CN" w:bidi="ar-SA"/>
                      <w14:textFill>
                        <w14:solidFill>
                          <w14:schemeClr w14:val="tx1"/>
                        </w14:solidFill>
                      </w14:textFill>
                    </w:rPr>
                  </w:pPr>
                </w:p>
              </w:tc>
              <w:tc>
                <w:tcPr>
                  <w:tcW w:w="574" w:type="pct"/>
                  <w:tcBorders>
                    <w:tl2br w:val="nil"/>
                    <w:tr2bl w:val="nil"/>
                  </w:tcBorders>
                  <w:noWrap w:val="0"/>
                  <w:vAlign w:val="center"/>
                </w:tcPr>
                <w:p w14:paraId="6B28644C">
                  <w:pPr>
                    <w:pStyle w:val="26"/>
                    <w:bidi w:val="0"/>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3#车间乙醇储罐呼吸废气</w:t>
                  </w:r>
                </w:p>
              </w:tc>
              <w:tc>
                <w:tcPr>
                  <w:tcW w:w="504" w:type="pct"/>
                  <w:tcBorders>
                    <w:tl2br w:val="nil"/>
                    <w:tr2bl w:val="nil"/>
                  </w:tcBorders>
                  <w:noWrap w:val="0"/>
                  <w:vAlign w:val="center"/>
                </w:tcPr>
                <w:p w14:paraId="00D98857">
                  <w:pPr>
                    <w:pStyle w:val="26"/>
                    <w:bidi w:val="0"/>
                    <w:ind w:firstLine="0" w:firstLineChars="0"/>
                    <w:jc w:val="center"/>
                    <w:rPr>
                      <w:rFonts w:hint="eastAsia"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非甲烷总烃</w:t>
                  </w:r>
                </w:p>
              </w:tc>
              <w:tc>
                <w:tcPr>
                  <w:tcW w:w="382" w:type="pct"/>
                  <w:tcBorders>
                    <w:tl2br w:val="nil"/>
                    <w:tr2bl w:val="nil"/>
                  </w:tcBorders>
                  <w:noWrap w:val="0"/>
                  <w:vAlign w:val="center"/>
                </w:tcPr>
                <w:p w14:paraId="15D17E67">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w:t>
                  </w:r>
                </w:p>
              </w:tc>
              <w:tc>
                <w:tcPr>
                  <w:tcW w:w="474" w:type="pct"/>
                  <w:tcBorders>
                    <w:tl2br w:val="nil"/>
                    <w:tr2bl w:val="nil"/>
                  </w:tcBorders>
                  <w:noWrap w:val="0"/>
                  <w:vAlign w:val="center"/>
                </w:tcPr>
                <w:p w14:paraId="60ED49A9">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443" w:type="pct"/>
                  <w:tcBorders>
                    <w:tl2br w:val="nil"/>
                    <w:tr2bl w:val="nil"/>
                  </w:tcBorders>
                  <w:noWrap w:val="0"/>
                  <w:vAlign w:val="center"/>
                </w:tcPr>
                <w:p w14:paraId="55CA3D72">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0.0001</w:t>
                  </w:r>
                </w:p>
              </w:tc>
              <w:tc>
                <w:tcPr>
                  <w:tcW w:w="402" w:type="pct"/>
                  <w:tcBorders>
                    <w:tl2br w:val="nil"/>
                    <w:tr2bl w:val="nil"/>
                  </w:tcBorders>
                  <w:noWrap w:val="0"/>
                  <w:vAlign w:val="center"/>
                </w:tcPr>
                <w:p w14:paraId="5971BA08">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0.0005</w:t>
                  </w:r>
                </w:p>
              </w:tc>
              <w:tc>
                <w:tcPr>
                  <w:tcW w:w="430" w:type="pct"/>
                  <w:tcBorders>
                    <w:tl2br w:val="nil"/>
                    <w:tr2bl w:val="nil"/>
                  </w:tcBorders>
                  <w:noWrap w:val="0"/>
                  <w:vAlign w:val="center"/>
                </w:tcPr>
                <w:p w14:paraId="40718B0E">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458" w:type="pct"/>
                  <w:tcBorders>
                    <w:tl2br w:val="nil"/>
                    <w:tr2bl w:val="nil"/>
                  </w:tcBorders>
                  <w:noWrap w:val="0"/>
                  <w:vAlign w:val="center"/>
                </w:tcPr>
                <w:p w14:paraId="0A10E9F2">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0.0001</w:t>
                  </w:r>
                </w:p>
              </w:tc>
              <w:tc>
                <w:tcPr>
                  <w:tcW w:w="413" w:type="pct"/>
                  <w:tcBorders>
                    <w:tl2br w:val="nil"/>
                    <w:tr2bl w:val="nil"/>
                  </w:tcBorders>
                  <w:noWrap w:val="0"/>
                  <w:vAlign w:val="center"/>
                </w:tcPr>
                <w:p w14:paraId="45CC2BA0">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0.0005</w:t>
                  </w:r>
                </w:p>
              </w:tc>
              <w:tc>
                <w:tcPr>
                  <w:tcW w:w="615" w:type="pct"/>
                  <w:tcBorders>
                    <w:tl2br w:val="nil"/>
                    <w:tr2bl w:val="nil"/>
                  </w:tcBorders>
                  <w:noWrap w:val="0"/>
                  <w:vAlign w:val="center"/>
                </w:tcPr>
                <w:p w14:paraId="70885D78">
                  <w:pPr>
                    <w:pStyle w:val="26"/>
                    <w:bidi w:val="0"/>
                    <w:jc w:val="center"/>
                    <w:rPr>
                      <w:rFonts w:hint="eastAsia"/>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7200/8760</w:t>
                  </w:r>
                </w:p>
              </w:tc>
            </w:tr>
            <w:tr w14:paraId="6A7417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9" w:type="pct"/>
                  <w:vMerge w:val="continue"/>
                  <w:tcBorders>
                    <w:tl2br w:val="nil"/>
                    <w:tr2bl w:val="nil"/>
                  </w:tcBorders>
                  <w:noWrap w:val="0"/>
                  <w:vAlign w:val="center"/>
                </w:tcPr>
                <w:p w14:paraId="77BDD0CD">
                  <w:pPr>
                    <w:pStyle w:val="26"/>
                    <w:bidi w:val="0"/>
                    <w:jc w:val="center"/>
                    <w:rPr>
                      <w:rFonts w:hint="default"/>
                      <w:color w:val="000000" w:themeColor="text1"/>
                      <w:highlight w:val="none"/>
                      <w:lang w:val="en-US" w:eastAsia="zh-CN" w:bidi="ar-SA"/>
                      <w14:textFill>
                        <w14:solidFill>
                          <w14:schemeClr w14:val="tx1"/>
                        </w14:solidFill>
                      </w14:textFill>
                    </w:rPr>
                  </w:pPr>
                </w:p>
              </w:tc>
              <w:tc>
                <w:tcPr>
                  <w:tcW w:w="574" w:type="pct"/>
                  <w:vMerge w:val="restart"/>
                  <w:tcBorders>
                    <w:tl2br w:val="nil"/>
                    <w:tr2bl w:val="nil"/>
                  </w:tcBorders>
                  <w:noWrap w:val="0"/>
                  <w:vAlign w:val="center"/>
                </w:tcPr>
                <w:p w14:paraId="79BE8AC1">
                  <w:pPr>
                    <w:pStyle w:val="26"/>
                    <w:bidi w:val="0"/>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1#</w:t>
                  </w:r>
                  <w:r>
                    <w:rPr>
                      <w:rFonts w:hint="eastAsia"/>
                      <w:color w:val="000000" w:themeColor="text1"/>
                      <w:highlight w:val="none"/>
                      <w:lang w:val="en-US" w:eastAsia="zh-CN" w:bidi="ar-SA"/>
                      <w14:textFill>
                        <w14:solidFill>
                          <w14:schemeClr w14:val="tx1"/>
                        </w14:solidFill>
                      </w14:textFill>
                    </w:rPr>
                    <w:t>车间（</w:t>
                  </w:r>
                  <w:r>
                    <w:rPr>
                      <w:color w:val="000000" w:themeColor="text1"/>
                      <w:highlight w:val="none"/>
                      <w:lang w:val="en-US" w:eastAsia="zh-CN" w:bidi="ar-SA"/>
                      <w14:textFill>
                        <w14:solidFill>
                          <w14:schemeClr w14:val="tx1"/>
                        </w14:solidFill>
                      </w14:textFill>
                    </w:rPr>
                    <w:t>烘干、引弧放电、</w:t>
                  </w:r>
                  <w:r>
                    <w:rPr>
                      <w:rFonts w:hint="eastAsia" w:cs="Times New Roman"/>
                      <w:color w:val="000000" w:themeColor="text1"/>
                      <w:highlight w:val="none"/>
                      <w:lang w:val="en-US" w:eastAsia="zh-CN" w:bidi="ar-SA"/>
                      <w14:textFill>
                        <w14:solidFill>
                          <w14:schemeClr w14:val="tx1"/>
                        </w14:solidFill>
                      </w14:textFill>
                    </w:rPr>
                    <w:t>砂磨、干燥、</w:t>
                  </w:r>
                  <w:r>
                    <w:rPr>
                      <w:color w:val="000000" w:themeColor="text1"/>
                      <w:highlight w:val="none"/>
                      <w:lang w:val="en-US" w:eastAsia="zh-CN" w:bidi="ar-SA"/>
                      <w14:textFill>
                        <w14:solidFill>
                          <w14:schemeClr w14:val="tx1"/>
                        </w14:solidFill>
                      </w14:textFill>
                    </w:rPr>
                    <w:t>包覆</w:t>
                  </w:r>
                  <w:r>
                    <w:rPr>
                      <w:rFonts w:hint="eastAsia"/>
                      <w:color w:val="000000" w:themeColor="text1"/>
                      <w:highlight w:val="none"/>
                      <w:lang w:val="en-US" w:eastAsia="zh-CN" w:bidi="ar-SA"/>
                      <w14:textFill>
                        <w14:solidFill>
                          <w14:schemeClr w14:val="tx1"/>
                        </w14:solidFill>
                      </w14:textFill>
                    </w:rPr>
                    <w:t>、二次包覆</w:t>
                  </w:r>
                  <w:r>
                    <w:rPr>
                      <w:color w:val="000000" w:themeColor="text1"/>
                      <w:highlight w:val="none"/>
                      <w:lang w:val="en-US" w:eastAsia="zh-CN" w:bidi="ar-SA"/>
                      <w14:textFill>
                        <w14:solidFill>
                          <w14:schemeClr w14:val="tx1"/>
                        </w14:solidFill>
                      </w14:textFill>
                    </w:rPr>
                    <w:t>、碳化</w:t>
                  </w:r>
                  <w:r>
                    <w:rPr>
                      <w:rFonts w:hint="eastAsia"/>
                      <w:color w:val="000000" w:themeColor="text1"/>
                      <w:highlight w:val="none"/>
                      <w:lang w:val="en-US" w:eastAsia="zh-CN" w:bidi="ar-SA"/>
                      <w14:textFill>
                        <w14:solidFill>
                          <w14:schemeClr w14:val="tx1"/>
                        </w14:solidFill>
                      </w14:textFill>
                    </w:rPr>
                    <w:t>）</w:t>
                  </w:r>
                </w:p>
              </w:tc>
              <w:tc>
                <w:tcPr>
                  <w:tcW w:w="504" w:type="pct"/>
                  <w:tcBorders>
                    <w:tl2br w:val="nil"/>
                    <w:tr2bl w:val="nil"/>
                  </w:tcBorders>
                  <w:noWrap w:val="0"/>
                  <w:vAlign w:val="center"/>
                </w:tcPr>
                <w:p w14:paraId="086F7747">
                  <w:pPr>
                    <w:pStyle w:val="26"/>
                    <w:bidi w:val="0"/>
                    <w:ind w:firstLine="0" w:firstLineChars="0"/>
                    <w:jc w:val="center"/>
                    <w:rPr>
                      <w:rFonts w:hint="default"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沥青烟</w:t>
                  </w:r>
                </w:p>
              </w:tc>
              <w:tc>
                <w:tcPr>
                  <w:tcW w:w="382" w:type="pct"/>
                  <w:vMerge w:val="restart"/>
                  <w:tcBorders>
                    <w:tl2br w:val="nil"/>
                    <w:tr2bl w:val="nil"/>
                  </w:tcBorders>
                  <w:noWrap w:val="0"/>
                  <w:vAlign w:val="center"/>
                </w:tcPr>
                <w:p w14:paraId="7EE22937">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474" w:type="pct"/>
                  <w:tcBorders>
                    <w:tl2br w:val="nil"/>
                    <w:tr2bl w:val="nil"/>
                  </w:tcBorders>
                  <w:noWrap w:val="0"/>
                  <w:vAlign w:val="center"/>
                </w:tcPr>
                <w:p w14:paraId="393E6FFF">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443" w:type="pct"/>
                  <w:tcBorders>
                    <w:tl2br w:val="nil"/>
                    <w:tr2bl w:val="nil"/>
                  </w:tcBorders>
                  <w:noWrap w:val="0"/>
                  <w:vAlign w:val="center"/>
                </w:tcPr>
                <w:p w14:paraId="74E3488B">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0.0020</w:t>
                  </w:r>
                </w:p>
              </w:tc>
              <w:tc>
                <w:tcPr>
                  <w:tcW w:w="402" w:type="pct"/>
                  <w:tcBorders>
                    <w:tl2br w:val="nil"/>
                    <w:tr2bl w:val="nil"/>
                  </w:tcBorders>
                  <w:noWrap w:val="0"/>
                  <w:vAlign w:val="center"/>
                </w:tcPr>
                <w:p w14:paraId="7DA3EDE3">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0.0059</w:t>
                  </w:r>
                </w:p>
              </w:tc>
              <w:tc>
                <w:tcPr>
                  <w:tcW w:w="430" w:type="pct"/>
                  <w:tcBorders>
                    <w:tl2br w:val="nil"/>
                    <w:tr2bl w:val="nil"/>
                  </w:tcBorders>
                  <w:noWrap w:val="0"/>
                  <w:vAlign w:val="center"/>
                </w:tcPr>
                <w:p w14:paraId="17DA8FEE">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458" w:type="pct"/>
                  <w:tcBorders>
                    <w:tl2br w:val="nil"/>
                    <w:tr2bl w:val="nil"/>
                  </w:tcBorders>
                  <w:noWrap w:val="0"/>
                  <w:vAlign w:val="center"/>
                </w:tcPr>
                <w:p w14:paraId="0385AFEC">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0.0020</w:t>
                  </w:r>
                </w:p>
              </w:tc>
              <w:tc>
                <w:tcPr>
                  <w:tcW w:w="413" w:type="pct"/>
                  <w:tcBorders>
                    <w:tl2br w:val="nil"/>
                    <w:tr2bl w:val="nil"/>
                  </w:tcBorders>
                  <w:noWrap w:val="0"/>
                  <w:vAlign w:val="center"/>
                </w:tcPr>
                <w:p w14:paraId="6B743516">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0.0059</w:t>
                  </w:r>
                </w:p>
              </w:tc>
              <w:tc>
                <w:tcPr>
                  <w:tcW w:w="615" w:type="pct"/>
                  <w:tcBorders>
                    <w:tl2br w:val="nil"/>
                    <w:tr2bl w:val="nil"/>
                  </w:tcBorders>
                  <w:noWrap w:val="0"/>
                  <w:vAlign w:val="center"/>
                </w:tcPr>
                <w:p w14:paraId="520859BD">
                  <w:pPr>
                    <w:pStyle w:val="26"/>
                    <w:bidi w:val="0"/>
                    <w:jc w:val="center"/>
                    <w:rPr>
                      <w:rFonts w:hint="eastAsia"/>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3000</w:t>
                  </w:r>
                </w:p>
              </w:tc>
            </w:tr>
            <w:tr w14:paraId="56BCCF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9" w:type="pct"/>
                  <w:vMerge w:val="continue"/>
                  <w:tcBorders>
                    <w:tl2br w:val="nil"/>
                    <w:tr2bl w:val="nil"/>
                  </w:tcBorders>
                  <w:noWrap w:val="0"/>
                  <w:vAlign w:val="center"/>
                </w:tcPr>
                <w:p w14:paraId="5166E5A4">
                  <w:pPr>
                    <w:pStyle w:val="26"/>
                    <w:bidi w:val="0"/>
                    <w:jc w:val="center"/>
                    <w:rPr>
                      <w:rFonts w:hint="default"/>
                      <w:color w:val="000000" w:themeColor="text1"/>
                      <w:highlight w:val="none"/>
                      <w:lang w:val="en-US" w:eastAsia="zh-CN" w:bidi="ar-SA"/>
                      <w14:textFill>
                        <w14:solidFill>
                          <w14:schemeClr w14:val="tx1"/>
                        </w14:solidFill>
                      </w14:textFill>
                    </w:rPr>
                  </w:pPr>
                </w:p>
              </w:tc>
              <w:tc>
                <w:tcPr>
                  <w:tcW w:w="574" w:type="pct"/>
                  <w:vMerge w:val="continue"/>
                  <w:tcBorders>
                    <w:tl2br w:val="nil"/>
                    <w:tr2bl w:val="nil"/>
                  </w:tcBorders>
                  <w:noWrap w:val="0"/>
                  <w:vAlign w:val="center"/>
                </w:tcPr>
                <w:p w14:paraId="3B4AA681">
                  <w:pPr>
                    <w:pStyle w:val="26"/>
                    <w:bidi w:val="0"/>
                    <w:rPr>
                      <w:rFonts w:hint="default"/>
                      <w:color w:val="000000" w:themeColor="text1"/>
                      <w:highlight w:val="none"/>
                      <w:lang w:val="en-US" w:eastAsia="zh-CN" w:bidi="ar-SA"/>
                      <w14:textFill>
                        <w14:solidFill>
                          <w14:schemeClr w14:val="tx1"/>
                        </w14:solidFill>
                      </w14:textFill>
                    </w:rPr>
                  </w:pPr>
                </w:p>
              </w:tc>
              <w:tc>
                <w:tcPr>
                  <w:tcW w:w="504" w:type="pct"/>
                  <w:tcBorders>
                    <w:tl2br w:val="nil"/>
                    <w:tr2bl w:val="nil"/>
                  </w:tcBorders>
                  <w:noWrap w:val="0"/>
                  <w:vAlign w:val="center"/>
                </w:tcPr>
                <w:p w14:paraId="2C07A7FB">
                  <w:pPr>
                    <w:pStyle w:val="26"/>
                    <w:bidi w:val="0"/>
                    <w:ind w:firstLine="0" w:firstLineChars="0"/>
                    <w:jc w:val="center"/>
                    <w:rPr>
                      <w:rFonts w:hint="default"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苯并[a]芘</w:t>
                  </w:r>
                </w:p>
              </w:tc>
              <w:tc>
                <w:tcPr>
                  <w:tcW w:w="382" w:type="pct"/>
                  <w:vMerge w:val="continue"/>
                  <w:tcBorders>
                    <w:tl2br w:val="nil"/>
                    <w:tr2bl w:val="nil"/>
                  </w:tcBorders>
                  <w:noWrap w:val="0"/>
                  <w:vAlign w:val="center"/>
                </w:tcPr>
                <w:p w14:paraId="19A86B7E">
                  <w:pPr>
                    <w:pStyle w:val="26"/>
                    <w:bidi w:val="0"/>
                    <w:jc w:val="center"/>
                    <w:rPr>
                      <w:rFonts w:hint="default"/>
                      <w:color w:val="000000" w:themeColor="text1"/>
                      <w:highlight w:val="none"/>
                      <w:lang w:val="en-US" w:eastAsia="zh-CN" w:bidi="ar-SA"/>
                      <w14:textFill>
                        <w14:solidFill>
                          <w14:schemeClr w14:val="tx1"/>
                        </w14:solidFill>
                      </w14:textFill>
                    </w:rPr>
                  </w:pPr>
                </w:p>
              </w:tc>
              <w:tc>
                <w:tcPr>
                  <w:tcW w:w="474" w:type="pct"/>
                  <w:tcBorders>
                    <w:tl2br w:val="nil"/>
                    <w:tr2bl w:val="nil"/>
                  </w:tcBorders>
                  <w:noWrap w:val="0"/>
                  <w:vAlign w:val="center"/>
                </w:tcPr>
                <w:p w14:paraId="41BF8335">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443" w:type="pct"/>
                  <w:tcBorders>
                    <w:tl2br w:val="nil"/>
                    <w:tr2bl w:val="nil"/>
                  </w:tcBorders>
                  <w:noWrap w:val="0"/>
                  <w:vAlign w:val="center"/>
                </w:tcPr>
                <w:p w14:paraId="43800902">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5.25E-07</w:t>
                  </w:r>
                </w:p>
              </w:tc>
              <w:tc>
                <w:tcPr>
                  <w:tcW w:w="402" w:type="pct"/>
                  <w:tcBorders>
                    <w:tl2br w:val="nil"/>
                    <w:tr2bl w:val="nil"/>
                  </w:tcBorders>
                  <w:noWrap w:val="0"/>
                  <w:vAlign w:val="center"/>
                </w:tcPr>
                <w:p w14:paraId="5FC5030D">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1.58E-06</w:t>
                  </w:r>
                </w:p>
              </w:tc>
              <w:tc>
                <w:tcPr>
                  <w:tcW w:w="430" w:type="pct"/>
                  <w:tcBorders>
                    <w:tl2br w:val="nil"/>
                    <w:tr2bl w:val="nil"/>
                  </w:tcBorders>
                  <w:noWrap w:val="0"/>
                  <w:vAlign w:val="center"/>
                </w:tcPr>
                <w:p w14:paraId="16E0FCC0">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458" w:type="pct"/>
                  <w:tcBorders>
                    <w:tl2br w:val="nil"/>
                    <w:tr2bl w:val="nil"/>
                  </w:tcBorders>
                  <w:noWrap w:val="0"/>
                  <w:vAlign w:val="center"/>
                </w:tcPr>
                <w:p w14:paraId="0F54C92B">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5.25E-07</w:t>
                  </w:r>
                </w:p>
              </w:tc>
              <w:tc>
                <w:tcPr>
                  <w:tcW w:w="413" w:type="pct"/>
                  <w:tcBorders>
                    <w:tl2br w:val="nil"/>
                    <w:tr2bl w:val="nil"/>
                  </w:tcBorders>
                  <w:noWrap w:val="0"/>
                  <w:vAlign w:val="center"/>
                </w:tcPr>
                <w:p w14:paraId="1EA758F5">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1.58E-06</w:t>
                  </w:r>
                </w:p>
              </w:tc>
              <w:tc>
                <w:tcPr>
                  <w:tcW w:w="615" w:type="pct"/>
                  <w:tcBorders>
                    <w:tl2br w:val="nil"/>
                    <w:tr2bl w:val="nil"/>
                  </w:tcBorders>
                  <w:noWrap w:val="0"/>
                  <w:vAlign w:val="center"/>
                </w:tcPr>
                <w:p w14:paraId="1C659EED">
                  <w:pPr>
                    <w:pStyle w:val="26"/>
                    <w:bidi w:val="0"/>
                    <w:jc w:val="center"/>
                    <w:rPr>
                      <w:rFonts w:hint="eastAsia"/>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3000</w:t>
                  </w:r>
                </w:p>
              </w:tc>
            </w:tr>
            <w:tr w14:paraId="25B3EE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9" w:type="pct"/>
                  <w:vMerge w:val="continue"/>
                  <w:tcBorders>
                    <w:tl2br w:val="nil"/>
                    <w:tr2bl w:val="nil"/>
                  </w:tcBorders>
                  <w:noWrap w:val="0"/>
                  <w:vAlign w:val="center"/>
                </w:tcPr>
                <w:p w14:paraId="211B16E4">
                  <w:pPr>
                    <w:pStyle w:val="26"/>
                    <w:bidi w:val="0"/>
                    <w:jc w:val="center"/>
                    <w:rPr>
                      <w:rFonts w:hint="default"/>
                      <w:color w:val="000000" w:themeColor="text1"/>
                      <w:highlight w:val="none"/>
                      <w:lang w:val="en-US" w:eastAsia="zh-CN" w:bidi="ar-SA"/>
                      <w14:textFill>
                        <w14:solidFill>
                          <w14:schemeClr w14:val="tx1"/>
                        </w14:solidFill>
                      </w14:textFill>
                    </w:rPr>
                  </w:pPr>
                </w:p>
              </w:tc>
              <w:tc>
                <w:tcPr>
                  <w:tcW w:w="574" w:type="pct"/>
                  <w:vMerge w:val="continue"/>
                  <w:tcBorders>
                    <w:tl2br w:val="nil"/>
                    <w:tr2bl w:val="nil"/>
                  </w:tcBorders>
                  <w:noWrap w:val="0"/>
                  <w:vAlign w:val="center"/>
                </w:tcPr>
                <w:p w14:paraId="1A31E74F">
                  <w:pPr>
                    <w:pStyle w:val="26"/>
                    <w:bidi w:val="0"/>
                    <w:rPr>
                      <w:rFonts w:hint="default"/>
                      <w:color w:val="000000" w:themeColor="text1"/>
                      <w:highlight w:val="none"/>
                      <w:lang w:val="en-US" w:eastAsia="zh-CN" w:bidi="ar-SA"/>
                      <w14:textFill>
                        <w14:solidFill>
                          <w14:schemeClr w14:val="tx1"/>
                        </w14:solidFill>
                      </w14:textFill>
                    </w:rPr>
                  </w:pPr>
                </w:p>
              </w:tc>
              <w:tc>
                <w:tcPr>
                  <w:tcW w:w="504" w:type="pct"/>
                  <w:tcBorders>
                    <w:tl2br w:val="nil"/>
                    <w:tr2bl w:val="nil"/>
                  </w:tcBorders>
                  <w:noWrap w:val="0"/>
                  <w:vAlign w:val="center"/>
                </w:tcPr>
                <w:p w14:paraId="11B19555">
                  <w:pPr>
                    <w:pStyle w:val="26"/>
                    <w:bidi w:val="0"/>
                    <w:ind w:firstLine="0" w:firstLineChars="0"/>
                    <w:jc w:val="center"/>
                    <w:rPr>
                      <w:rFonts w:hint="default"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颗粒物</w:t>
                  </w:r>
                </w:p>
              </w:tc>
              <w:tc>
                <w:tcPr>
                  <w:tcW w:w="382" w:type="pct"/>
                  <w:vMerge w:val="continue"/>
                  <w:tcBorders>
                    <w:tl2br w:val="nil"/>
                    <w:tr2bl w:val="nil"/>
                  </w:tcBorders>
                  <w:noWrap w:val="0"/>
                  <w:vAlign w:val="center"/>
                </w:tcPr>
                <w:p w14:paraId="7D7EA220">
                  <w:pPr>
                    <w:pStyle w:val="26"/>
                    <w:bidi w:val="0"/>
                    <w:jc w:val="center"/>
                    <w:rPr>
                      <w:rFonts w:hint="default"/>
                      <w:color w:val="000000" w:themeColor="text1"/>
                      <w:highlight w:val="none"/>
                      <w:lang w:val="en-US" w:eastAsia="zh-CN" w:bidi="ar-SA"/>
                      <w14:textFill>
                        <w14:solidFill>
                          <w14:schemeClr w14:val="tx1"/>
                        </w14:solidFill>
                      </w14:textFill>
                    </w:rPr>
                  </w:pPr>
                </w:p>
              </w:tc>
              <w:tc>
                <w:tcPr>
                  <w:tcW w:w="474" w:type="pct"/>
                  <w:tcBorders>
                    <w:tl2br w:val="nil"/>
                    <w:tr2bl w:val="nil"/>
                  </w:tcBorders>
                  <w:noWrap w:val="0"/>
                  <w:vAlign w:val="center"/>
                </w:tcPr>
                <w:p w14:paraId="7A0C85E8">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1187" w:type="dxa"/>
                  <w:tcBorders>
                    <w:tl2br w:val="nil"/>
                    <w:tr2bl w:val="nil"/>
                  </w:tcBorders>
                  <w:noWrap w:val="0"/>
                  <w:vAlign w:val="center"/>
                </w:tcPr>
                <w:p w14:paraId="3CC979FB">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0.0296</w:t>
                  </w:r>
                </w:p>
              </w:tc>
              <w:tc>
                <w:tcPr>
                  <w:tcW w:w="1077" w:type="dxa"/>
                  <w:tcBorders>
                    <w:tl2br w:val="nil"/>
                    <w:tr2bl w:val="nil"/>
                  </w:tcBorders>
                  <w:noWrap w:val="0"/>
                  <w:vAlign w:val="center"/>
                </w:tcPr>
                <w:p w14:paraId="56241B79">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0.0889</w:t>
                  </w:r>
                </w:p>
              </w:tc>
              <w:tc>
                <w:tcPr>
                  <w:tcW w:w="1152" w:type="dxa"/>
                  <w:tcBorders>
                    <w:tl2br w:val="nil"/>
                    <w:tr2bl w:val="nil"/>
                  </w:tcBorders>
                  <w:noWrap w:val="0"/>
                  <w:vAlign w:val="center"/>
                </w:tcPr>
                <w:p w14:paraId="7A682922">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1227" w:type="dxa"/>
                  <w:tcBorders>
                    <w:tl2br w:val="nil"/>
                    <w:tr2bl w:val="nil"/>
                  </w:tcBorders>
                  <w:noWrap w:val="0"/>
                  <w:vAlign w:val="center"/>
                </w:tcPr>
                <w:p w14:paraId="041309F9">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0.0296</w:t>
                  </w:r>
                </w:p>
              </w:tc>
              <w:tc>
                <w:tcPr>
                  <w:tcW w:w="1105" w:type="dxa"/>
                  <w:tcBorders>
                    <w:tl2br w:val="nil"/>
                    <w:tr2bl w:val="nil"/>
                  </w:tcBorders>
                  <w:noWrap w:val="0"/>
                  <w:vAlign w:val="center"/>
                </w:tcPr>
                <w:p w14:paraId="580E1A9D">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0.0889</w:t>
                  </w:r>
                </w:p>
              </w:tc>
              <w:tc>
                <w:tcPr>
                  <w:tcW w:w="615" w:type="pct"/>
                  <w:tcBorders>
                    <w:tl2br w:val="nil"/>
                    <w:tr2bl w:val="nil"/>
                  </w:tcBorders>
                  <w:noWrap w:val="0"/>
                  <w:vAlign w:val="center"/>
                </w:tcPr>
                <w:p w14:paraId="67E2F272">
                  <w:pPr>
                    <w:pStyle w:val="26"/>
                    <w:bidi w:val="0"/>
                    <w:jc w:val="center"/>
                    <w:rPr>
                      <w:rFonts w:hint="eastAsia"/>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3000</w:t>
                  </w:r>
                </w:p>
              </w:tc>
            </w:tr>
            <w:tr w14:paraId="245217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9" w:type="pct"/>
                  <w:vMerge w:val="continue"/>
                  <w:noWrap w:val="0"/>
                  <w:vAlign w:val="center"/>
                </w:tcPr>
                <w:p w14:paraId="6BD1366A">
                  <w:pPr>
                    <w:pStyle w:val="26"/>
                    <w:bidi w:val="0"/>
                    <w:jc w:val="center"/>
                    <w:rPr>
                      <w:rFonts w:hint="default"/>
                      <w:color w:val="000000" w:themeColor="text1"/>
                      <w:highlight w:val="none"/>
                      <w:lang w:val="en-US" w:eastAsia="zh-CN" w:bidi="ar-SA"/>
                      <w14:textFill>
                        <w14:solidFill>
                          <w14:schemeClr w14:val="tx1"/>
                        </w14:solidFill>
                      </w14:textFill>
                    </w:rPr>
                  </w:pPr>
                </w:p>
              </w:tc>
              <w:tc>
                <w:tcPr>
                  <w:tcW w:w="574" w:type="pct"/>
                  <w:vMerge w:val="continue"/>
                  <w:noWrap w:val="0"/>
                  <w:vAlign w:val="center"/>
                </w:tcPr>
                <w:p w14:paraId="2F0E63B8">
                  <w:pPr>
                    <w:pStyle w:val="26"/>
                    <w:bidi w:val="0"/>
                    <w:rPr>
                      <w:rFonts w:hint="default"/>
                      <w:color w:val="000000" w:themeColor="text1"/>
                      <w:highlight w:val="none"/>
                      <w:lang w:val="en-US" w:eastAsia="zh-CN" w:bidi="ar-SA"/>
                      <w14:textFill>
                        <w14:solidFill>
                          <w14:schemeClr w14:val="tx1"/>
                        </w14:solidFill>
                      </w14:textFill>
                    </w:rPr>
                  </w:pPr>
                </w:p>
              </w:tc>
              <w:tc>
                <w:tcPr>
                  <w:tcW w:w="504" w:type="pct"/>
                  <w:noWrap w:val="0"/>
                  <w:vAlign w:val="center"/>
                </w:tcPr>
                <w:p w14:paraId="791A6DD6">
                  <w:pPr>
                    <w:pStyle w:val="26"/>
                    <w:bidi w:val="0"/>
                    <w:ind w:firstLine="0" w:firstLineChars="0"/>
                    <w:jc w:val="center"/>
                    <w:rPr>
                      <w:rFonts w:hint="default"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非甲烷总烃</w:t>
                  </w:r>
                </w:p>
              </w:tc>
              <w:tc>
                <w:tcPr>
                  <w:tcW w:w="382" w:type="pct"/>
                  <w:vMerge w:val="continue"/>
                  <w:noWrap w:val="0"/>
                  <w:vAlign w:val="center"/>
                </w:tcPr>
                <w:p w14:paraId="59676E7A">
                  <w:pPr>
                    <w:pStyle w:val="26"/>
                    <w:bidi w:val="0"/>
                    <w:jc w:val="center"/>
                    <w:rPr>
                      <w:rFonts w:hint="default"/>
                      <w:color w:val="000000" w:themeColor="text1"/>
                      <w:highlight w:val="none"/>
                      <w:lang w:val="en-US" w:eastAsia="zh-CN" w:bidi="ar-SA"/>
                      <w14:textFill>
                        <w14:solidFill>
                          <w14:schemeClr w14:val="tx1"/>
                        </w14:solidFill>
                      </w14:textFill>
                    </w:rPr>
                  </w:pPr>
                </w:p>
              </w:tc>
              <w:tc>
                <w:tcPr>
                  <w:tcW w:w="474" w:type="pct"/>
                  <w:noWrap w:val="0"/>
                  <w:vAlign w:val="center"/>
                </w:tcPr>
                <w:p w14:paraId="4B73C882">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1187" w:type="dxa"/>
                  <w:noWrap w:val="0"/>
                  <w:vAlign w:val="center"/>
                </w:tcPr>
                <w:p w14:paraId="0E0AB14B">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0.2693</w:t>
                  </w:r>
                </w:p>
              </w:tc>
              <w:tc>
                <w:tcPr>
                  <w:tcW w:w="1077" w:type="dxa"/>
                  <w:noWrap w:val="0"/>
                  <w:vAlign w:val="center"/>
                </w:tcPr>
                <w:p w14:paraId="55110A6E">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0.8893</w:t>
                  </w:r>
                </w:p>
              </w:tc>
              <w:tc>
                <w:tcPr>
                  <w:tcW w:w="1152" w:type="dxa"/>
                  <w:noWrap w:val="0"/>
                  <w:vAlign w:val="center"/>
                </w:tcPr>
                <w:p w14:paraId="0D5D81EB">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1227" w:type="dxa"/>
                  <w:noWrap w:val="0"/>
                  <w:vAlign w:val="center"/>
                </w:tcPr>
                <w:p w14:paraId="1DAAD7BB">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0.2693</w:t>
                  </w:r>
                </w:p>
              </w:tc>
              <w:tc>
                <w:tcPr>
                  <w:tcW w:w="1105" w:type="dxa"/>
                  <w:noWrap w:val="0"/>
                  <w:vAlign w:val="center"/>
                </w:tcPr>
                <w:p w14:paraId="73F6B1A6">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0.8893</w:t>
                  </w:r>
                </w:p>
              </w:tc>
              <w:tc>
                <w:tcPr>
                  <w:tcW w:w="615" w:type="pct"/>
                  <w:noWrap w:val="0"/>
                  <w:vAlign w:val="center"/>
                </w:tcPr>
                <w:p w14:paraId="1543F829">
                  <w:pPr>
                    <w:pStyle w:val="26"/>
                    <w:bidi w:val="0"/>
                    <w:jc w:val="center"/>
                    <w:rPr>
                      <w:rFonts w:hint="eastAsia"/>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1200/3600/3000</w:t>
                  </w:r>
                </w:p>
              </w:tc>
            </w:tr>
            <w:tr w14:paraId="14F1F3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9" w:type="pct"/>
                  <w:vMerge w:val="continue"/>
                  <w:noWrap w:val="0"/>
                  <w:vAlign w:val="center"/>
                </w:tcPr>
                <w:p w14:paraId="16953FCC">
                  <w:pPr>
                    <w:pStyle w:val="26"/>
                    <w:bidi w:val="0"/>
                    <w:jc w:val="center"/>
                    <w:rPr>
                      <w:rFonts w:hint="default"/>
                      <w:color w:val="000000" w:themeColor="text1"/>
                      <w:highlight w:val="none"/>
                      <w:lang w:val="en-US" w:eastAsia="zh-CN" w:bidi="ar-SA"/>
                      <w14:textFill>
                        <w14:solidFill>
                          <w14:schemeClr w14:val="tx1"/>
                        </w14:solidFill>
                      </w14:textFill>
                    </w:rPr>
                  </w:pPr>
                </w:p>
              </w:tc>
              <w:tc>
                <w:tcPr>
                  <w:tcW w:w="574" w:type="pct"/>
                  <w:noWrap w:val="0"/>
                  <w:vAlign w:val="center"/>
                </w:tcPr>
                <w:p w14:paraId="7DAC9BA9">
                  <w:pPr>
                    <w:pStyle w:val="26"/>
                    <w:bidi w:val="0"/>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1#车间乙醇储罐呼吸废气</w:t>
                  </w:r>
                </w:p>
              </w:tc>
              <w:tc>
                <w:tcPr>
                  <w:tcW w:w="504" w:type="pct"/>
                  <w:noWrap w:val="0"/>
                  <w:vAlign w:val="center"/>
                </w:tcPr>
                <w:p w14:paraId="5F85A118">
                  <w:pPr>
                    <w:pStyle w:val="26"/>
                    <w:bidi w:val="0"/>
                    <w:ind w:firstLine="0" w:firstLineChars="0"/>
                    <w:jc w:val="center"/>
                    <w:rPr>
                      <w:rFonts w:hint="eastAsia"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非甲烷总烃</w:t>
                  </w:r>
                </w:p>
              </w:tc>
              <w:tc>
                <w:tcPr>
                  <w:tcW w:w="382" w:type="pct"/>
                  <w:noWrap w:val="0"/>
                  <w:vAlign w:val="center"/>
                </w:tcPr>
                <w:p w14:paraId="015AD82D">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w:t>
                  </w:r>
                </w:p>
              </w:tc>
              <w:tc>
                <w:tcPr>
                  <w:tcW w:w="474" w:type="pct"/>
                  <w:noWrap w:val="0"/>
                  <w:vAlign w:val="center"/>
                </w:tcPr>
                <w:p w14:paraId="73B8FBBE">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443" w:type="pct"/>
                  <w:noWrap w:val="0"/>
                  <w:vAlign w:val="center"/>
                </w:tcPr>
                <w:p w14:paraId="520BBD52">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0.0002</w:t>
                  </w:r>
                </w:p>
              </w:tc>
              <w:tc>
                <w:tcPr>
                  <w:tcW w:w="402" w:type="pct"/>
                  <w:noWrap w:val="0"/>
                  <w:vAlign w:val="center"/>
                </w:tcPr>
                <w:p w14:paraId="32606546">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0.0012</w:t>
                  </w:r>
                </w:p>
              </w:tc>
              <w:tc>
                <w:tcPr>
                  <w:tcW w:w="430" w:type="pct"/>
                  <w:noWrap w:val="0"/>
                  <w:vAlign w:val="center"/>
                </w:tcPr>
                <w:p w14:paraId="49F7DB30">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458" w:type="pct"/>
                  <w:noWrap w:val="0"/>
                  <w:vAlign w:val="center"/>
                </w:tcPr>
                <w:p w14:paraId="6A41EDA1">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0.0002</w:t>
                  </w:r>
                </w:p>
              </w:tc>
              <w:tc>
                <w:tcPr>
                  <w:tcW w:w="413" w:type="pct"/>
                  <w:noWrap w:val="0"/>
                  <w:vAlign w:val="center"/>
                </w:tcPr>
                <w:p w14:paraId="3B30F30D">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0.0012</w:t>
                  </w:r>
                </w:p>
              </w:tc>
              <w:tc>
                <w:tcPr>
                  <w:tcW w:w="615" w:type="pct"/>
                  <w:noWrap w:val="0"/>
                  <w:vAlign w:val="center"/>
                </w:tcPr>
                <w:p w14:paraId="127BA2AE">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7200/8760</w:t>
                  </w:r>
                </w:p>
              </w:tc>
            </w:tr>
            <w:tr w14:paraId="34FAF7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4" w:type="pct"/>
                  <w:gridSpan w:val="2"/>
                  <w:vMerge w:val="restart"/>
                  <w:noWrap w:val="0"/>
                  <w:vAlign w:val="center"/>
                </w:tcPr>
                <w:p w14:paraId="49833931">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合计</w:t>
                  </w:r>
                </w:p>
              </w:tc>
              <w:tc>
                <w:tcPr>
                  <w:tcW w:w="504" w:type="pct"/>
                  <w:noWrap w:val="0"/>
                  <w:vAlign w:val="center"/>
                </w:tcPr>
                <w:p w14:paraId="3173B290">
                  <w:pPr>
                    <w:pStyle w:val="26"/>
                    <w:bidi w:val="0"/>
                    <w:ind w:firstLine="0" w:firstLineChars="0"/>
                    <w:jc w:val="center"/>
                    <w:rPr>
                      <w:rFonts w:hint="eastAsia"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沥青烟</w:t>
                  </w:r>
                </w:p>
              </w:tc>
              <w:tc>
                <w:tcPr>
                  <w:tcW w:w="382" w:type="pct"/>
                  <w:vMerge w:val="restart"/>
                  <w:noWrap w:val="0"/>
                  <w:vAlign w:val="center"/>
                </w:tcPr>
                <w:p w14:paraId="0BC163F6">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w:t>
                  </w:r>
                </w:p>
              </w:tc>
              <w:tc>
                <w:tcPr>
                  <w:tcW w:w="474" w:type="pct"/>
                  <w:vMerge w:val="restart"/>
                  <w:noWrap w:val="0"/>
                  <w:vAlign w:val="center"/>
                </w:tcPr>
                <w:p w14:paraId="7341FA62">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w:t>
                  </w:r>
                </w:p>
              </w:tc>
              <w:tc>
                <w:tcPr>
                  <w:tcW w:w="443" w:type="pct"/>
                  <w:vMerge w:val="restart"/>
                  <w:noWrap w:val="0"/>
                  <w:vAlign w:val="center"/>
                </w:tcPr>
                <w:p w14:paraId="41C4ED62">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w:t>
                  </w:r>
                </w:p>
              </w:tc>
              <w:tc>
                <w:tcPr>
                  <w:tcW w:w="402" w:type="pct"/>
                  <w:noWrap w:val="0"/>
                  <w:vAlign w:val="center"/>
                </w:tcPr>
                <w:p w14:paraId="29C3196E">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0.4219</w:t>
                  </w:r>
                </w:p>
              </w:tc>
              <w:tc>
                <w:tcPr>
                  <w:tcW w:w="430" w:type="pct"/>
                  <w:vMerge w:val="restart"/>
                  <w:noWrap w:val="0"/>
                  <w:vAlign w:val="center"/>
                </w:tcPr>
                <w:p w14:paraId="58FEA4E8">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w:t>
                  </w:r>
                </w:p>
              </w:tc>
              <w:tc>
                <w:tcPr>
                  <w:tcW w:w="458" w:type="pct"/>
                  <w:vMerge w:val="restart"/>
                  <w:noWrap w:val="0"/>
                  <w:vAlign w:val="center"/>
                </w:tcPr>
                <w:p w14:paraId="5C52D982">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w:t>
                  </w:r>
                </w:p>
              </w:tc>
              <w:tc>
                <w:tcPr>
                  <w:tcW w:w="413" w:type="pct"/>
                  <w:noWrap w:val="0"/>
                  <w:vAlign w:val="center"/>
                </w:tcPr>
                <w:p w14:paraId="49A94947">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0.0291</w:t>
                  </w:r>
                </w:p>
              </w:tc>
              <w:tc>
                <w:tcPr>
                  <w:tcW w:w="615" w:type="pct"/>
                  <w:noWrap w:val="0"/>
                  <w:vAlign w:val="center"/>
                </w:tcPr>
                <w:p w14:paraId="3B4A7CD5">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w:t>
                  </w:r>
                </w:p>
              </w:tc>
            </w:tr>
            <w:tr w14:paraId="78241F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4" w:type="pct"/>
                  <w:gridSpan w:val="2"/>
                  <w:vMerge w:val="continue"/>
                  <w:noWrap w:val="0"/>
                  <w:vAlign w:val="center"/>
                </w:tcPr>
                <w:p w14:paraId="3938553F">
                  <w:pPr>
                    <w:pStyle w:val="26"/>
                    <w:bidi w:val="0"/>
                    <w:jc w:val="center"/>
                    <w:rPr>
                      <w:rFonts w:hint="default"/>
                      <w:color w:val="000000" w:themeColor="text1"/>
                      <w:highlight w:val="none"/>
                      <w:lang w:val="en-US" w:eastAsia="zh-CN" w:bidi="ar-SA"/>
                      <w14:textFill>
                        <w14:solidFill>
                          <w14:schemeClr w14:val="tx1"/>
                        </w14:solidFill>
                      </w14:textFill>
                    </w:rPr>
                  </w:pPr>
                </w:p>
              </w:tc>
              <w:tc>
                <w:tcPr>
                  <w:tcW w:w="504" w:type="pct"/>
                  <w:noWrap w:val="0"/>
                  <w:vAlign w:val="center"/>
                </w:tcPr>
                <w:p w14:paraId="10D04880">
                  <w:pPr>
                    <w:pStyle w:val="26"/>
                    <w:bidi w:val="0"/>
                    <w:ind w:firstLine="0" w:firstLineChars="0"/>
                    <w:jc w:val="center"/>
                    <w:rPr>
                      <w:rFonts w:hint="eastAsia"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苯并[a]芘</w:t>
                  </w:r>
                </w:p>
              </w:tc>
              <w:tc>
                <w:tcPr>
                  <w:tcW w:w="382" w:type="pct"/>
                  <w:vMerge w:val="continue"/>
                  <w:noWrap w:val="0"/>
                  <w:vAlign w:val="center"/>
                </w:tcPr>
                <w:p w14:paraId="7251D03D">
                  <w:pPr>
                    <w:pStyle w:val="26"/>
                    <w:bidi w:val="0"/>
                    <w:jc w:val="center"/>
                    <w:rPr>
                      <w:rFonts w:hint="default"/>
                      <w:color w:val="000000" w:themeColor="text1"/>
                      <w:highlight w:val="none"/>
                      <w:lang w:val="en-US" w:eastAsia="zh-CN" w:bidi="ar-SA"/>
                      <w14:textFill>
                        <w14:solidFill>
                          <w14:schemeClr w14:val="tx1"/>
                        </w14:solidFill>
                      </w14:textFill>
                    </w:rPr>
                  </w:pPr>
                </w:p>
              </w:tc>
              <w:tc>
                <w:tcPr>
                  <w:tcW w:w="474" w:type="pct"/>
                  <w:vMerge w:val="continue"/>
                  <w:noWrap w:val="0"/>
                  <w:vAlign w:val="center"/>
                </w:tcPr>
                <w:p w14:paraId="19785A2B">
                  <w:pPr>
                    <w:pStyle w:val="26"/>
                    <w:bidi w:val="0"/>
                    <w:jc w:val="center"/>
                    <w:rPr>
                      <w:rFonts w:hint="default"/>
                      <w:color w:val="000000" w:themeColor="text1"/>
                      <w:highlight w:val="none"/>
                      <w:lang w:val="en-US" w:eastAsia="zh-CN" w:bidi="ar-SA"/>
                      <w14:textFill>
                        <w14:solidFill>
                          <w14:schemeClr w14:val="tx1"/>
                        </w14:solidFill>
                      </w14:textFill>
                    </w:rPr>
                  </w:pPr>
                </w:p>
              </w:tc>
              <w:tc>
                <w:tcPr>
                  <w:tcW w:w="443" w:type="pct"/>
                  <w:vMerge w:val="continue"/>
                  <w:noWrap w:val="0"/>
                  <w:vAlign w:val="center"/>
                </w:tcPr>
                <w:p w14:paraId="2DE8D5D6">
                  <w:pPr>
                    <w:pStyle w:val="26"/>
                    <w:bidi w:val="0"/>
                    <w:jc w:val="center"/>
                    <w:rPr>
                      <w:rFonts w:hint="default"/>
                      <w:color w:val="000000" w:themeColor="text1"/>
                      <w:highlight w:val="none"/>
                      <w:lang w:val="en-US" w:eastAsia="zh-CN" w:bidi="ar-SA"/>
                      <w14:textFill>
                        <w14:solidFill>
                          <w14:schemeClr w14:val="tx1"/>
                        </w14:solidFill>
                      </w14:textFill>
                    </w:rPr>
                  </w:pPr>
                </w:p>
              </w:tc>
              <w:tc>
                <w:tcPr>
                  <w:tcW w:w="402" w:type="pct"/>
                  <w:noWrap w:val="0"/>
                  <w:vAlign w:val="center"/>
                </w:tcPr>
                <w:p w14:paraId="554991C7">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1.13E-04</w:t>
                  </w:r>
                </w:p>
              </w:tc>
              <w:tc>
                <w:tcPr>
                  <w:tcW w:w="430" w:type="pct"/>
                  <w:vMerge w:val="continue"/>
                  <w:noWrap w:val="0"/>
                  <w:vAlign w:val="center"/>
                </w:tcPr>
                <w:p w14:paraId="020E379E">
                  <w:pPr>
                    <w:pStyle w:val="26"/>
                    <w:bidi w:val="0"/>
                    <w:jc w:val="center"/>
                    <w:rPr>
                      <w:rFonts w:hint="default"/>
                      <w:color w:val="000000" w:themeColor="text1"/>
                      <w:highlight w:val="none"/>
                      <w:lang w:val="en-US" w:eastAsia="zh-CN" w:bidi="ar-SA"/>
                      <w14:textFill>
                        <w14:solidFill>
                          <w14:schemeClr w14:val="tx1"/>
                        </w14:solidFill>
                      </w14:textFill>
                    </w:rPr>
                  </w:pPr>
                </w:p>
              </w:tc>
              <w:tc>
                <w:tcPr>
                  <w:tcW w:w="458" w:type="pct"/>
                  <w:vMerge w:val="continue"/>
                  <w:noWrap w:val="0"/>
                  <w:vAlign w:val="center"/>
                </w:tcPr>
                <w:p w14:paraId="5F22F5A4">
                  <w:pPr>
                    <w:pStyle w:val="26"/>
                    <w:bidi w:val="0"/>
                    <w:jc w:val="center"/>
                    <w:rPr>
                      <w:rFonts w:hint="default"/>
                      <w:color w:val="000000" w:themeColor="text1"/>
                      <w:highlight w:val="none"/>
                      <w:lang w:val="en-US" w:eastAsia="zh-CN" w:bidi="ar-SA"/>
                      <w14:textFill>
                        <w14:solidFill>
                          <w14:schemeClr w14:val="tx1"/>
                        </w14:solidFill>
                      </w14:textFill>
                    </w:rPr>
                  </w:pPr>
                </w:p>
              </w:tc>
              <w:tc>
                <w:tcPr>
                  <w:tcW w:w="413" w:type="pct"/>
                  <w:noWrap w:val="0"/>
                  <w:vAlign w:val="center"/>
                </w:tcPr>
                <w:p w14:paraId="635C3BDA">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7.76E-06</w:t>
                  </w:r>
                </w:p>
              </w:tc>
              <w:tc>
                <w:tcPr>
                  <w:tcW w:w="615" w:type="pct"/>
                  <w:noWrap w:val="0"/>
                  <w:vAlign w:val="center"/>
                </w:tcPr>
                <w:p w14:paraId="0B435C49">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w:t>
                  </w:r>
                </w:p>
              </w:tc>
            </w:tr>
            <w:tr w14:paraId="6CC7F2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4" w:type="pct"/>
                  <w:gridSpan w:val="2"/>
                  <w:vMerge w:val="continue"/>
                  <w:noWrap w:val="0"/>
                  <w:vAlign w:val="center"/>
                </w:tcPr>
                <w:p w14:paraId="3285C87D">
                  <w:pPr>
                    <w:pStyle w:val="26"/>
                    <w:bidi w:val="0"/>
                    <w:jc w:val="center"/>
                    <w:rPr>
                      <w:rFonts w:hint="default"/>
                      <w:color w:val="000000" w:themeColor="text1"/>
                      <w:highlight w:val="none"/>
                      <w:lang w:val="en-US" w:eastAsia="zh-CN" w:bidi="ar-SA"/>
                      <w14:textFill>
                        <w14:solidFill>
                          <w14:schemeClr w14:val="tx1"/>
                        </w14:solidFill>
                      </w14:textFill>
                    </w:rPr>
                  </w:pPr>
                </w:p>
              </w:tc>
              <w:tc>
                <w:tcPr>
                  <w:tcW w:w="504" w:type="pct"/>
                  <w:noWrap w:val="0"/>
                  <w:vAlign w:val="center"/>
                </w:tcPr>
                <w:p w14:paraId="2AF1A5CB">
                  <w:pPr>
                    <w:pStyle w:val="26"/>
                    <w:bidi w:val="0"/>
                    <w:ind w:firstLine="0" w:firstLineChars="0"/>
                    <w:jc w:val="center"/>
                    <w:rPr>
                      <w:rFonts w:hint="eastAsia"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颗粒物</w:t>
                  </w:r>
                </w:p>
              </w:tc>
              <w:tc>
                <w:tcPr>
                  <w:tcW w:w="382" w:type="pct"/>
                  <w:vMerge w:val="continue"/>
                  <w:noWrap w:val="0"/>
                  <w:vAlign w:val="center"/>
                </w:tcPr>
                <w:p w14:paraId="51B1939B">
                  <w:pPr>
                    <w:pStyle w:val="26"/>
                    <w:bidi w:val="0"/>
                    <w:jc w:val="center"/>
                    <w:rPr>
                      <w:rFonts w:hint="default"/>
                      <w:color w:val="000000" w:themeColor="text1"/>
                      <w:highlight w:val="none"/>
                      <w:lang w:val="en-US" w:eastAsia="zh-CN" w:bidi="ar-SA"/>
                      <w14:textFill>
                        <w14:solidFill>
                          <w14:schemeClr w14:val="tx1"/>
                        </w14:solidFill>
                      </w14:textFill>
                    </w:rPr>
                  </w:pPr>
                </w:p>
              </w:tc>
              <w:tc>
                <w:tcPr>
                  <w:tcW w:w="474" w:type="pct"/>
                  <w:vMerge w:val="continue"/>
                  <w:noWrap w:val="0"/>
                  <w:vAlign w:val="center"/>
                </w:tcPr>
                <w:p w14:paraId="30217FC3">
                  <w:pPr>
                    <w:pStyle w:val="26"/>
                    <w:bidi w:val="0"/>
                    <w:jc w:val="center"/>
                    <w:rPr>
                      <w:rFonts w:hint="default"/>
                      <w:color w:val="000000" w:themeColor="text1"/>
                      <w:highlight w:val="none"/>
                      <w:lang w:val="en-US" w:eastAsia="zh-CN" w:bidi="ar-SA"/>
                      <w14:textFill>
                        <w14:solidFill>
                          <w14:schemeClr w14:val="tx1"/>
                        </w14:solidFill>
                      </w14:textFill>
                    </w:rPr>
                  </w:pPr>
                </w:p>
              </w:tc>
              <w:tc>
                <w:tcPr>
                  <w:tcW w:w="443" w:type="pct"/>
                  <w:vMerge w:val="continue"/>
                  <w:noWrap w:val="0"/>
                  <w:vAlign w:val="center"/>
                </w:tcPr>
                <w:p w14:paraId="4D666F71">
                  <w:pPr>
                    <w:pStyle w:val="26"/>
                    <w:bidi w:val="0"/>
                    <w:jc w:val="center"/>
                    <w:rPr>
                      <w:rFonts w:hint="default"/>
                      <w:color w:val="000000" w:themeColor="text1"/>
                      <w:highlight w:val="none"/>
                      <w:lang w:val="en-US" w:eastAsia="zh-CN" w:bidi="ar-SA"/>
                      <w14:textFill>
                        <w14:solidFill>
                          <w14:schemeClr w14:val="tx1"/>
                        </w14:solidFill>
                      </w14:textFill>
                    </w:rPr>
                  </w:pPr>
                </w:p>
              </w:tc>
              <w:tc>
                <w:tcPr>
                  <w:tcW w:w="1077" w:type="dxa"/>
                  <w:noWrap w:val="0"/>
                  <w:vAlign w:val="center"/>
                </w:tcPr>
                <w:p w14:paraId="7F91F41D">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6.3500</w:t>
                  </w:r>
                </w:p>
              </w:tc>
              <w:tc>
                <w:tcPr>
                  <w:tcW w:w="430" w:type="pct"/>
                  <w:vMerge w:val="continue"/>
                  <w:noWrap w:val="0"/>
                  <w:vAlign w:val="center"/>
                </w:tcPr>
                <w:p w14:paraId="7EBDBD33">
                  <w:pPr>
                    <w:pStyle w:val="26"/>
                    <w:bidi w:val="0"/>
                    <w:jc w:val="center"/>
                    <w:rPr>
                      <w:rFonts w:hint="default"/>
                      <w:color w:val="000000" w:themeColor="text1"/>
                      <w:highlight w:val="none"/>
                      <w:lang w:val="en-US" w:eastAsia="zh-CN" w:bidi="ar-SA"/>
                      <w14:textFill>
                        <w14:solidFill>
                          <w14:schemeClr w14:val="tx1"/>
                        </w14:solidFill>
                      </w14:textFill>
                    </w:rPr>
                  </w:pPr>
                </w:p>
              </w:tc>
              <w:tc>
                <w:tcPr>
                  <w:tcW w:w="458" w:type="pct"/>
                  <w:vMerge w:val="continue"/>
                  <w:noWrap w:val="0"/>
                  <w:vAlign w:val="center"/>
                </w:tcPr>
                <w:p w14:paraId="468332D2">
                  <w:pPr>
                    <w:pStyle w:val="26"/>
                    <w:bidi w:val="0"/>
                    <w:jc w:val="center"/>
                    <w:rPr>
                      <w:rFonts w:hint="default"/>
                      <w:color w:val="000000" w:themeColor="text1"/>
                      <w:highlight w:val="none"/>
                      <w:lang w:val="en-US" w:eastAsia="zh-CN" w:bidi="ar-SA"/>
                      <w14:textFill>
                        <w14:solidFill>
                          <w14:schemeClr w14:val="tx1"/>
                        </w14:solidFill>
                      </w14:textFill>
                    </w:rPr>
                  </w:pPr>
                </w:p>
              </w:tc>
              <w:tc>
                <w:tcPr>
                  <w:tcW w:w="1105" w:type="dxa"/>
                  <w:noWrap w:val="0"/>
                  <w:vAlign w:val="center"/>
                </w:tcPr>
                <w:p w14:paraId="2BBE3995">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0.1892</w:t>
                  </w:r>
                </w:p>
              </w:tc>
              <w:tc>
                <w:tcPr>
                  <w:tcW w:w="615" w:type="pct"/>
                  <w:noWrap w:val="0"/>
                  <w:vAlign w:val="center"/>
                </w:tcPr>
                <w:p w14:paraId="78D9C13D">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w:t>
                  </w:r>
                </w:p>
              </w:tc>
            </w:tr>
            <w:tr w14:paraId="158956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4" w:type="pct"/>
                  <w:gridSpan w:val="2"/>
                  <w:vMerge w:val="continue"/>
                  <w:noWrap w:val="0"/>
                  <w:vAlign w:val="center"/>
                </w:tcPr>
                <w:p w14:paraId="7F6FC99A">
                  <w:pPr>
                    <w:pStyle w:val="26"/>
                    <w:bidi w:val="0"/>
                    <w:jc w:val="center"/>
                    <w:rPr>
                      <w:rFonts w:hint="default"/>
                      <w:color w:val="000000" w:themeColor="text1"/>
                      <w:highlight w:val="none"/>
                      <w:lang w:val="en-US" w:eastAsia="zh-CN" w:bidi="ar-SA"/>
                      <w14:textFill>
                        <w14:solidFill>
                          <w14:schemeClr w14:val="tx1"/>
                        </w14:solidFill>
                      </w14:textFill>
                    </w:rPr>
                  </w:pPr>
                </w:p>
              </w:tc>
              <w:tc>
                <w:tcPr>
                  <w:tcW w:w="504" w:type="pct"/>
                  <w:noWrap w:val="0"/>
                  <w:vAlign w:val="center"/>
                </w:tcPr>
                <w:p w14:paraId="34D12E12">
                  <w:pPr>
                    <w:pStyle w:val="26"/>
                    <w:bidi w:val="0"/>
                    <w:ind w:firstLine="0" w:firstLineChars="0"/>
                    <w:jc w:val="center"/>
                    <w:rPr>
                      <w:rFonts w:hint="eastAsia"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非甲烷总烃</w:t>
                  </w:r>
                </w:p>
              </w:tc>
              <w:tc>
                <w:tcPr>
                  <w:tcW w:w="382" w:type="pct"/>
                  <w:vMerge w:val="continue"/>
                  <w:noWrap w:val="0"/>
                  <w:vAlign w:val="center"/>
                </w:tcPr>
                <w:p w14:paraId="3CEF7EEE">
                  <w:pPr>
                    <w:pStyle w:val="26"/>
                    <w:bidi w:val="0"/>
                    <w:jc w:val="center"/>
                    <w:rPr>
                      <w:rFonts w:hint="default"/>
                      <w:color w:val="000000" w:themeColor="text1"/>
                      <w:highlight w:val="none"/>
                      <w:lang w:val="en-US" w:eastAsia="zh-CN" w:bidi="ar-SA"/>
                      <w14:textFill>
                        <w14:solidFill>
                          <w14:schemeClr w14:val="tx1"/>
                        </w14:solidFill>
                      </w14:textFill>
                    </w:rPr>
                  </w:pPr>
                </w:p>
              </w:tc>
              <w:tc>
                <w:tcPr>
                  <w:tcW w:w="474" w:type="pct"/>
                  <w:vMerge w:val="continue"/>
                  <w:noWrap w:val="0"/>
                  <w:vAlign w:val="center"/>
                </w:tcPr>
                <w:p w14:paraId="0468B412">
                  <w:pPr>
                    <w:pStyle w:val="26"/>
                    <w:bidi w:val="0"/>
                    <w:jc w:val="center"/>
                    <w:rPr>
                      <w:rFonts w:hint="default"/>
                      <w:color w:val="000000" w:themeColor="text1"/>
                      <w:highlight w:val="none"/>
                      <w:lang w:val="en-US" w:eastAsia="zh-CN" w:bidi="ar-SA"/>
                      <w14:textFill>
                        <w14:solidFill>
                          <w14:schemeClr w14:val="tx1"/>
                        </w14:solidFill>
                      </w14:textFill>
                    </w:rPr>
                  </w:pPr>
                </w:p>
              </w:tc>
              <w:tc>
                <w:tcPr>
                  <w:tcW w:w="443" w:type="pct"/>
                  <w:vMerge w:val="continue"/>
                  <w:noWrap w:val="0"/>
                  <w:vAlign w:val="center"/>
                </w:tcPr>
                <w:p w14:paraId="08F8C5AA">
                  <w:pPr>
                    <w:pStyle w:val="26"/>
                    <w:bidi w:val="0"/>
                    <w:jc w:val="center"/>
                    <w:rPr>
                      <w:rFonts w:hint="default"/>
                      <w:color w:val="000000" w:themeColor="text1"/>
                      <w:highlight w:val="none"/>
                      <w:lang w:val="en-US" w:eastAsia="zh-CN" w:bidi="ar-SA"/>
                      <w14:textFill>
                        <w14:solidFill>
                          <w14:schemeClr w14:val="tx1"/>
                        </w14:solidFill>
                      </w14:textFill>
                    </w:rPr>
                  </w:pPr>
                </w:p>
              </w:tc>
              <w:tc>
                <w:tcPr>
                  <w:tcW w:w="1077" w:type="dxa"/>
                  <w:noWrap w:val="0"/>
                  <w:vAlign w:val="center"/>
                </w:tcPr>
                <w:p w14:paraId="0AE1DCD5">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41.0262</w:t>
                  </w:r>
                </w:p>
              </w:tc>
              <w:tc>
                <w:tcPr>
                  <w:tcW w:w="430" w:type="pct"/>
                  <w:vMerge w:val="continue"/>
                  <w:noWrap w:val="0"/>
                  <w:vAlign w:val="center"/>
                </w:tcPr>
                <w:p w14:paraId="2426A9E2">
                  <w:pPr>
                    <w:pStyle w:val="26"/>
                    <w:bidi w:val="0"/>
                    <w:jc w:val="center"/>
                    <w:rPr>
                      <w:rFonts w:hint="default"/>
                      <w:color w:val="000000" w:themeColor="text1"/>
                      <w:highlight w:val="none"/>
                      <w:lang w:val="en-US" w:eastAsia="zh-CN" w:bidi="ar-SA"/>
                      <w14:textFill>
                        <w14:solidFill>
                          <w14:schemeClr w14:val="tx1"/>
                        </w14:solidFill>
                      </w14:textFill>
                    </w:rPr>
                  </w:pPr>
                </w:p>
              </w:tc>
              <w:tc>
                <w:tcPr>
                  <w:tcW w:w="458" w:type="pct"/>
                  <w:vMerge w:val="continue"/>
                  <w:noWrap w:val="0"/>
                  <w:vAlign w:val="center"/>
                </w:tcPr>
                <w:p w14:paraId="2472765D">
                  <w:pPr>
                    <w:pStyle w:val="26"/>
                    <w:bidi w:val="0"/>
                    <w:jc w:val="center"/>
                    <w:rPr>
                      <w:rFonts w:hint="default"/>
                      <w:color w:val="000000" w:themeColor="text1"/>
                      <w:highlight w:val="none"/>
                      <w:lang w:val="en-US" w:eastAsia="zh-CN" w:bidi="ar-SA"/>
                      <w14:textFill>
                        <w14:solidFill>
                          <w14:schemeClr w14:val="tx1"/>
                        </w14:solidFill>
                      </w14:textFill>
                    </w:rPr>
                  </w:pPr>
                </w:p>
              </w:tc>
              <w:tc>
                <w:tcPr>
                  <w:tcW w:w="1105" w:type="dxa"/>
                  <w:noWrap w:val="0"/>
                  <w:vAlign w:val="center"/>
                </w:tcPr>
                <w:p w14:paraId="60D0F084">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3.2599</w:t>
                  </w:r>
                </w:p>
              </w:tc>
              <w:tc>
                <w:tcPr>
                  <w:tcW w:w="615" w:type="pct"/>
                  <w:noWrap w:val="0"/>
                  <w:vAlign w:val="center"/>
                </w:tcPr>
                <w:p w14:paraId="0B7302DC">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w:t>
                  </w:r>
                </w:p>
              </w:tc>
            </w:tr>
          </w:tbl>
          <w:p w14:paraId="0317E076">
            <w:pPr>
              <w:rPr>
                <w:rFonts w:hint="default"/>
                <w:color w:val="000000" w:themeColor="text1"/>
                <w:highlight w:val="none"/>
                <w:lang w:eastAsia="zh-CN"/>
                <w14:textFill>
                  <w14:solidFill>
                    <w14:schemeClr w14:val="tx1"/>
                  </w14:solidFill>
                </w14:textFill>
              </w:rPr>
            </w:pPr>
          </w:p>
        </w:tc>
      </w:tr>
    </w:tbl>
    <w:p w14:paraId="68F5A0DE">
      <w:pPr>
        <w:numPr>
          <w:ilvl w:val="0"/>
          <w:numId w:val="0"/>
        </w:numPr>
        <w:tabs>
          <w:tab w:val="left" w:pos="0"/>
        </w:tabs>
        <w:bidi w:val="0"/>
        <w:ind w:leftChars="200"/>
        <w:rPr>
          <w:rFonts w:hint="default"/>
          <w:color w:val="000000" w:themeColor="text1"/>
          <w:highlight w:val="none"/>
          <w:lang w:eastAsia="zh-CN"/>
          <w14:textFill>
            <w14:solidFill>
              <w14:schemeClr w14:val="tx1"/>
            </w14:solidFill>
          </w14:textFill>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8515"/>
      </w:tblGrid>
      <w:tr w14:paraId="7F0F3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7" w:hRule="atLeast"/>
        </w:trPr>
        <w:tc>
          <w:tcPr>
            <w:tcW w:w="416" w:type="pct"/>
            <w:noWrap w:val="0"/>
            <w:vAlign w:val="center"/>
          </w:tcPr>
          <w:p w14:paraId="4D7B256E">
            <w:pPr>
              <w:pStyle w:val="26"/>
              <w:bidi w:val="0"/>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运营期环境影响和保护措施</w:t>
            </w:r>
          </w:p>
        </w:tc>
        <w:tc>
          <w:tcPr>
            <w:tcW w:w="4583" w:type="pct"/>
            <w:noWrap w:val="0"/>
            <w:vAlign w:val="center"/>
          </w:tcPr>
          <w:p w14:paraId="6DFC11C9">
            <w:pPr>
              <w:pStyle w:val="3"/>
              <w:bidi w:val="0"/>
              <w:rPr>
                <w:rFonts w:hint="default"/>
                <w:color w:val="000000" w:themeColor="text1"/>
                <w:highlight w:val="none"/>
                <w:lang w:val="en-US" w:eastAsia="zh-CN"/>
                <w14:textFill>
                  <w14:solidFill>
                    <w14:schemeClr w14:val="tx1"/>
                  </w14:solidFill>
                </w14:textFill>
              </w:rPr>
            </w:pPr>
            <w:bookmarkStart w:id="190" w:name="_Toc1197"/>
            <w:bookmarkStart w:id="191" w:name="_Toc25260"/>
            <w:bookmarkStart w:id="192" w:name="_Toc29212"/>
            <w:bookmarkStart w:id="193" w:name="_Toc7298"/>
            <w:bookmarkStart w:id="194" w:name="_Toc8288"/>
            <w:r>
              <w:rPr>
                <w:rFonts w:hint="eastAsia"/>
                <w:color w:val="000000" w:themeColor="text1"/>
                <w:highlight w:val="none"/>
                <w:lang w:val="en-US" w:eastAsia="zh-CN"/>
                <w14:textFill>
                  <w14:solidFill>
                    <w14:schemeClr w14:val="tx1"/>
                  </w14:solidFill>
                </w14:textFill>
              </w:rPr>
              <w:t>有组织废气污染防治措施及其可行性分析</w:t>
            </w:r>
          </w:p>
          <w:p w14:paraId="22570206">
            <w:pPr>
              <w:pStyle w:val="4"/>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有组织废气防治措施</w:t>
            </w:r>
          </w:p>
          <w:p w14:paraId="2CD9E8A7">
            <w:pP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项目建成后，</w:t>
            </w:r>
            <w:r>
              <w:rPr>
                <w:rFonts w:hint="eastAsia" w:cs="Times New Roman"/>
                <w:color w:val="000000" w:themeColor="text1"/>
                <w:highlight w:val="none"/>
                <w:lang w:val="en-US" w:eastAsia="zh-CN"/>
                <w14:textFill>
                  <w14:solidFill>
                    <w14:schemeClr w14:val="tx1"/>
                  </w14:solidFill>
                </w14:textFill>
              </w:rPr>
              <w:t>全厂</w:t>
            </w:r>
            <w:r>
              <w:rPr>
                <w:rFonts w:hint="default" w:ascii="Times New Roman" w:hAnsi="Times New Roman" w:cs="Times New Roman"/>
                <w:color w:val="000000" w:themeColor="text1"/>
                <w:highlight w:val="none"/>
                <w:lang w:val="en-US" w:eastAsia="zh-CN"/>
                <w14:textFill>
                  <w14:solidFill>
                    <w14:schemeClr w14:val="tx1"/>
                  </w14:solidFill>
                </w14:textFill>
              </w:rPr>
              <w:t>采用的废气污染防治措施详见下</w:t>
            </w:r>
            <w:r>
              <w:rPr>
                <w:rFonts w:hint="eastAsia" w:ascii="Times New Roman" w:hAnsi="Times New Roman" w:cs="Times New Roman"/>
                <w:color w:val="000000" w:themeColor="text1"/>
                <w:highlight w:val="none"/>
                <w:lang w:val="en-US" w:eastAsia="zh-CN"/>
                <w14:textFill>
                  <w14:solidFill>
                    <w14:schemeClr w14:val="tx1"/>
                  </w14:solidFill>
                </w14:textFill>
              </w:rPr>
              <w:t>图所示。</w:t>
            </w:r>
          </w:p>
          <w:p w14:paraId="2103B600">
            <w:pPr>
              <w:ind w:left="0" w:leftChars="0" w:firstLine="0" w:firstLineChars="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object>
                <v:shape id="_x0000_i1030" o:spt="75" type="#_x0000_t75" style="height:423.45pt;width:395.55pt;" o:ole="t" filled="f" o:preferrelative="t" stroked="f" coordsize="21600,21600">
                  <v:path/>
                  <v:fill on="f" focussize="0,0"/>
                  <v:stroke on="f"/>
                  <v:imagedata r:id="rId41" o:title=""/>
                  <o:lock v:ext="edit" aspectratio="t"/>
                  <w10:wrap type="none"/>
                  <w10:anchorlock/>
                </v:shape>
                <o:OLEObject Type="Embed" ProgID="Visio.Drawing.11" ShapeID="_x0000_i1030" DrawAspect="Content" ObjectID="_1468075730" r:id="rId40">
                  <o:LockedField>false</o:LockedField>
                </o:OLEObject>
              </w:object>
            </w:r>
          </w:p>
          <w:p w14:paraId="28D5820A">
            <w:pPr>
              <w:pStyle w:val="28"/>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全厂废气治理措施图</w:t>
            </w:r>
          </w:p>
          <w:p w14:paraId="14BF3DCB">
            <w:pPr>
              <w:pStyle w:val="4"/>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有组织废气处理设施及其可行性分析</w:t>
            </w:r>
          </w:p>
          <w:p w14:paraId="72F7FAB9">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（1）一期工程废气</w:t>
            </w:r>
          </w:p>
          <w:p w14:paraId="4CFA2362">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一期工程单壁碳纳米管生产线烘干、引弧放电过程产生的废气与硅碳负极材料生产线砂磨、干燥、包覆、二次包覆、碳化过程产生的废气共用1套废气处理设施，采用“布袋除尘+两级活性炭吸附装置”处理后由1根15 m高排气筒（DA001）排放。</w:t>
            </w:r>
          </w:p>
          <w:p w14:paraId="698F2CC4">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工作原理：</w:t>
            </w:r>
          </w:p>
          <w:p w14:paraId="32B54483">
            <w:pP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①布袋除尘预处理工段</w:t>
            </w:r>
          </w:p>
          <w:p w14:paraId="21C9D9FB">
            <w:pPr>
              <w:rPr>
                <w:rFonts w:hint="eastAsia"/>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预处理选用</w:t>
            </w:r>
            <w:r>
              <w:rPr>
                <w:rFonts w:hint="eastAsia"/>
                <w:color w:val="000000" w:themeColor="text1"/>
                <w:highlight w:val="none"/>
                <w:lang w:val="en-US" w:eastAsia="zh-CN"/>
                <w14:textFill>
                  <w14:solidFill>
                    <w14:schemeClr w14:val="tx1"/>
                  </w14:solidFill>
                </w14:textFill>
              </w:rPr>
              <w:t>布袋除尘</w:t>
            </w:r>
            <w:r>
              <w:rPr>
                <w:rFonts w:hint="default"/>
                <w:color w:val="000000" w:themeColor="text1"/>
                <w:highlight w:val="none"/>
                <w:lang w:val="en-US" w:eastAsia="zh-CN"/>
                <w14:textFill>
                  <w14:solidFill>
                    <w14:schemeClr w14:val="tx1"/>
                  </w14:solidFill>
                </w14:textFill>
              </w:rPr>
              <w:t>，将气体组分与颗粒物组分分开</w:t>
            </w:r>
            <w:r>
              <w:rPr>
                <w:rFonts w:hint="eastAsia"/>
                <w:color w:val="000000" w:themeColor="text1"/>
                <w:highlight w:val="none"/>
                <w:lang w:val="en-US" w:eastAsia="zh-CN"/>
                <w14:textFill>
                  <w14:solidFill>
                    <w14:schemeClr w14:val="tx1"/>
                  </w14:solidFill>
                </w14:textFill>
              </w:rPr>
              <w:t>。</w:t>
            </w:r>
          </w:p>
          <w:p w14:paraId="558710A7">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布袋除尘器原理是：利用</w:t>
            </w:r>
            <w:r>
              <w:rPr>
                <w:rFonts w:hint="eastAsia" w:cs="Times New Roman"/>
                <w:color w:val="000000" w:themeColor="text1"/>
                <w:highlight w:val="none"/>
                <w:lang w:val="en-US" w:eastAsia="zh-CN"/>
                <w14:textFill>
                  <w14:solidFill>
                    <w14:schemeClr w14:val="tx1"/>
                  </w14:solidFill>
                </w14:textFill>
              </w:rPr>
              <w:t>黏附</w:t>
            </w:r>
            <w:r>
              <w:rPr>
                <w:rFonts w:hint="default" w:ascii="Times New Roman" w:hAnsi="Times New Roman" w:cs="Times New Roman"/>
                <w:color w:val="000000" w:themeColor="text1"/>
                <w:highlight w:val="none"/>
                <w:lang w:val="en-US" w:eastAsia="zh-CN"/>
                <w14:textFill>
                  <w14:solidFill>
                    <w14:schemeClr w14:val="tx1"/>
                  </w14:solidFill>
                </w14:textFill>
              </w:rPr>
              <w:t>在纤维上的粉尘层（初层）通过扩散、惯性、过滤等作用除掉含尘气体中的粉尘的除尘装置。虽然它是最古老的除尘方法之一，但由于它具有效率高、性能稳定可靠、操作简单等特点，因而获得越来越广泛的应用。袋式除尘器在工业粉尘的治理上具有广泛的应用，在我国锅炉烟气除尘上的应用尚处于初始阶段。袋式除尘器的有效捕集粒径大于0.2μm，对50μm、5μm、1μm 的粒子的捕集效率分别为100%、99.9%、99%，其总除尘效率一般可达99.9%以上。</w:t>
            </w:r>
          </w:p>
          <w:p w14:paraId="4F6B925B">
            <w:pPr>
              <w:rPr>
                <w:rFonts w:hint="default"/>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其优点是除尘效率高，一般在99.9%以上，除尘器出口粉尘浓度可达到10mg/m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highlight w:val="none"/>
                <w:lang w:val="en-US" w:eastAsia="zh-CN"/>
                <w14:textFill>
                  <w14:solidFill>
                    <w14:schemeClr w14:val="tx1"/>
                  </w14:solidFill>
                </w14:textFill>
              </w:rPr>
              <w:t>以下，对亚微米粒径的细尘有较高的分级除尘效率。处理气体量的范围大，并可处理非常高浓度的含尘气体，因此它可用作各种含尘气体的除尘器。其容量可小至每分钟数立方米、大到每分钟数万立方米的气流。在采用高密度的合成纤维滤袋和脉冲反冲清灰方式时，它能处理粉尘浓度超过700000mg/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highlight w:val="none"/>
                <w:lang w:val="en-US" w:eastAsia="zh-CN"/>
                <w14:textFill>
                  <w14:solidFill>
                    <w14:schemeClr w14:val="tx1"/>
                  </w14:solidFill>
                </w14:textFill>
              </w:rPr>
              <w:t>的含尘气体。它既可用于尘源的通风除尘，改善作业场所的空气质量，也可用于工业锅炉、流化床锅炉、窑炉及燃煤电站锅炉的烟气除尘，以及对诸如水泥、</w:t>
            </w:r>
            <w:r>
              <w:rPr>
                <w:rFonts w:hint="eastAsia" w:cs="Times New Roman"/>
                <w:color w:val="000000" w:themeColor="text1"/>
                <w:highlight w:val="none"/>
                <w:lang w:val="en-US" w:eastAsia="zh-CN"/>
                <w14:textFill>
                  <w14:solidFill>
                    <w14:schemeClr w14:val="tx1"/>
                  </w14:solidFill>
                </w14:textFill>
              </w:rPr>
              <w:t>炭黑</w:t>
            </w:r>
            <w:r>
              <w:rPr>
                <w:rFonts w:hint="default" w:ascii="Times New Roman" w:hAnsi="Times New Roman" w:cs="Times New Roman"/>
                <w:color w:val="000000" w:themeColor="text1"/>
                <w:highlight w:val="none"/>
                <w:lang w:val="en-US" w:eastAsia="zh-CN"/>
                <w14:textFill>
                  <w14:solidFill>
                    <w14:schemeClr w14:val="tx1"/>
                  </w14:solidFill>
                </w14:textFill>
              </w:rPr>
              <w:t>、沥青、石灰、石膏、化肥等各种工艺过程中含尘气体的除尘，以减少粉尘污染物的排放。袋式除尘器的结构比较简单，操作维护方便。在保证相同的除尘效率的前提下，其造价和运行费用略高于电除尘器。在采用玻璃纤维和某些种类的合成纤维来制作滤袋时，可在160-200℃的温度下运行</w:t>
            </w:r>
            <w:r>
              <w:rPr>
                <w:rFonts w:hint="eastAsia" w:ascii="Times New Roman" w:hAnsi="Times New Roman" w:cs="Times New Roman"/>
                <w:color w:val="000000" w:themeColor="text1"/>
                <w:highlight w:val="none"/>
                <w:lang w:val="en-US" w:eastAsia="zh-CN"/>
                <w14:textFill>
                  <w14:solidFill>
                    <w14:schemeClr w14:val="tx1"/>
                  </w14:solidFill>
                </w14:textFill>
              </w:rPr>
              <w:t>。</w:t>
            </w:r>
          </w:p>
          <w:p w14:paraId="48A4A784">
            <w:pP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②活性炭吸附装置</w:t>
            </w:r>
          </w:p>
          <w:p w14:paraId="5F7B11D2">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活性炭是一种具有多孔结构和大的内部比表面积的材料。由于其大的比表面积、微孔结构、高的吸附能力和很高的表面活性而成为独特的多功能吸附剂，且其价廉易得，可再生活化，同时它可有效去除废水、废气中的大部分有机物和某些无机物，所以它被世界各国广泛地应用于污水及废气的处理、空气净化、回收溶剂等环境保护和资源回收等领域。活性炭分为粉末活性炭、粒状活性炭及活性炭纤维，但是由于粉末活性炭产生二次污染且不能再生而被限制使用。粒状活性炭粒径500～5000μm，有机废气通过吸附床，与活性炭接触，废气中的有机污染物被吸附在活性炭表面，从而从气流中脱离出来，达到净化效果。</w:t>
            </w:r>
          </w:p>
          <w:p w14:paraId="0D0D714E">
            <w:pP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活性炭吸附装置的吸附效果主要取决于活性炭的碘值、形状以及更换频次，为了确保项目废气达标排放，建议建设单位选用</w:t>
            </w:r>
            <w:r>
              <w:rPr>
                <w:rFonts w:hint="eastAsia"/>
                <w:color w:val="000000" w:themeColor="text1"/>
                <w:highlight w:val="none"/>
                <w:lang w:val="en-US" w:eastAsia="zh-CN"/>
                <w14:textFill>
                  <w14:solidFill>
                    <w14:schemeClr w14:val="tx1"/>
                  </w14:solidFill>
                </w14:textFill>
              </w:rPr>
              <w:t>的</w:t>
            </w:r>
            <w:r>
              <w:rPr>
                <w:rFonts w:hint="eastAsia"/>
                <w:color w:val="000000" w:themeColor="text1"/>
                <w:highlight w:val="none"/>
                <w14:textFill>
                  <w14:solidFill>
                    <w14:schemeClr w14:val="tx1"/>
                  </w14:solidFill>
                </w14:textFill>
              </w:rPr>
              <w:t>活性炭碘值不小于800mg/g，同时，要求建设单位应定期对活性炭进行检查，并及时更换活性炭。</w:t>
            </w:r>
          </w:p>
          <w:p w14:paraId="11CD45AB">
            <w:pPr>
              <w:rPr>
                <w:rFonts w:hint="eastAsia"/>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根据《挥发性有机物治理实用手册（第二版）》，吸附法适合处理中低风量，浓度小于5000 mg/m</w:t>
            </w:r>
            <w:r>
              <w:rPr>
                <w:rFonts w:hint="default"/>
                <w:color w:val="000000" w:themeColor="text1"/>
                <w:highlight w:val="none"/>
                <w:vertAlign w:val="superscript"/>
                <w:lang w:val="en-US" w:eastAsia="zh-CN"/>
                <w14:textFill>
                  <w14:solidFill>
                    <w14:schemeClr w14:val="tx1"/>
                  </w14:solidFill>
                </w14:textFill>
              </w:rPr>
              <w:t>3</w:t>
            </w:r>
            <w:r>
              <w:rPr>
                <w:rFonts w:hint="default"/>
                <w:color w:val="000000" w:themeColor="text1"/>
                <w:highlight w:val="none"/>
                <w:lang w:val="en-US" w:eastAsia="zh-CN"/>
                <w14:textFill>
                  <w14:solidFill>
                    <w14:schemeClr w14:val="tx1"/>
                  </w14:solidFill>
                </w14:textFill>
              </w:rPr>
              <w:t>的VOCs。本项目有机废气浓度约</w:t>
            </w:r>
            <w:r>
              <w:rPr>
                <w:rFonts w:hint="eastAsia"/>
                <w:color w:val="000000" w:themeColor="text1"/>
                <w:highlight w:val="none"/>
                <w:lang w:val="en-US" w:eastAsia="zh-CN"/>
                <w14:textFill>
                  <w14:solidFill>
                    <w14:schemeClr w14:val="tx1"/>
                  </w14:solidFill>
                </w14:textFill>
              </w:rPr>
              <w:t xml:space="preserve">378.04 </w:t>
            </w:r>
            <w:r>
              <w:rPr>
                <w:rFonts w:hint="default"/>
                <w:color w:val="000000" w:themeColor="text1"/>
                <w:highlight w:val="none"/>
                <w:lang w:val="en-US" w:eastAsia="zh-CN"/>
                <w14:textFill>
                  <w14:solidFill>
                    <w14:schemeClr w14:val="tx1"/>
                  </w14:solidFill>
                </w14:textFill>
              </w:rPr>
              <w:t>mg/m</w:t>
            </w:r>
            <w:r>
              <w:rPr>
                <w:rFonts w:hint="default"/>
                <w:color w:val="000000" w:themeColor="text1"/>
                <w:highlight w:val="none"/>
                <w:vertAlign w:val="superscript"/>
                <w:lang w:val="en-US" w:eastAsia="zh-CN"/>
                <w14:textFill>
                  <w14:solidFill>
                    <w14:schemeClr w14:val="tx1"/>
                  </w14:solidFill>
                </w14:textFill>
              </w:rPr>
              <w:t>3</w:t>
            </w:r>
            <w:r>
              <w:rPr>
                <w:rFonts w:hint="default"/>
                <w:color w:val="000000" w:themeColor="text1"/>
                <w:highlight w:val="none"/>
                <w:lang w:val="en-US" w:eastAsia="zh-CN"/>
                <w14:textFill>
                  <w14:solidFill>
                    <w14:schemeClr w14:val="tx1"/>
                  </w14:solidFill>
                </w14:textFill>
              </w:rPr>
              <w:t>，风机风量为</w:t>
            </w:r>
            <w:r>
              <w:rPr>
                <w:rFonts w:hint="eastAsia"/>
                <w:color w:val="000000" w:themeColor="text1"/>
                <w:highlight w:val="none"/>
                <w:lang w:val="en-US" w:eastAsia="zh-CN"/>
                <w14:textFill>
                  <w14:solidFill>
                    <w14:schemeClr w14:val="tx1"/>
                  </w14:solidFill>
                </w14:textFill>
              </w:rPr>
              <w:t>100</w:t>
            </w:r>
            <w:r>
              <w:rPr>
                <w:rFonts w:hint="default"/>
                <w:color w:val="000000" w:themeColor="text1"/>
                <w:highlight w:val="none"/>
                <w:lang w:val="en-US" w:eastAsia="zh-CN"/>
                <w14:textFill>
                  <w14:solidFill>
                    <w14:schemeClr w14:val="tx1"/>
                  </w14:solidFill>
                </w14:textFill>
              </w:rPr>
              <w:t>00m</w:t>
            </w:r>
            <w:r>
              <w:rPr>
                <w:rFonts w:hint="default"/>
                <w:color w:val="000000" w:themeColor="text1"/>
                <w:highlight w:val="none"/>
                <w:vertAlign w:val="superscript"/>
                <w:lang w:val="en-US" w:eastAsia="zh-CN"/>
                <w14:textFill>
                  <w14:solidFill>
                    <w14:schemeClr w14:val="tx1"/>
                  </w14:solidFill>
                </w14:textFill>
              </w:rPr>
              <w:t>3</w:t>
            </w:r>
            <w:r>
              <w:rPr>
                <w:rFonts w:hint="default"/>
                <w:color w:val="000000" w:themeColor="text1"/>
                <w:highlight w:val="none"/>
                <w:lang w:val="en-US" w:eastAsia="zh-CN"/>
                <w14:textFill>
                  <w14:solidFill>
                    <w14:schemeClr w14:val="tx1"/>
                  </w14:solidFill>
                </w14:textFill>
              </w:rPr>
              <w:t>/h，满足吸附法处理条件。处理后排气筒DA001非甲烷总烃排放浓度和排放速率均可以达到《工业企业挥发性有机物排放标准》（DB35/1782-2018）中表1中相关标准限值</w:t>
            </w:r>
            <w:r>
              <w:rPr>
                <w:rFonts w:hint="eastAsia"/>
                <w:color w:val="000000" w:themeColor="text1"/>
                <w:highlight w:val="none"/>
                <w:lang w:val="en-US" w:eastAsia="zh-CN"/>
                <w14:textFill>
                  <w14:solidFill>
                    <w14:schemeClr w14:val="tx1"/>
                  </w14:solidFill>
                </w14:textFill>
              </w:rPr>
              <w:t>。同时，</w:t>
            </w:r>
            <w:r>
              <w:rPr>
                <w:rFonts w:hint="eastAsia"/>
                <w:color w:val="000000" w:themeColor="text1"/>
                <w:highlight w:val="none"/>
                <w14:textFill>
                  <w14:solidFill>
                    <w14:schemeClr w14:val="tx1"/>
                  </w14:solidFill>
                </w14:textFill>
              </w:rPr>
              <w:t>参照《挥发性有机物无组织排放控制标准》（编制说明）中，VOCs的去除率与初始浓度有关，低浓度时的去除效率即可达50%；当选用碘值不低于800 mg/g的活性炭作为吸附介质，其去除效率一般可达60%以上</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项目一期工程采用两级活性炭吸附（碘值</w:t>
            </w:r>
            <w:r>
              <w:rPr>
                <w:rFonts w:hint="eastAsia"/>
                <w:color w:val="000000" w:themeColor="text1"/>
                <w:highlight w:val="none"/>
                <w14:textFill>
                  <w14:solidFill>
                    <w14:schemeClr w14:val="tx1"/>
                  </w14:solidFill>
                </w14:textFill>
              </w:rPr>
              <w:t>不低于800 mg/g的活性炭</w:t>
            </w:r>
            <w:r>
              <w:rPr>
                <w:rFonts w:hint="eastAsia"/>
                <w:color w:val="000000" w:themeColor="text1"/>
                <w:highlight w:val="none"/>
                <w:lang w:val="en-US" w:eastAsia="zh-CN"/>
                <w14:textFill>
                  <w14:solidFill>
                    <w14:schemeClr w14:val="tx1"/>
                  </w14:solidFill>
                </w14:textFill>
              </w:rPr>
              <w:t>），去除效率可达84%，本次评价保守估计取80%。</w:t>
            </w:r>
          </w:p>
          <w:p w14:paraId="69EE7ACB">
            <w:pP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同时，针对本项目实际情况，沥青烟为颗粒物态和气态共存，苯并[a]芘也会吸附于颗粒物表面，因此布袋除尘器对其有协同处置作用，去除效率保守取85%。</w:t>
            </w:r>
          </w:p>
          <w:p w14:paraId="3EE7E1E9">
            <w:pP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一期工程由于有机废气产生量较小，活性炭吸附法具有吸附效率高，运行稳定，工艺成熟，维护费用低等特点。虽然活性炭吸附到一定量时会达到饱和需要定期更换，但初期投资低，维修管理容易等特点而被广泛应用。因此，从一次性投资和运行维护人力、物力、资金等方面分析，结合建设单位经济实力，环评认为采取低二级活性炭吸附装置的措施治理本项目一期工程废气具有经济可行性。</w:t>
            </w:r>
          </w:p>
          <w:p w14:paraId="2A6B3932">
            <w:pPr>
              <w:rPr>
                <w:rFonts w:hint="eastAsia"/>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因此，</w:t>
            </w:r>
            <w:r>
              <w:rPr>
                <w:rFonts w:hint="eastAsia"/>
                <w:color w:val="000000" w:themeColor="text1"/>
                <w:highlight w:val="none"/>
                <w:lang w:val="en-US" w:eastAsia="zh-CN"/>
                <w14:textFill>
                  <w14:solidFill>
                    <w14:schemeClr w14:val="tx1"/>
                  </w14:solidFill>
                </w14:textFill>
              </w:rPr>
              <w:t>一期工程单壁碳纳米管生产线烘干、引弧放电过程产生的废气与硅碳负极材料生产线包覆、碳化过程产生的废气</w:t>
            </w:r>
            <w:r>
              <w:rPr>
                <w:rFonts w:hint="default"/>
                <w:color w:val="000000" w:themeColor="text1"/>
                <w:highlight w:val="none"/>
                <w:lang w:val="en-US" w:eastAsia="zh-CN"/>
                <w14:textFill>
                  <w14:solidFill>
                    <w14:schemeClr w14:val="tx1"/>
                  </w14:solidFill>
                </w14:textFill>
              </w:rPr>
              <w:t>采用“</w:t>
            </w:r>
            <w:r>
              <w:rPr>
                <w:rFonts w:hint="eastAsia"/>
                <w:color w:val="000000" w:themeColor="text1"/>
                <w:highlight w:val="none"/>
                <w:lang w:val="en-US" w:eastAsia="zh-CN"/>
                <w14:textFill>
                  <w14:solidFill>
                    <w14:schemeClr w14:val="tx1"/>
                  </w14:solidFill>
                </w14:textFill>
              </w:rPr>
              <w:t>布袋除尘器+两级</w:t>
            </w:r>
            <w:r>
              <w:rPr>
                <w:rFonts w:hint="default"/>
                <w:color w:val="000000" w:themeColor="text1"/>
                <w:highlight w:val="none"/>
                <w:lang w:val="en-US" w:eastAsia="zh-CN"/>
                <w14:textFill>
                  <w14:solidFill>
                    <w14:schemeClr w14:val="tx1"/>
                  </w14:solidFill>
                </w14:textFill>
              </w:rPr>
              <w:t>活性炭吸附</w:t>
            </w:r>
            <w:r>
              <w:rPr>
                <w:rFonts w:hint="eastAsia"/>
                <w:color w:val="000000" w:themeColor="text1"/>
                <w:highlight w:val="none"/>
                <w:lang w:val="en-US" w:eastAsia="zh-CN"/>
                <w14:textFill>
                  <w14:solidFill>
                    <w14:schemeClr w14:val="tx1"/>
                  </w14:solidFill>
                </w14:textFill>
              </w:rPr>
              <w:t>装置</w:t>
            </w:r>
            <w:r>
              <w:rPr>
                <w:rFonts w:hint="default"/>
                <w:color w:val="000000" w:themeColor="text1"/>
                <w:highlight w:val="none"/>
                <w:lang w:val="en-US" w:eastAsia="zh-CN"/>
                <w14:textFill>
                  <w14:solidFill>
                    <w14:schemeClr w14:val="tx1"/>
                  </w14:solidFill>
                </w14:textFill>
              </w:rPr>
              <w:t>+15m排气筒”处理工艺，措施可行</w:t>
            </w:r>
            <w:r>
              <w:rPr>
                <w:rFonts w:hint="eastAsia"/>
                <w:color w:val="000000" w:themeColor="text1"/>
                <w:highlight w:val="none"/>
                <w:lang w:val="en-US" w:eastAsia="zh-CN"/>
                <w14:textFill>
                  <w14:solidFill>
                    <w14:schemeClr w14:val="tx1"/>
                  </w14:solidFill>
                </w14:textFill>
              </w:rPr>
              <w:t>。</w:t>
            </w:r>
          </w:p>
          <w:p w14:paraId="740663B2">
            <w:pP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（2）二期工程废气</w:t>
            </w:r>
          </w:p>
          <w:p w14:paraId="1050BD2F">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二期工程建成后，全厂单壁碳纳米管生产线烘干、引弧放电过程产生的废气与硅碳负极材料生产线砂磨、干燥、包覆、二次包覆、碳化过程产生的废气共同引入“布袋除尘+RCO催化燃烧”处理后由1根15 m高排气筒（*DA001）排放。</w:t>
            </w:r>
          </w:p>
          <w:p w14:paraId="729AB7D0">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工作原理：</w:t>
            </w:r>
          </w:p>
          <w:p w14:paraId="301F0D18">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①布袋除尘预处理工段</w:t>
            </w:r>
          </w:p>
          <w:p w14:paraId="3023DDBC">
            <w:pP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布袋除尘的工作原理及废气处理可行性分析前文已进行分析，此处不重复赘述。</w:t>
            </w:r>
          </w:p>
          <w:p w14:paraId="6B906FD6">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②RCO催化燃烧</w:t>
            </w:r>
          </w:p>
          <w:p w14:paraId="00EA547C">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蓄热式催化燃烧法，有机尾气通过引风机进入设备的转换阀，通过阀门切换将进口气体和出口气体完全分开。气体首先通过陶瓷材料填充层（底层）预热后发生热量的储备和热交换，其温度几乎达到催化层（中层）进行催化氧化所设定的温度，这时其中部分污染物氧化分解；废气继续通过加热区（上层，可采用电加热方式或天然气加热方式）升温，并维持在设定温度；其再进入催化层完成催化氧化反应，即反应生成CO</w:t>
            </w:r>
            <w:r>
              <w:rPr>
                <w:rFonts w:hint="default"/>
                <w:color w:val="000000" w:themeColor="text1"/>
                <w:highlight w:val="none"/>
                <w:vertAlign w:val="subscript"/>
                <w:lang w:val="en-US" w:eastAsia="zh-CN"/>
                <w14:textFill>
                  <w14:solidFill>
                    <w14:schemeClr w14:val="tx1"/>
                  </w14:solidFill>
                </w14:textFill>
              </w:rPr>
              <w:t>2</w:t>
            </w:r>
            <w:r>
              <w:rPr>
                <w:rFonts w:hint="default"/>
                <w:color w:val="000000" w:themeColor="text1"/>
                <w:highlight w:val="none"/>
                <w:lang w:val="en-US" w:eastAsia="zh-CN"/>
                <w14:textFill>
                  <w14:solidFill>
                    <w14:schemeClr w14:val="tx1"/>
                  </w14:solidFill>
                </w14:textFill>
              </w:rPr>
              <w:t>和水，并释放大量的热量，以达到预期的处理效果。经催化氧化后的气体进入其它的陶瓷填充层，回收热能后通过阀门转换排放到大气中，净化后排气温度仅略高于废气处理前的温度。系统连续运转、自动切换。通过阀门切换工作，所有的陶瓷填充层均完成加热、冷却、净化的循环步骤，热量得以回收。采用RCO工艺净化有机废气，可同时去除多种有机污染物，具有工艺流程简单、净化效率高、运行可靠等优点；RCO在废气处理整个过程无废水产生，净化过程不产生NO</w:t>
            </w:r>
            <w:r>
              <w:rPr>
                <w:rFonts w:hint="eastAsia"/>
                <w:i/>
                <w:iCs/>
                <w:color w:val="000000" w:themeColor="text1"/>
                <w:highlight w:val="none"/>
                <w:vertAlign w:val="subscript"/>
                <w:lang w:val="en-US" w:eastAsia="zh-CN"/>
                <w14:textFill>
                  <w14:solidFill>
                    <w14:schemeClr w14:val="tx1"/>
                  </w14:solidFill>
                </w14:textFill>
              </w:rPr>
              <w:t>x</w:t>
            </w:r>
            <w:r>
              <w:rPr>
                <w:rFonts w:hint="default"/>
                <w:color w:val="000000" w:themeColor="text1"/>
                <w:highlight w:val="none"/>
                <w:lang w:val="en-US" w:eastAsia="zh-CN"/>
                <w14:textFill>
                  <w14:solidFill>
                    <w14:schemeClr w14:val="tx1"/>
                  </w14:solidFill>
                </w14:textFill>
              </w:rPr>
              <w:t>等二次污染。</w:t>
            </w:r>
          </w:p>
          <w:p w14:paraId="70BD7BB3">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催化燃烧反应的原理是在较低温度下，有机废气在催化剂</w:t>
            </w:r>
            <w:r>
              <w:rPr>
                <w:rFonts w:hint="eastAsia"/>
                <w:color w:val="000000" w:themeColor="text1"/>
                <w:highlight w:val="none"/>
                <w:lang w:val="en-US" w:eastAsia="zh-CN"/>
                <w14:textFill>
                  <w14:solidFill>
                    <w14:schemeClr w14:val="tx1"/>
                  </w14:solidFill>
                </w14:textFill>
              </w:rPr>
              <w:t>（为</w:t>
            </w:r>
            <w:r>
              <w:rPr>
                <w:rFonts w:hint="eastAsia"/>
                <w:color w:val="000000" w:themeColor="text1"/>
                <w14:textFill>
                  <w14:solidFill>
                    <w14:schemeClr w14:val="tx1"/>
                  </w14:solidFill>
                </w14:textFill>
              </w:rPr>
              <w:t>铂、钯等贵金属化合物</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活性温度为200~300 ℃，使用寿命为3~5年</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的作用下完全氧化分解，达到净化气体的目的。VOCs的自燃温度一般较高，通过催化剂的活化可以降低VOCs燃烧的活化能，从而降低着火温度</w:t>
            </w:r>
            <w:r>
              <w:rPr>
                <w:rFonts w:hint="eastAsia"/>
                <w:color w:val="000000" w:themeColor="text1"/>
                <w:highlight w:val="none"/>
                <w:lang w:val="en-US" w:eastAsia="zh-CN"/>
                <w14:textFill>
                  <w14:solidFill>
                    <w14:schemeClr w14:val="tx1"/>
                  </w14:solidFill>
                </w14:textFill>
              </w:rPr>
              <w:t>，有机废气自身氧化反应释放的热量足以维持反应所需的温度，无需额外的助燃设施</w:t>
            </w:r>
            <w:r>
              <w:rPr>
                <w:rFonts w:hint="default"/>
                <w:color w:val="000000" w:themeColor="text1"/>
                <w:highlight w:val="none"/>
                <w:lang w:val="en-US" w:eastAsia="zh-CN"/>
                <w14:textFill>
                  <w14:solidFill>
                    <w14:schemeClr w14:val="tx1"/>
                  </w14:solidFill>
                </w14:textFill>
              </w:rPr>
              <w:t>。</w:t>
            </w:r>
          </w:p>
          <w:p w14:paraId="758BCBCD">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热力型氮氧化物产生机理为：燃烧时，空气中氮在高温下氧化产生，其中的生成过程是一个不分支连锁反应，其生成机理可用捷里多维奇</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Zeldovich</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反应式表示。热力型氮氧化物生成机理：</w:t>
            </w:r>
          </w:p>
          <w:p w14:paraId="09D07CFA">
            <w:pPr>
              <w:ind w:left="0" w:leftChars="0" w:firstLine="0" w:firstLineChars="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N</w:t>
            </w:r>
            <w:r>
              <w:rPr>
                <w:rFonts w:hint="eastAsia"/>
                <w:color w:val="000000" w:themeColor="text1"/>
                <w:highlight w:val="none"/>
                <w:vertAlign w:val="sub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+O→NO+N</w:t>
            </w:r>
          </w:p>
          <w:p w14:paraId="48A466EE">
            <w:pPr>
              <w:ind w:left="0" w:leftChars="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N+O</w:t>
            </w:r>
            <w:r>
              <w:rPr>
                <w:rFonts w:hint="eastAsia"/>
                <w:color w:val="000000" w:themeColor="text1"/>
                <w:highlight w:val="none"/>
                <w:vertAlign w:val="sub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→NO+O</w:t>
            </w:r>
          </w:p>
          <w:p w14:paraId="5E4C2A7C">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在高温下总生成：</w:t>
            </w:r>
          </w:p>
          <w:p w14:paraId="731A0A01">
            <w:pPr>
              <w:ind w:left="0" w:leftChars="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N+OH→NO+H</w:t>
            </w:r>
          </w:p>
          <w:p w14:paraId="0F54F747">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其中，第一式起主导控制作用，而该式的反应条件是温度高于1500℃</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所以NOx的生成与温度有关。按照这一机理，空气中的N₂在高温下氧化，是通过如下一组不分支的连锁反应进行的，整个反应的速度，正比于氧原子的浓度，随着温度的上升，氧原子浓度增大，总的反应速度增大。</w:t>
            </w:r>
          </w:p>
          <w:p w14:paraId="64A15564">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本项目使用催化燃烧在电加热器的作用下（不使用燃料），使气体温度为250-300℃左右，再进入催化燃烧床，有机物质在催化剂的作用下无焰燃烧，被分解为CO</w:t>
            </w:r>
            <w:r>
              <w:rPr>
                <w:rFonts w:hint="default"/>
                <w:color w:val="000000" w:themeColor="text1"/>
                <w:highlight w:val="none"/>
                <w:vertAlign w:val="subscript"/>
                <w:lang w:val="en-US" w:eastAsia="zh-CN"/>
                <w14:textFill>
                  <w14:solidFill>
                    <w14:schemeClr w14:val="tx1"/>
                  </w14:solidFill>
                </w14:textFill>
              </w:rPr>
              <w:t>2</w:t>
            </w:r>
            <w:r>
              <w:rPr>
                <w:rFonts w:hint="default"/>
                <w:color w:val="000000" w:themeColor="text1"/>
                <w:highlight w:val="none"/>
                <w:lang w:val="en-US" w:eastAsia="zh-CN"/>
                <w14:textFill>
                  <w14:solidFill>
                    <w14:schemeClr w14:val="tx1"/>
                  </w14:solidFill>
                </w14:textFill>
              </w:rPr>
              <w:t>和H</w:t>
            </w:r>
            <w:r>
              <w:rPr>
                <w:rFonts w:hint="default"/>
                <w:color w:val="000000" w:themeColor="text1"/>
                <w:highlight w:val="none"/>
                <w:vertAlign w:val="subscript"/>
                <w:lang w:val="en-US" w:eastAsia="zh-CN"/>
                <w14:textFill>
                  <w14:solidFill>
                    <w14:schemeClr w14:val="tx1"/>
                  </w14:solidFill>
                </w14:textFill>
              </w:rPr>
              <w:t>2</w:t>
            </w:r>
            <w:r>
              <w:rPr>
                <w:rFonts w:hint="default"/>
                <w:color w:val="000000" w:themeColor="text1"/>
                <w:highlight w:val="none"/>
                <w:lang w:val="en-US" w:eastAsia="zh-CN"/>
                <w14:textFill>
                  <w14:solidFill>
                    <w14:schemeClr w14:val="tx1"/>
                  </w14:solidFill>
                </w14:textFill>
              </w:rPr>
              <w:t>O。该过程是没有火的燃烧，燃烧温度较低，因此无NO</w:t>
            </w:r>
            <w:r>
              <w:rPr>
                <w:rFonts w:hint="eastAsia"/>
                <w:i/>
                <w:iCs/>
                <w:color w:val="000000" w:themeColor="text1"/>
                <w:highlight w:val="none"/>
                <w:vertAlign w:val="subscript"/>
                <w:lang w:val="en-US" w:eastAsia="zh-CN"/>
                <w14:textFill>
                  <w14:solidFill>
                    <w14:schemeClr w14:val="tx1"/>
                  </w14:solidFill>
                </w14:textFill>
              </w:rPr>
              <w:t>x</w:t>
            </w:r>
            <w:r>
              <w:rPr>
                <w:rFonts w:hint="default"/>
                <w:color w:val="000000" w:themeColor="text1"/>
                <w:highlight w:val="none"/>
                <w:lang w:val="en-US" w:eastAsia="zh-CN"/>
                <w14:textFill>
                  <w14:solidFill>
                    <w14:schemeClr w14:val="tx1"/>
                  </w14:solidFill>
                </w14:textFill>
              </w:rPr>
              <w:t>等二次污染物的生成。</w:t>
            </w:r>
          </w:p>
          <w:p w14:paraId="29418429">
            <w:pPr>
              <w:ind w:left="0" w:leftChars="0" w:firstLine="0" w:firstLineChars="0"/>
              <w:jc w:val="center"/>
              <w:rPr>
                <w:rFonts w:hint="default"/>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525010" cy="2392045"/>
                  <wp:effectExtent l="0" t="0" r="8890" b="8255"/>
                  <wp:docPr id="19" name="图片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09"/>
                          <pic:cNvPicPr>
                            <a:picLocks noChangeAspect="1"/>
                          </pic:cNvPicPr>
                        </pic:nvPicPr>
                        <pic:blipFill>
                          <a:blip r:embed="rId42"/>
                          <a:stretch>
                            <a:fillRect/>
                          </a:stretch>
                        </pic:blipFill>
                        <pic:spPr>
                          <a:xfrm>
                            <a:off x="0" y="0"/>
                            <a:ext cx="4525010" cy="2392045"/>
                          </a:xfrm>
                          <a:prstGeom prst="rect">
                            <a:avLst/>
                          </a:prstGeom>
                          <a:noFill/>
                          <a:ln>
                            <a:noFill/>
                          </a:ln>
                        </pic:spPr>
                      </pic:pic>
                    </a:graphicData>
                  </a:graphic>
                </wp:inline>
              </w:drawing>
            </w:r>
          </w:p>
          <w:p w14:paraId="60C928C3">
            <w:pPr>
              <w:pStyle w:val="28"/>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RCO工作流程图</w:t>
            </w:r>
          </w:p>
          <w:p w14:paraId="3F88AE5A">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项目</w:t>
            </w:r>
            <w:r>
              <w:rPr>
                <w:rFonts w:hint="eastAsia"/>
                <w:color w:val="000000" w:themeColor="text1"/>
                <w:highlight w:val="none"/>
                <w:lang w:val="en-US" w:eastAsia="zh-CN"/>
                <w14:textFill>
                  <w14:solidFill>
                    <w14:schemeClr w14:val="tx1"/>
                  </w14:solidFill>
                </w14:textFill>
              </w:rPr>
              <w:t>全厂</w:t>
            </w:r>
            <w:r>
              <w:rPr>
                <w:rFonts w:hint="default"/>
                <w:color w:val="000000" w:themeColor="text1"/>
                <w:highlight w:val="none"/>
                <w:lang w:val="en-US" w:eastAsia="zh-CN"/>
                <w14:textFill>
                  <w14:solidFill>
                    <w14:schemeClr w14:val="tx1"/>
                  </w14:solidFill>
                </w14:textFill>
              </w:rPr>
              <w:t>废气经密闭管道收集后进入“</w:t>
            </w:r>
            <w:r>
              <w:rPr>
                <w:rFonts w:hint="eastAsia"/>
                <w:color w:val="000000" w:themeColor="text1"/>
                <w:highlight w:val="none"/>
                <w:lang w:val="en-US" w:eastAsia="zh-CN"/>
                <w14:textFill>
                  <w14:solidFill>
                    <w14:schemeClr w14:val="tx1"/>
                  </w14:solidFill>
                </w14:textFill>
              </w:rPr>
              <w:t>布袋除尘+RCO催化燃烧</w:t>
            </w:r>
            <w:r>
              <w:rPr>
                <w:rFonts w:hint="default"/>
                <w:color w:val="000000" w:themeColor="text1"/>
                <w:highlight w:val="none"/>
                <w:lang w:val="en-US" w:eastAsia="zh-CN"/>
                <w14:textFill>
                  <w14:solidFill>
                    <w14:schemeClr w14:val="tx1"/>
                  </w14:solidFill>
                </w14:textFill>
              </w:rPr>
              <w:t>”处理设施后通过15m排气筒排放（</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DA00</w:t>
            </w:r>
            <w:r>
              <w:rPr>
                <w:rFonts w:hint="eastAsia"/>
                <w:color w:val="000000" w:themeColor="text1"/>
                <w:highlight w:val="none"/>
                <w:lang w:val="en-US" w:eastAsia="zh-CN"/>
                <w14:textFill>
                  <w14:solidFill>
                    <w14:schemeClr w14:val="tx1"/>
                  </w14:solidFill>
                </w14:textFill>
              </w:rPr>
              <w:t>1</w:t>
            </w:r>
            <w:r>
              <w:rPr>
                <w:rFonts w:hint="default"/>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根据</w:t>
            </w:r>
            <w:r>
              <w:rPr>
                <w:rFonts w:hint="default"/>
                <w:color w:val="000000" w:themeColor="text1"/>
                <w:highlight w:val="none"/>
                <w:lang w:val="en-US" w:eastAsia="zh-CN"/>
                <w14:textFill>
                  <w14:solidFill>
                    <w14:schemeClr w14:val="tx1"/>
                  </w14:solidFill>
                </w14:textFill>
              </w:rPr>
              <w:t>《催化燃烧法工业有机废气治理工程技术规范》（HJ2027-2013）</w:t>
            </w:r>
            <w:r>
              <w:rPr>
                <w:rFonts w:hint="eastAsia"/>
                <w:color w:val="000000" w:themeColor="text1"/>
                <w:highlight w:val="none"/>
                <w:lang w:val="en-US" w:eastAsia="zh-CN"/>
                <w14:textFill>
                  <w14:solidFill>
                    <w14:schemeClr w14:val="tx1"/>
                  </w14:solidFill>
                </w14:textFill>
              </w:rPr>
              <w:t>及生态环境部发布的《挥发性有机物治理实用手册》</w:t>
            </w:r>
            <w:r>
              <w:rPr>
                <w:rFonts w:hint="default"/>
                <w:color w:val="000000" w:themeColor="text1"/>
                <w:highlight w:val="none"/>
                <w:lang w:val="en-US" w:eastAsia="zh-CN"/>
                <w14:textFill>
                  <w14:solidFill>
                    <w14:schemeClr w14:val="tx1"/>
                  </w14:solidFill>
                </w14:textFill>
              </w:rPr>
              <w:t>，催化燃烧装置的</w:t>
            </w:r>
            <w:r>
              <w:rPr>
                <w:rFonts w:hint="eastAsia"/>
                <w:color w:val="000000" w:themeColor="text1"/>
                <w:highlight w:val="none"/>
                <w:lang w:val="en-US" w:eastAsia="zh-CN"/>
                <w14:textFill>
                  <w14:solidFill>
                    <w14:schemeClr w14:val="tx1"/>
                  </w14:solidFill>
                </w14:textFill>
              </w:rPr>
              <w:t>净化效率一般不低于</w:t>
            </w:r>
            <w:r>
              <w:rPr>
                <w:rFonts w:hint="default"/>
                <w:color w:val="000000" w:themeColor="text1"/>
                <w:highlight w:val="none"/>
                <w:lang w:val="en-US" w:eastAsia="zh-CN"/>
                <w14:textFill>
                  <w14:solidFill>
                    <w14:schemeClr w14:val="tx1"/>
                  </w14:solidFill>
                </w14:textFill>
              </w:rPr>
              <w:t>9</w:t>
            </w:r>
            <w:r>
              <w:rPr>
                <w:rFonts w:hint="eastAsia"/>
                <w:color w:val="000000" w:themeColor="text1"/>
                <w:highlight w:val="none"/>
                <w:lang w:val="en-US" w:eastAsia="zh-CN"/>
                <w14:textFill>
                  <w14:solidFill>
                    <w14:schemeClr w14:val="tx1"/>
                  </w14:solidFill>
                </w14:textFill>
              </w:rPr>
              <w:t>5</w:t>
            </w:r>
            <w:r>
              <w:rPr>
                <w:rFonts w:hint="default"/>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进入催化燃烧装置的废气中颗粒物浓度应低于10 mg/m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本项处理效率</w:t>
            </w:r>
            <w:r>
              <w:rPr>
                <w:rFonts w:hint="eastAsia"/>
                <w:color w:val="000000" w:themeColor="text1"/>
                <w:highlight w:val="none"/>
                <w:lang w:val="en-US" w:eastAsia="zh-CN"/>
                <w14:textFill>
                  <w14:solidFill>
                    <w14:schemeClr w14:val="tx1"/>
                  </w14:solidFill>
                </w14:textFill>
              </w:rPr>
              <w:t>保守</w:t>
            </w:r>
            <w:r>
              <w:rPr>
                <w:rFonts w:hint="default"/>
                <w:color w:val="000000" w:themeColor="text1"/>
                <w:highlight w:val="none"/>
                <w:lang w:val="en-US" w:eastAsia="zh-CN"/>
                <w14:textFill>
                  <w14:solidFill>
                    <w14:schemeClr w14:val="tx1"/>
                  </w14:solidFill>
                </w14:textFill>
              </w:rPr>
              <w:t>取95%，</w:t>
            </w:r>
            <w:r>
              <w:rPr>
                <w:rFonts w:hint="eastAsia"/>
                <w:color w:val="000000" w:themeColor="text1"/>
                <w:highlight w:val="none"/>
                <w:lang w:val="en-US" w:eastAsia="zh-CN"/>
                <w14:textFill>
                  <w14:solidFill>
                    <w14:schemeClr w14:val="tx1"/>
                  </w14:solidFill>
                </w14:textFill>
              </w:rPr>
              <w:t>经布袋除尘装置处理后的颗粒物浓度为1.15 mg/m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设计排放口风机总风量为</w:t>
            </w:r>
            <w:r>
              <w:rPr>
                <w:rFonts w:hint="eastAsia"/>
                <w:color w:val="000000" w:themeColor="text1"/>
                <w:highlight w:val="none"/>
                <w:lang w:val="en-US" w:eastAsia="zh-CN"/>
                <w14:textFill>
                  <w14:solidFill>
                    <w14:schemeClr w14:val="tx1"/>
                  </w14:solidFill>
                </w14:textFill>
              </w:rPr>
              <w:t>18</w:t>
            </w:r>
            <w:r>
              <w:rPr>
                <w:rFonts w:hint="default"/>
                <w:color w:val="000000" w:themeColor="text1"/>
                <w:highlight w:val="none"/>
                <w:lang w:val="en-US" w:eastAsia="zh-CN"/>
                <w14:textFill>
                  <w14:solidFill>
                    <w14:schemeClr w14:val="tx1"/>
                  </w14:solidFill>
                </w14:textFill>
              </w:rPr>
              <w:t>000</w:t>
            </w:r>
            <w:r>
              <w:rPr>
                <w:rFonts w:hint="eastAsia"/>
                <w:color w:val="000000" w:themeColor="text1"/>
                <w:highlight w:val="none"/>
                <w:lang w:val="en-US" w:eastAsia="zh-CN"/>
                <w14:textFill>
                  <w14:solidFill>
                    <w14:schemeClr w14:val="tx1"/>
                  </w14:solidFill>
                </w14:textFill>
              </w:rPr>
              <w:t xml:space="preserve"> </w:t>
            </w:r>
            <w:r>
              <w:rPr>
                <w:rFonts w:hint="default"/>
                <w:color w:val="000000" w:themeColor="text1"/>
                <w:highlight w:val="none"/>
                <w:lang w:val="en-US" w:eastAsia="zh-CN"/>
                <w14:textFill>
                  <w14:solidFill>
                    <w14:schemeClr w14:val="tx1"/>
                  </w14:solidFill>
                </w14:textFill>
              </w:rPr>
              <w:t>m</w:t>
            </w:r>
            <w:r>
              <w:rPr>
                <w:rFonts w:hint="default"/>
                <w:color w:val="000000" w:themeColor="text1"/>
                <w:highlight w:val="none"/>
                <w:vertAlign w:val="superscript"/>
                <w:lang w:val="en-US" w:eastAsia="zh-CN"/>
                <w14:textFill>
                  <w14:solidFill>
                    <w14:schemeClr w14:val="tx1"/>
                  </w14:solidFill>
                </w14:textFill>
              </w:rPr>
              <w:t>3</w:t>
            </w:r>
            <w:r>
              <w:rPr>
                <w:rFonts w:hint="default"/>
                <w:color w:val="000000" w:themeColor="text1"/>
                <w:highlight w:val="none"/>
                <w:lang w:val="en-US" w:eastAsia="zh-CN"/>
                <w14:textFill>
                  <w14:solidFill>
                    <w14:schemeClr w14:val="tx1"/>
                  </w14:solidFill>
                </w14:textFill>
              </w:rPr>
              <w:t>/h</w:t>
            </w:r>
            <w:r>
              <w:rPr>
                <w:rFonts w:hint="eastAsia"/>
                <w:color w:val="000000" w:themeColor="text1"/>
                <w:highlight w:val="none"/>
                <w:lang w:val="en-US" w:eastAsia="zh-CN"/>
                <w14:textFill>
                  <w14:solidFill>
                    <w14:schemeClr w14:val="tx1"/>
                  </w14:solidFill>
                </w14:textFill>
              </w:rPr>
              <w:t>，符合设计要求</w:t>
            </w:r>
            <w:r>
              <w:rPr>
                <w:rFonts w:hint="default"/>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经处理后的沥青烟、苯并[a]芘、颗粒物的排放浓度和排放速率均可符合</w:t>
            </w:r>
            <w:r>
              <w:rPr>
                <w:rFonts w:hint="eastAsia" w:ascii="Times New Roman" w:hAnsi="Times New Roman" w:eastAsia="宋体" w:cs="Times New Roman"/>
                <w:color w:val="000000" w:themeColor="text1"/>
                <w:highlight w:val="none"/>
                <w14:textFill>
                  <w14:solidFill>
                    <w14:schemeClr w14:val="tx1"/>
                  </w14:solidFill>
                </w14:textFill>
              </w:rPr>
              <w:t>《大气污染物综合排放标准》（GB16297-1996）表2</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中排放限值要求，非甲烷总烃的排放浓度和排放速率均可符合</w:t>
            </w:r>
            <w:r>
              <w:rPr>
                <w:rFonts w:hint="eastAsia"/>
                <w:color w:val="000000" w:themeColor="text1"/>
                <w:highlight w:val="none"/>
                <w:lang w:val="en-US" w:eastAsia="zh-CN"/>
                <w14:textFill>
                  <w14:solidFill>
                    <w14:schemeClr w14:val="tx1"/>
                  </w14:solidFill>
                </w14:textFill>
              </w:rPr>
              <w:t>《工业企业挥发性有机物排放标准》（DB35/1782-2018）表1中的排放限值要求。因此，全厂单壁碳纳米管生产线烘干、引弧放电过程产生的废气与硅碳负极材料生产线包覆、碳化过程产生的废气共同引入“布袋除尘+RCO催化燃烧”处理后由1根15 m高排气筒（*DA001）排放</w:t>
            </w:r>
            <w:r>
              <w:rPr>
                <w:rFonts w:hint="default"/>
                <w:color w:val="000000" w:themeColor="text1"/>
                <w:highlight w:val="none"/>
                <w:lang w:val="en-US" w:eastAsia="zh-CN"/>
                <w14:textFill>
                  <w14:solidFill>
                    <w14:schemeClr w14:val="tx1"/>
                  </w14:solidFill>
                </w14:textFill>
              </w:rPr>
              <w:t>，措施可行</w:t>
            </w:r>
            <w:r>
              <w:rPr>
                <w:rFonts w:hint="eastAsia"/>
                <w:color w:val="000000" w:themeColor="text1"/>
                <w:highlight w:val="none"/>
                <w:lang w:val="en-US" w:eastAsia="zh-CN"/>
                <w14:textFill>
                  <w14:solidFill>
                    <w14:schemeClr w14:val="tx1"/>
                  </w14:solidFill>
                </w14:textFill>
              </w:rPr>
              <w:t>。</w:t>
            </w:r>
          </w:p>
          <w:p w14:paraId="4D4D5F94">
            <w:pPr>
              <w:pStyle w:val="3"/>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无组织废气防治措施</w:t>
            </w:r>
          </w:p>
          <w:p w14:paraId="11205872">
            <w:pPr>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建设项目无组织排放的废气主要是</w:t>
            </w:r>
            <w:r>
              <w:rPr>
                <w:rFonts w:hint="eastAsia" w:ascii="Times New Roman" w:hAnsi="Times New Roman" w:cs="Times New Roman"/>
                <w:color w:val="000000" w:themeColor="text1"/>
                <w:highlight w:val="none"/>
                <w:lang w:val="en-US" w:eastAsia="zh-CN"/>
                <w14:textFill>
                  <w14:solidFill>
                    <w14:schemeClr w14:val="tx1"/>
                  </w14:solidFill>
                </w14:textFill>
              </w:rPr>
              <w:t>烘箱、电弧炉等生产设备开炉过程逸散的废气</w:t>
            </w:r>
            <w:r>
              <w:rPr>
                <w:rFonts w:hint="default" w:ascii="Times New Roman" w:hAnsi="Times New Roman" w:cs="Times New Roman"/>
                <w:color w:val="000000" w:themeColor="text1"/>
                <w:highlight w:val="none"/>
                <w:lang w:val="en-US" w:eastAsia="zh-CN"/>
                <w14:textFill>
                  <w14:solidFill>
                    <w14:schemeClr w14:val="tx1"/>
                  </w14:solidFill>
                </w14:textFill>
              </w:rPr>
              <w:t>等。建设单位</w:t>
            </w:r>
            <w:r>
              <w:rPr>
                <w:rFonts w:hint="eastAsia" w:ascii="Times New Roman" w:hAnsi="Times New Roman" w:cs="Times New Roman"/>
                <w:color w:val="000000" w:themeColor="text1"/>
                <w:highlight w:val="none"/>
                <w:lang w:val="en-US" w:eastAsia="zh-CN"/>
                <w14:textFill>
                  <w14:solidFill>
                    <w14:schemeClr w14:val="tx1"/>
                  </w14:solidFill>
                </w14:textFill>
              </w:rPr>
              <w:t>可</w:t>
            </w:r>
            <w:r>
              <w:rPr>
                <w:rFonts w:hint="default" w:ascii="Times New Roman" w:hAnsi="Times New Roman" w:cs="Times New Roman"/>
                <w:color w:val="000000" w:themeColor="text1"/>
                <w:highlight w:val="none"/>
                <w:lang w:val="en-US" w:eastAsia="zh-CN"/>
                <w14:textFill>
                  <w14:solidFill>
                    <w14:schemeClr w14:val="tx1"/>
                  </w14:solidFill>
                </w14:textFill>
              </w:rPr>
              <w:t>采取如下措施，以减少无组织废气排放：</w:t>
            </w:r>
          </w:p>
          <w:p w14:paraId="198CE551">
            <w:pPr>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lang w:val="en-US" w:eastAsia="zh-CN"/>
                <w14:textFill>
                  <w14:solidFill>
                    <w14:schemeClr w14:val="tx1"/>
                  </w14:solidFill>
                </w14:textFill>
              </w:rPr>
              <w:t>）合理布置车间，加强设备管理，将产生无组织废气的产生源布置在远离厂界的地方，以减少无组织废气对厂界周围环境的影响；</w:t>
            </w:r>
          </w:p>
          <w:p w14:paraId="43720DA5">
            <w:pPr>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）加强对操作工的培训和管理，确保废气的捕捉率，以减少人为造成的废气无组织排放；</w:t>
            </w:r>
          </w:p>
          <w:p w14:paraId="364B9394">
            <w:pPr>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（3）定期对废气处理设施</w:t>
            </w:r>
            <w:r>
              <w:rPr>
                <w:rFonts w:hint="eastAsia" w:cs="Times New Roman"/>
                <w:color w:val="000000" w:themeColor="text1"/>
                <w:highlight w:val="none"/>
                <w:lang w:val="en-US" w:eastAsia="zh-CN"/>
                <w14:textFill>
                  <w14:solidFill>
                    <w14:schemeClr w14:val="tx1"/>
                  </w14:solidFill>
                </w14:textFill>
              </w:rPr>
              <w:t>和管道</w:t>
            </w:r>
            <w:r>
              <w:rPr>
                <w:rFonts w:hint="eastAsia" w:ascii="Times New Roman" w:hAnsi="Times New Roman" w:cs="Times New Roman"/>
                <w:color w:val="000000" w:themeColor="text1"/>
                <w:highlight w:val="none"/>
                <w:lang w:val="en-US" w:eastAsia="zh-CN"/>
                <w14:textFill>
                  <w14:solidFill>
                    <w14:schemeClr w14:val="tx1"/>
                  </w14:solidFill>
                </w14:textFill>
              </w:rPr>
              <w:t>进行维护，保证其密闭性</w:t>
            </w:r>
            <w:r>
              <w:rPr>
                <w:rFonts w:hint="eastAsia" w:cs="Times New Roman"/>
                <w:color w:val="000000" w:themeColor="text1"/>
                <w:highlight w:val="none"/>
                <w:lang w:val="en-US" w:eastAsia="zh-CN"/>
                <w14:textFill>
                  <w14:solidFill>
                    <w14:schemeClr w14:val="tx1"/>
                  </w14:solidFill>
                </w14:textFill>
              </w:rPr>
              <w:t>和收集效率</w:t>
            </w:r>
            <w:r>
              <w:rPr>
                <w:rFonts w:hint="eastAsia" w:ascii="Times New Roman" w:hAnsi="Times New Roman" w:cs="Times New Roman"/>
                <w:color w:val="000000" w:themeColor="text1"/>
                <w:highlight w:val="none"/>
                <w:lang w:val="en-US" w:eastAsia="zh-CN"/>
                <w14:textFill>
                  <w14:solidFill>
                    <w14:schemeClr w14:val="tx1"/>
                  </w14:solidFill>
                </w14:textFill>
              </w:rPr>
              <w:t>。</w:t>
            </w:r>
          </w:p>
          <w:p w14:paraId="3EF05CC1">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通过以上措施，可减少无组织废气的排放，无组织排放废气能够满足相应的排放标准要求，对周围大气环境的影响较小。</w:t>
            </w:r>
          </w:p>
          <w:p w14:paraId="18D40085">
            <w:pPr>
              <w:pStyle w:val="3"/>
              <w:bidi w:val="0"/>
              <w:rPr>
                <w:rFonts w:hint="default"/>
                <w:color w:val="000000" w:themeColor="text1"/>
                <w:highlight w:val="none"/>
                <w:lang w:val="en-US" w:eastAsia="zh-CN"/>
                <w14:textFill>
                  <w14:solidFill>
                    <w14:schemeClr w14:val="tx1"/>
                  </w14:solidFill>
                </w14:textFill>
              </w:rPr>
            </w:pPr>
            <w:bookmarkStart w:id="195" w:name="_Toc6733"/>
            <w:bookmarkStart w:id="196" w:name="_Toc3703"/>
            <w:r>
              <w:rPr>
                <w:rFonts w:hint="eastAsia"/>
                <w:color w:val="000000" w:themeColor="text1"/>
                <w:highlight w:val="none"/>
                <w14:textFill>
                  <w14:solidFill>
                    <w14:schemeClr w14:val="tx1"/>
                  </w14:solidFill>
                </w14:textFill>
              </w:rPr>
              <w:t>污染物非正常排放核算</w:t>
            </w:r>
            <w:bookmarkEnd w:id="195"/>
            <w:bookmarkEnd w:id="196"/>
          </w:p>
          <w:p w14:paraId="2588C206">
            <w:pPr>
              <w:bidi w:val="0"/>
              <w:rPr>
                <w:rFonts w:hint="eastAsia" w:ascii="Times New Roman" w:hAnsi="Times New Roman" w:cs="Times New Roman"/>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项目开机时，首先启动环保装置，然后再按照规程依次启动生产线上各个设备，一般不会出现超标排污的情况；停机时，则需先按照规程依次关闭生产线上的设备，然后关闭环保设备，保证污染物达标排放。项目非正常排放主要是废气处理设施</w:t>
            </w:r>
            <w:r>
              <w:rPr>
                <w:rFonts w:hint="eastAsia"/>
                <w:color w:val="000000" w:themeColor="text1"/>
                <w:highlight w:val="none"/>
                <w:lang w:val="en-US" w:eastAsia="zh-CN"/>
                <w14:textFill>
                  <w14:solidFill>
                    <w14:schemeClr w14:val="tx1"/>
                  </w14:solidFill>
                </w14:textFill>
              </w:rPr>
              <w:t>发生故障</w:t>
            </w:r>
            <w:r>
              <w:rPr>
                <w:color w:val="000000" w:themeColor="text1"/>
                <w:highlight w:val="none"/>
                <w14:textFill>
                  <w14:solidFill>
                    <w14:schemeClr w14:val="tx1"/>
                  </w14:solidFill>
                </w14:textFill>
              </w:rPr>
              <w:t>的情况，</w:t>
            </w:r>
            <w:r>
              <w:rPr>
                <w:rFonts w:hint="default" w:ascii="Times New Roman" w:hAnsi="Times New Roman" w:cs="Times New Roman"/>
                <w:color w:val="000000" w:themeColor="text1"/>
                <w:highlight w:val="none"/>
                <w:lang w:val="en-US" w:eastAsia="zh-CN"/>
                <w14:textFill>
                  <w14:solidFill>
                    <w14:schemeClr w14:val="tx1"/>
                  </w14:solidFill>
                </w14:textFill>
              </w:rPr>
              <w:t>所有设备发生故障的可能性很小，本项目假定其中1个设施发生故障</w:t>
            </w:r>
            <w:r>
              <w:rPr>
                <w:rFonts w:hint="eastAsia" w:ascii="Times New Roman" w:hAnsi="Times New Roman" w:cs="Times New Roman"/>
                <w:color w:val="000000" w:themeColor="text1"/>
                <w:highlight w:val="none"/>
                <w:lang w:val="en-US" w:eastAsia="zh-CN"/>
                <w14:textFill>
                  <w14:solidFill>
                    <w14:schemeClr w14:val="tx1"/>
                  </w14:solidFill>
                </w14:textFill>
              </w:rPr>
              <w:t>，分以下几种情形进行考虑：</w:t>
            </w:r>
          </w:p>
          <w:p w14:paraId="0A79FA8F">
            <w:pPr>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（1）一期工程DA001排气筒对应的废气处理设施为“布袋除尘+两级活性炭吸附”。</w:t>
            </w:r>
          </w:p>
          <w:p w14:paraId="5C52E8C6">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①当布袋除尘器发生故障时，颗粒物的去除效率降为0，沥青烟、苯并芘[a]、非甲烷总烃的去除效率分别下降至80%、80%、80%。</w:t>
            </w:r>
          </w:p>
          <w:p w14:paraId="33F10DDC">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②当其中1个活性炭吸附装置发生故障时，颗粒物去除效率不变，沥青烟、苯并芘[a]、非甲烷总烃的去除效率分别下降至60%、60%、60%。</w:t>
            </w:r>
          </w:p>
          <w:p w14:paraId="5F26AE94">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（2）二期工程*DA001排气筒对应的废气处理设施为“布袋除尘+RCO催化燃烧”。</w:t>
            </w:r>
          </w:p>
          <w:p w14:paraId="376E21B5">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①当布袋除尘器发生故障时，颗粒物的去除效率降为0，沥青烟、苯并芘[a]、非甲烷总烃的去除效率基本不变。</w:t>
            </w:r>
          </w:p>
          <w:p w14:paraId="6494684A">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②当RCO催化燃烧装置发生故障时，颗粒物的去除效率不变，沥青烟、苯并芘[a]、非甲烷总烃的去除效率均降为0。</w:t>
            </w:r>
          </w:p>
          <w:p w14:paraId="625119B9">
            <w:pPr>
              <w:bidi w:val="0"/>
              <w:rPr>
                <w:rFonts w:hint="eastAsia"/>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项目废气非正常情况下排放源强计算结果见</w:t>
            </w:r>
            <w:r>
              <w:rPr>
                <w:rFonts w:hint="default"/>
                <w:color w:val="000000" w:themeColor="text1"/>
                <w:highlight w:val="none"/>
                <w:lang w:val="en-US"/>
                <w14:textFill>
                  <w14:solidFill>
                    <w14:schemeClr w14:val="tx1"/>
                  </w14:solidFill>
                </w14:textFill>
              </w:rPr>
              <w:fldChar w:fldCharType="begin"/>
            </w:r>
            <w:r>
              <w:rPr>
                <w:rFonts w:hint="default"/>
                <w:color w:val="000000" w:themeColor="text1"/>
                <w:highlight w:val="none"/>
                <w:lang w:val="en-US"/>
                <w14:textFill>
                  <w14:solidFill>
                    <w14:schemeClr w14:val="tx1"/>
                  </w14:solidFill>
                </w14:textFill>
              </w:rPr>
              <w:instrText xml:space="preserve"> REF _Ref10929 \n \h </w:instrText>
            </w:r>
            <w:r>
              <w:rPr>
                <w:rFonts w:hint="default"/>
                <w:color w:val="000000" w:themeColor="text1"/>
                <w:highlight w:val="none"/>
                <w:lang w:val="en-US"/>
                <w14:textFill>
                  <w14:solidFill>
                    <w14:schemeClr w14:val="tx1"/>
                  </w14:solidFill>
                </w14:textFill>
              </w:rPr>
              <w:fldChar w:fldCharType="separate"/>
            </w:r>
            <w:r>
              <w:rPr>
                <w:rFonts w:hint="default"/>
                <w:color w:val="000000" w:themeColor="text1"/>
                <w:highlight w:val="none"/>
                <w:lang w:val="en-US"/>
                <w14:textFill>
                  <w14:solidFill>
                    <w14:schemeClr w14:val="tx1"/>
                  </w14:solidFill>
                </w14:textFill>
              </w:rPr>
              <w:t>表4.1-20</w:t>
            </w:r>
            <w:r>
              <w:rPr>
                <w:rFonts w:hint="default"/>
                <w:color w:val="000000" w:themeColor="text1"/>
                <w:highlight w:val="none"/>
                <w:lang w:val="en-US"/>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fldChar w:fldCharType="begin"/>
            </w:r>
            <w:r>
              <w:rPr>
                <w:rFonts w:hint="eastAsia"/>
                <w:color w:val="000000" w:themeColor="text1"/>
                <w:highlight w:val="none"/>
                <w:lang w:val="en-US" w:eastAsia="zh-CN"/>
                <w14:textFill>
                  <w14:solidFill>
                    <w14:schemeClr w14:val="tx1"/>
                  </w14:solidFill>
                </w14:textFill>
              </w:rPr>
              <w:instrText xml:space="preserve"> REF _Ref16478 \n \h </w:instrText>
            </w:r>
            <w:r>
              <w:rPr>
                <w:rFonts w:hint="eastAsia"/>
                <w:color w:val="000000" w:themeColor="text1"/>
                <w:highlight w:val="none"/>
                <w:lang w:val="en-US" w:eastAsia="zh-CN"/>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表4.1-21</w:t>
            </w:r>
            <w:r>
              <w:rPr>
                <w:rFonts w:hint="eastAsia"/>
                <w:color w:val="000000" w:themeColor="text1"/>
                <w:highlight w:val="none"/>
                <w:lang w:val="en-US" w:eastAsia="zh-CN"/>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w:t>
            </w:r>
          </w:p>
          <w:p w14:paraId="5434F07E">
            <w:pPr>
              <w:pStyle w:val="30"/>
              <w:bidi w:val="0"/>
              <w:rPr>
                <w:rFonts w:hint="default"/>
                <w:color w:val="000000" w:themeColor="text1"/>
                <w:highlight w:val="none"/>
                <w:lang w:val="en-US" w:eastAsia="zh-CN"/>
                <w14:textFill>
                  <w14:solidFill>
                    <w14:schemeClr w14:val="tx1"/>
                  </w14:solidFill>
                </w14:textFill>
              </w:rPr>
            </w:pPr>
            <w:bookmarkStart w:id="197" w:name="_Ref10929"/>
            <w:r>
              <w:rPr>
                <w:color w:val="000000" w:themeColor="text1"/>
                <w:highlight w:val="none"/>
                <w14:textFill>
                  <w14:solidFill>
                    <w14:schemeClr w14:val="tx1"/>
                  </w14:solidFill>
                </w14:textFill>
              </w:rPr>
              <w:t>非正常状态下废气的产生及排放状况</w:t>
            </w:r>
            <w:bookmarkEnd w:id="197"/>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一期工程</w:t>
            </w:r>
            <w:r>
              <w:rPr>
                <w:rFonts w:hint="eastAsia"/>
                <w:color w:val="000000" w:themeColor="text1"/>
                <w:highlight w:val="none"/>
                <w:lang w:eastAsia="zh-CN"/>
                <w14:textFill>
                  <w14:solidFill>
                    <w14:schemeClr w14:val="tx1"/>
                  </w14:solidFill>
                </w14:textFill>
              </w:rPr>
              <w:t>）</w:t>
            </w:r>
          </w:p>
          <w:tbl>
            <w:tblPr>
              <w:tblStyle w:val="17"/>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1"/>
              <w:gridCol w:w="873"/>
              <w:gridCol w:w="886"/>
              <w:gridCol w:w="954"/>
              <w:gridCol w:w="939"/>
              <w:gridCol w:w="918"/>
              <w:gridCol w:w="695"/>
              <w:gridCol w:w="765"/>
              <w:gridCol w:w="1190"/>
            </w:tblGrid>
            <w:tr w14:paraId="69DC40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6" w:type="pct"/>
                  <w:vMerge w:val="restart"/>
                  <w:noWrap w:val="0"/>
                  <w:vAlign w:val="center"/>
                </w:tcPr>
                <w:p w14:paraId="7353202C">
                  <w:pPr>
                    <w:pStyle w:val="2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污染源</w:t>
                  </w:r>
                </w:p>
              </w:tc>
              <w:tc>
                <w:tcPr>
                  <w:tcW w:w="526" w:type="pct"/>
                  <w:vMerge w:val="restart"/>
                  <w:noWrap w:val="0"/>
                  <w:vAlign w:val="center"/>
                </w:tcPr>
                <w:p w14:paraId="28079F98">
                  <w:pPr>
                    <w:pStyle w:val="2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污染物种类</w:t>
                  </w:r>
                </w:p>
              </w:tc>
              <w:tc>
                <w:tcPr>
                  <w:tcW w:w="534" w:type="pct"/>
                  <w:vMerge w:val="restart"/>
                  <w:noWrap w:val="0"/>
                  <w:vAlign w:val="center"/>
                </w:tcPr>
                <w:p w14:paraId="45867A9C">
                  <w:pPr>
                    <w:pStyle w:val="2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非正常排放原因</w:t>
                  </w:r>
                </w:p>
              </w:tc>
              <w:tc>
                <w:tcPr>
                  <w:tcW w:w="1694" w:type="pct"/>
                  <w:gridSpan w:val="3"/>
                  <w:noWrap w:val="0"/>
                  <w:vAlign w:val="center"/>
                </w:tcPr>
                <w:p w14:paraId="6DDAEE1C">
                  <w:pPr>
                    <w:pStyle w:val="26"/>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非正常排放情况</w:t>
                  </w:r>
                </w:p>
              </w:tc>
              <w:tc>
                <w:tcPr>
                  <w:tcW w:w="419" w:type="pct"/>
                  <w:vMerge w:val="restart"/>
                  <w:noWrap w:val="0"/>
                  <w:vAlign w:val="center"/>
                </w:tcPr>
                <w:p w14:paraId="44E86B1A">
                  <w:pPr>
                    <w:pStyle w:val="2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单次持续时间</w:t>
                  </w:r>
                </w:p>
              </w:tc>
              <w:tc>
                <w:tcPr>
                  <w:tcW w:w="461" w:type="pct"/>
                  <w:vMerge w:val="restart"/>
                  <w:noWrap w:val="0"/>
                  <w:vAlign w:val="center"/>
                </w:tcPr>
                <w:p w14:paraId="2C3F76C2">
                  <w:pPr>
                    <w:pStyle w:val="2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可能发生频次</w:t>
                  </w:r>
                </w:p>
              </w:tc>
              <w:tc>
                <w:tcPr>
                  <w:tcW w:w="717" w:type="pct"/>
                  <w:vMerge w:val="restart"/>
                  <w:noWrap w:val="0"/>
                  <w:vAlign w:val="center"/>
                </w:tcPr>
                <w:p w14:paraId="0D6832C2">
                  <w:pPr>
                    <w:pStyle w:val="2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应对措施</w:t>
                  </w:r>
                </w:p>
              </w:tc>
            </w:tr>
            <w:tr w14:paraId="720934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6" w:type="pct"/>
                  <w:vMerge w:val="continue"/>
                  <w:noWrap w:val="0"/>
                  <w:vAlign w:val="center"/>
                </w:tcPr>
                <w:p w14:paraId="2A1156AC">
                  <w:pPr>
                    <w:pStyle w:val="26"/>
                    <w:rPr>
                      <w:rFonts w:hint="eastAsia"/>
                      <w:color w:val="000000" w:themeColor="text1"/>
                      <w:highlight w:val="none"/>
                      <w14:textFill>
                        <w14:solidFill>
                          <w14:schemeClr w14:val="tx1"/>
                        </w14:solidFill>
                      </w14:textFill>
                    </w:rPr>
                  </w:pPr>
                </w:p>
              </w:tc>
              <w:tc>
                <w:tcPr>
                  <w:tcW w:w="526" w:type="pct"/>
                  <w:vMerge w:val="continue"/>
                  <w:noWrap w:val="0"/>
                  <w:vAlign w:val="center"/>
                </w:tcPr>
                <w:p w14:paraId="3EF77D19">
                  <w:pPr>
                    <w:pStyle w:val="26"/>
                    <w:rPr>
                      <w:rFonts w:hint="eastAsia"/>
                      <w:color w:val="000000" w:themeColor="text1"/>
                      <w:highlight w:val="none"/>
                      <w14:textFill>
                        <w14:solidFill>
                          <w14:schemeClr w14:val="tx1"/>
                        </w14:solidFill>
                      </w14:textFill>
                    </w:rPr>
                  </w:pPr>
                </w:p>
              </w:tc>
              <w:tc>
                <w:tcPr>
                  <w:tcW w:w="534" w:type="pct"/>
                  <w:vMerge w:val="continue"/>
                  <w:noWrap w:val="0"/>
                  <w:vAlign w:val="center"/>
                </w:tcPr>
                <w:p w14:paraId="0F79E489">
                  <w:pPr>
                    <w:pStyle w:val="26"/>
                    <w:rPr>
                      <w:rFonts w:hint="eastAsia"/>
                      <w:color w:val="000000" w:themeColor="text1"/>
                      <w:highlight w:val="none"/>
                      <w14:textFill>
                        <w14:solidFill>
                          <w14:schemeClr w14:val="tx1"/>
                        </w14:solidFill>
                      </w14:textFill>
                    </w:rPr>
                  </w:pPr>
                </w:p>
              </w:tc>
              <w:tc>
                <w:tcPr>
                  <w:tcW w:w="575" w:type="pct"/>
                  <w:noWrap w:val="0"/>
                  <w:vAlign w:val="center"/>
                </w:tcPr>
                <w:p w14:paraId="279C4E69">
                  <w:pPr>
                    <w:pStyle w:val="2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浓度(mg/m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w:t>
                  </w:r>
                </w:p>
              </w:tc>
              <w:tc>
                <w:tcPr>
                  <w:tcW w:w="566" w:type="pct"/>
                  <w:noWrap w:val="0"/>
                  <w:vAlign w:val="center"/>
                </w:tcPr>
                <w:p w14:paraId="4D700AED">
                  <w:pPr>
                    <w:pStyle w:val="2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速率(kg/h)</w:t>
                  </w:r>
                </w:p>
              </w:tc>
              <w:tc>
                <w:tcPr>
                  <w:tcW w:w="551" w:type="pct"/>
                  <w:noWrap w:val="0"/>
                  <w:vAlign w:val="center"/>
                </w:tcPr>
                <w:p w14:paraId="42BCDA02">
                  <w:pPr>
                    <w:pStyle w:val="2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排放量(kg/a)</w:t>
                  </w:r>
                </w:p>
              </w:tc>
              <w:tc>
                <w:tcPr>
                  <w:tcW w:w="419" w:type="pct"/>
                  <w:vMerge w:val="continue"/>
                  <w:noWrap w:val="0"/>
                  <w:vAlign w:val="center"/>
                </w:tcPr>
                <w:p w14:paraId="1B78A041">
                  <w:pPr>
                    <w:pStyle w:val="26"/>
                    <w:rPr>
                      <w:rFonts w:hint="eastAsia"/>
                      <w:color w:val="000000" w:themeColor="text1"/>
                      <w:highlight w:val="none"/>
                      <w14:textFill>
                        <w14:solidFill>
                          <w14:schemeClr w14:val="tx1"/>
                        </w14:solidFill>
                      </w14:textFill>
                    </w:rPr>
                  </w:pPr>
                </w:p>
              </w:tc>
              <w:tc>
                <w:tcPr>
                  <w:tcW w:w="461" w:type="pct"/>
                  <w:vMerge w:val="continue"/>
                  <w:noWrap w:val="0"/>
                  <w:vAlign w:val="center"/>
                </w:tcPr>
                <w:p w14:paraId="69442D28">
                  <w:pPr>
                    <w:pStyle w:val="26"/>
                    <w:rPr>
                      <w:rFonts w:hint="eastAsia"/>
                      <w:color w:val="000000" w:themeColor="text1"/>
                      <w:highlight w:val="none"/>
                      <w14:textFill>
                        <w14:solidFill>
                          <w14:schemeClr w14:val="tx1"/>
                        </w14:solidFill>
                      </w14:textFill>
                    </w:rPr>
                  </w:pPr>
                </w:p>
              </w:tc>
              <w:tc>
                <w:tcPr>
                  <w:tcW w:w="717" w:type="pct"/>
                  <w:vMerge w:val="continue"/>
                  <w:noWrap w:val="0"/>
                  <w:vAlign w:val="center"/>
                </w:tcPr>
                <w:p w14:paraId="1B31A54B">
                  <w:pPr>
                    <w:pStyle w:val="26"/>
                    <w:rPr>
                      <w:rFonts w:hint="eastAsia"/>
                      <w:color w:val="000000" w:themeColor="text1"/>
                      <w:highlight w:val="none"/>
                      <w14:textFill>
                        <w14:solidFill>
                          <w14:schemeClr w14:val="tx1"/>
                        </w14:solidFill>
                      </w14:textFill>
                    </w:rPr>
                  </w:pPr>
                </w:p>
              </w:tc>
            </w:tr>
            <w:tr w14:paraId="65DC7F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6" w:type="pct"/>
                  <w:vMerge w:val="restart"/>
                  <w:noWrap w:val="0"/>
                  <w:vAlign w:val="center"/>
                </w:tcPr>
                <w:p w14:paraId="470C417B">
                  <w:pPr>
                    <w:pStyle w:val="26"/>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DA001</w:t>
                  </w:r>
                </w:p>
              </w:tc>
              <w:tc>
                <w:tcPr>
                  <w:tcW w:w="526" w:type="pct"/>
                  <w:shd w:val="clear" w:color="auto" w:fill="auto"/>
                  <w:noWrap w:val="0"/>
                  <w:vAlign w:val="center"/>
                </w:tcPr>
                <w:p w14:paraId="6AB69603">
                  <w:pPr>
                    <w:pStyle w:val="26"/>
                    <w:bidi w:val="0"/>
                    <w:ind w:firstLine="0" w:firstLineChars="0"/>
                    <w:rPr>
                      <w:rFonts w:hint="eastAsia" w:ascii="Times New Roman" w:hAnsi="Times New Roman" w:eastAsia="宋体" w:cs="Times New Roman"/>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沥青烟</w:t>
                  </w:r>
                </w:p>
              </w:tc>
              <w:tc>
                <w:tcPr>
                  <w:tcW w:w="534" w:type="pct"/>
                  <w:vMerge w:val="restart"/>
                  <w:noWrap w:val="0"/>
                  <w:vAlign w:val="center"/>
                </w:tcPr>
                <w:p w14:paraId="79F4A9B4">
                  <w:pPr>
                    <w:pStyle w:val="26"/>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布袋除尘发生故障</w:t>
                  </w:r>
                </w:p>
              </w:tc>
              <w:tc>
                <w:tcPr>
                  <w:tcW w:w="575" w:type="pct"/>
                  <w:noWrap w:val="0"/>
                  <w:vAlign w:val="center"/>
                </w:tcPr>
                <w:p w14:paraId="4B7621CA">
                  <w:pPr>
                    <w:pStyle w:val="26"/>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0.83</w:t>
                  </w:r>
                </w:p>
              </w:tc>
              <w:tc>
                <w:tcPr>
                  <w:tcW w:w="566" w:type="pct"/>
                  <w:noWrap w:val="0"/>
                  <w:vAlign w:val="center"/>
                </w:tcPr>
                <w:p w14:paraId="1DF34ADD">
                  <w:pPr>
                    <w:pStyle w:val="26"/>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0.0083</w:t>
                  </w:r>
                </w:p>
              </w:tc>
              <w:tc>
                <w:tcPr>
                  <w:tcW w:w="551" w:type="pct"/>
                  <w:noWrap w:val="0"/>
                  <w:vAlign w:val="center"/>
                </w:tcPr>
                <w:p w14:paraId="3AB12CDC">
                  <w:pPr>
                    <w:pStyle w:val="26"/>
                    <w:bidi w:val="0"/>
                    <w:ind w:firstLine="0" w:firstLineChars="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0.0083</w:t>
                  </w:r>
                </w:p>
              </w:tc>
              <w:tc>
                <w:tcPr>
                  <w:tcW w:w="419" w:type="pct"/>
                  <w:vMerge w:val="restart"/>
                  <w:noWrap w:val="0"/>
                  <w:vAlign w:val="center"/>
                </w:tcPr>
                <w:p w14:paraId="001B115F">
                  <w:pPr>
                    <w:pStyle w:val="26"/>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 h</w:t>
                  </w:r>
                </w:p>
              </w:tc>
              <w:tc>
                <w:tcPr>
                  <w:tcW w:w="461" w:type="pct"/>
                  <w:vMerge w:val="restart"/>
                  <w:noWrap w:val="0"/>
                  <w:vAlign w:val="center"/>
                </w:tcPr>
                <w:p w14:paraId="4CE26049">
                  <w:pPr>
                    <w:pStyle w:val="26"/>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1次/年</w:t>
                  </w:r>
                </w:p>
              </w:tc>
              <w:tc>
                <w:tcPr>
                  <w:tcW w:w="717" w:type="pct"/>
                  <w:vMerge w:val="restart"/>
                  <w:noWrap w:val="0"/>
                  <w:vAlign w:val="center"/>
                </w:tcPr>
                <w:p w14:paraId="71C3C0AE">
                  <w:pPr>
                    <w:pStyle w:val="26"/>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发现非正常排放情况时，立即暂</w:t>
                  </w:r>
                  <w:r>
                    <w:rPr>
                      <w:rFonts w:hint="eastAsia"/>
                      <w:color w:val="000000" w:themeColor="text1"/>
                      <w:highlight w:val="none"/>
                      <w:lang w:val="en-US" w:eastAsia="zh-CN"/>
                      <w14:textFill>
                        <w14:solidFill>
                          <w14:schemeClr w14:val="tx1"/>
                        </w14:solidFill>
                      </w14:textFill>
                    </w:rPr>
                    <w:t>停</w:t>
                  </w:r>
                  <w:r>
                    <w:rPr>
                      <w:rFonts w:hint="eastAsia"/>
                      <w:color w:val="000000" w:themeColor="text1"/>
                      <w:highlight w:val="none"/>
                      <w14:textFill>
                        <w14:solidFill>
                          <w14:schemeClr w14:val="tx1"/>
                        </w14:solidFill>
                      </w14:textFill>
                    </w:rPr>
                    <w:t>生产，进行检修</w:t>
                  </w:r>
                </w:p>
              </w:tc>
            </w:tr>
            <w:tr w14:paraId="53E629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6" w:type="pct"/>
                  <w:vMerge w:val="continue"/>
                  <w:noWrap w:val="0"/>
                  <w:vAlign w:val="center"/>
                </w:tcPr>
                <w:p w14:paraId="18FBE7D1">
                  <w:pPr>
                    <w:pStyle w:val="26"/>
                    <w:rPr>
                      <w:rFonts w:hint="eastAsia" w:eastAsia="宋体"/>
                      <w:color w:val="000000" w:themeColor="text1"/>
                      <w:highlight w:val="none"/>
                      <w:lang w:val="en-US" w:eastAsia="zh-CN"/>
                      <w14:textFill>
                        <w14:solidFill>
                          <w14:schemeClr w14:val="tx1"/>
                        </w14:solidFill>
                      </w14:textFill>
                    </w:rPr>
                  </w:pPr>
                </w:p>
              </w:tc>
              <w:tc>
                <w:tcPr>
                  <w:tcW w:w="526" w:type="pct"/>
                  <w:shd w:val="clear" w:color="auto" w:fill="auto"/>
                  <w:noWrap w:val="0"/>
                  <w:vAlign w:val="center"/>
                </w:tcPr>
                <w:p w14:paraId="6F1F356A">
                  <w:pPr>
                    <w:pStyle w:val="26"/>
                    <w:bidi w:val="0"/>
                    <w:ind w:firstLine="0" w:firstLineChars="0"/>
                    <w:rPr>
                      <w:rFonts w:hint="eastAsia" w:ascii="Times New Roman" w:hAnsi="Times New Roman" w:eastAsia="宋体" w:cs="Times New Roman"/>
                      <w:color w:val="000000" w:themeColor="text1"/>
                      <w:sz w:val="21"/>
                      <w:szCs w:val="22"/>
                      <w:highlight w:val="none"/>
                      <w:lang w:val="en-US" w:eastAsia="zh-CN"/>
                      <w14:textFill>
                        <w14:solidFill>
                          <w14:schemeClr w14:val="tx1"/>
                        </w14:solidFill>
                      </w14:textFill>
                    </w:rPr>
                  </w:pPr>
                  <w:r>
                    <w:rPr>
                      <w:color w:val="000000" w:themeColor="text1"/>
                      <w:highlight w:val="none"/>
                      <w:lang w:val="en-US" w:eastAsia="zh-CN"/>
                      <w14:textFill>
                        <w14:solidFill>
                          <w14:schemeClr w14:val="tx1"/>
                        </w14:solidFill>
                      </w14:textFill>
                    </w:rPr>
                    <w:t>苯并[a]芘</w:t>
                  </w:r>
                </w:p>
              </w:tc>
              <w:tc>
                <w:tcPr>
                  <w:tcW w:w="534" w:type="pct"/>
                  <w:vMerge w:val="continue"/>
                  <w:noWrap w:val="0"/>
                  <w:vAlign w:val="center"/>
                </w:tcPr>
                <w:p w14:paraId="0086439C">
                  <w:pPr>
                    <w:pStyle w:val="26"/>
                    <w:rPr>
                      <w:color w:val="000000" w:themeColor="text1"/>
                      <w:highlight w:val="none"/>
                      <w14:textFill>
                        <w14:solidFill>
                          <w14:schemeClr w14:val="tx1"/>
                        </w14:solidFill>
                      </w14:textFill>
                    </w:rPr>
                  </w:pPr>
                </w:p>
              </w:tc>
              <w:tc>
                <w:tcPr>
                  <w:tcW w:w="575" w:type="pct"/>
                  <w:noWrap w:val="0"/>
                  <w:vAlign w:val="center"/>
                </w:tcPr>
                <w:p w14:paraId="4B7CDFBA">
                  <w:pPr>
                    <w:pStyle w:val="26"/>
                    <w:bidi w:val="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2.21E</w:t>
                  </w:r>
                </w:p>
                <w:p w14:paraId="75B49F4D">
                  <w:pPr>
                    <w:pStyle w:val="26"/>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-04</w:t>
                  </w:r>
                </w:p>
              </w:tc>
              <w:tc>
                <w:tcPr>
                  <w:tcW w:w="566" w:type="pct"/>
                  <w:noWrap w:val="0"/>
                  <w:vAlign w:val="center"/>
                </w:tcPr>
                <w:p w14:paraId="7FFDFEA1">
                  <w:pPr>
                    <w:pStyle w:val="26"/>
                    <w:bidi w:val="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2.21E</w:t>
                  </w:r>
                </w:p>
                <w:p w14:paraId="4CD71156">
                  <w:pPr>
                    <w:pStyle w:val="26"/>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-06</w:t>
                  </w:r>
                </w:p>
              </w:tc>
              <w:tc>
                <w:tcPr>
                  <w:tcW w:w="551" w:type="pct"/>
                  <w:noWrap w:val="0"/>
                  <w:vAlign w:val="center"/>
                </w:tcPr>
                <w:p w14:paraId="5CFE6878">
                  <w:pPr>
                    <w:pStyle w:val="26"/>
                    <w:bidi w:val="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2.21E</w:t>
                  </w:r>
                </w:p>
                <w:p w14:paraId="5E0F336C">
                  <w:pPr>
                    <w:pStyle w:val="26"/>
                    <w:bidi w:val="0"/>
                    <w:ind w:firstLine="0" w:firstLineChars="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-06</w:t>
                  </w:r>
                </w:p>
              </w:tc>
              <w:tc>
                <w:tcPr>
                  <w:tcW w:w="419" w:type="pct"/>
                  <w:vMerge w:val="continue"/>
                  <w:noWrap w:val="0"/>
                  <w:vAlign w:val="center"/>
                </w:tcPr>
                <w:p w14:paraId="746047B2">
                  <w:pPr>
                    <w:pStyle w:val="26"/>
                    <w:rPr>
                      <w:rFonts w:hint="eastAsia"/>
                      <w:color w:val="000000" w:themeColor="text1"/>
                      <w:highlight w:val="none"/>
                      <w14:textFill>
                        <w14:solidFill>
                          <w14:schemeClr w14:val="tx1"/>
                        </w14:solidFill>
                      </w14:textFill>
                    </w:rPr>
                  </w:pPr>
                </w:p>
              </w:tc>
              <w:tc>
                <w:tcPr>
                  <w:tcW w:w="461" w:type="pct"/>
                  <w:vMerge w:val="continue"/>
                  <w:noWrap w:val="0"/>
                  <w:vAlign w:val="center"/>
                </w:tcPr>
                <w:p w14:paraId="1D28782A">
                  <w:pPr>
                    <w:pStyle w:val="26"/>
                    <w:rPr>
                      <w:rFonts w:hint="eastAsia"/>
                      <w:color w:val="000000" w:themeColor="text1"/>
                      <w:highlight w:val="none"/>
                      <w14:textFill>
                        <w14:solidFill>
                          <w14:schemeClr w14:val="tx1"/>
                        </w14:solidFill>
                      </w14:textFill>
                    </w:rPr>
                  </w:pPr>
                </w:p>
              </w:tc>
              <w:tc>
                <w:tcPr>
                  <w:tcW w:w="717" w:type="pct"/>
                  <w:vMerge w:val="continue"/>
                  <w:noWrap w:val="0"/>
                  <w:vAlign w:val="center"/>
                </w:tcPr>
                <w:p w14:paraId="7FA00C7B">
                  <w:pPr>
                    <w:pStyle w:val="26"/>
                    <w:rPr>
                      <w:rFonts w:hint="eastAsia"/>
                      <w:color w:val="000000" w:themeColor="text1"/>
                      <w:highlight w:val="none"/>
                      <w14:textFill>
                        <w14:solidFill>
                          <w14:schemeClr w14:val="tx1"/>
                        </w14:solidFill>
                      </w14:textFill>
                    </w:rPr>
                  </w:pPr>
                </w:p>
              </w:tc>
            </w:tr>
            <w:tr w14:paraId="63D93C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6" w:type="pct"/>
                  <w:vMerge w:val="continue"/>
                  <w:noWrap w:val="0"/>
                  <w:vAlign w:val="center"/>
                </w:tcPr>
                <w:p w14:paraId="7D884B2D">
                  <w:pPr>
                    <w:pStyle w:val="26"/>
                    <w:rPr>
                      <w:rFonts w:hint="eastAsia" w:eastAsia="宋体"/>
                      <w:color w:val="000000" w:themeColor="text1"/>
                      <w:highlight w:val="none"/>
                      <w:lang w:val="en-US" w:eastAsia="zh-CN"/>
                      <w14:textFill>
                        <w14:solidFill>
                          <w14:schemeClr w14:val="tx1"/>
                        </w14:solidFill>
                      </w14:textFill>
                    </w:rPr>
                  </w:pPr>
                </w:p>
              </w:tc>
              <w:tc>
                <w:tcPr>
                  <w:tcW w:w="526" w:type="pct"/>
                  <w:noWrap w:val="0"/>
                  <w:vAlign w:val="center"/>
                </w:tcPr>
                <w:p w14:paraId="2F2E7F8F">
                  <w:pPr>
                    <w:pStyle w:val="26"/>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颗粒物</w:t>
                  </w:r>
                </w:p>
              </w:tc>
              <w:tc>
                <w:tcPr>
                  <w:tcW w:w="534" w:type="pct"/>
                  <w:vMerge w:val="continue"/>
                  <w:noWrap w:val="0"/>
                  <w:vAlign w:val="center"/>
                </w:tcPr>
                <w:p w14:paraId="7ADAA950">
                  <w:pPr>
                    <w:pStyle w:val="26"/>
                    <w:rPr>
                      <w:rFonts w:hint="default" w:eastAsia="宋体"/>
                      <w:color w:val="000000" w:themeColor="text1"/>
                      <w:highlight w:val="none"/>
                      <w:lang w:val="en-US" w:eastAsia="zh-CN"/>
                      <w14:textFill>
                        <w14:solidFill>
                          <w14:schemeClr w14:val="tx1"/>
                        </w14:solidFill>
                      </w14:textFill>
                    </w:rPr>
                  </w:pPr>
                </w:p>
              </w:tc>
              <w:tc>
                <w:tcPr>
                  <w:tcW w:w="575" w:type="pct"/>
                  <w:noWrap w:val="0"/>
                  <w:vAlign w:val="center"/>
                </w:tcPr>
                <w:p w14:paraId="27589630">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62.23</w:t>
                  </w:r>
                </w:p>
              </w:tc>
              <w:tc>
                <w:tcPr>
                  <w:tcW w:w="566" w:type="pct"/>
                  <w:noWrap w:val="0"/>
                  <w:vAlign w:val="center"/>
                </w:tcPr>
                <w:p w14:paraId="274CE12F">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0.6223</w:t>
                  </w:r>
                </w:p>
              </w:tc>
              <w:tc>
                <w:tcPr>
                  <w:tcW w:w="551" w:type="pct"/>
                  <w:shd w:val="clear" w:color="auto" w:fill="auto"/>
                  <w:noWrap w:val="0"/>
                  <w:vAlign w:val="center"/>
                </w:tcPr>
                <w:p w14:paraId="314592CF">
                  <w:pPr>
                    <w:pStyle w:val="26"/>
                    <w:bidi w:val="0"/>
                    <w:ind w:firstLine="0" w:firstLineChars="0"/>
                    <w:jc w:val="center"/>
                    <w:rPr>
                      <w:rFonts w:hint="default" w:ascii="Times New Roman" w:hAnsi="Times New Roman" w:eastAsia="宋体" w:cs="Times New Roman"/>
                      <w:color w:val="000000" w:themeColor="text1"/>
                      <w:sz w:val="21"/>
                      <w:szCs w:val="22"/>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0.6223</w:t>
                  </w:r>
                </w:p>
              </w:tc>
              <w:tc>
                <w:tcPr>
                  <w:tcW w:w="419" w:type="pct"/>
                  <w:vMerge w:val="continue"/>
                  <w:noWrap w:val="0"/>
                  <w:vAlign w:val="center"/>
                </w:tcPr>
                <w:p w14:paraId="73640ED7">
                  <w:pPr>
                    <w:pStyle w:val="26"/>
                    <w:rPr>
                      <w:rFonts w:hint="eastAsia"/>
                      <w:color w:val="000000" w:themeColor="text1"/>
                      <w:highlight w:val="none"/>
                      <w14:textFill>
                        <w14:solidFill>
                          <w14:schemeClr w14:val="tx1"/>
                        </w14:solidFill>
                      </w14:textFill>
                    </w:rPr>
                  </w:pPr>
                </w:p>
              </w:tc>
              <w:tc>
                <w:tcPr>
                  <w:tcW w:w="461" w:type="pct"/>
                  <w:vMerge w:val="continue"/>
                  <w:noWrap w:val="0"/>
                  <w:vAlign w:val="center"/>
                </w:tcPr>
                <w:p w14:paraId="2CF6EF15">
                  <w:pPr>
                    <w:pStyle w:val="26"/>
                    <w:rPr>
                      <w:rFonts w:hint="eastAsia"/>
                      <w:color w:val="000000" w:themeColor="text1"/>
                      <w:highlight w:val="none"/>
                      <w14:textFill>
                        <w14:solidFill>
                          <w14:schemeClr w14:val="tx1"/>
                        </w14:solidFill>
                      </w14:textFill>
                    </w:rPr>
                  </w:pPr>
                </w:p>
              </w:tc>
              <w:tc>
                <w:tcPr>
                  <w:tcW w:w="717" w:type="pct"/>
                  <w:vMerge w:val="continue"/>
                  <w:noWrap w:val="0"/>
                  <w:vAlign w:val="center"/>
                </w:tcPr>
                <w:p w14:paraId="5F5C0684">
                  <w:pPr>
                    <w:pStyle w:val="26"/>
                    <w:rPr>
                      <w:rFonts w:hint="eastAsia"/>
                      <w:color w:val="000000" w:themeColor="text1"/>
                      <w:highlight w:val="none"/>
                      <w14:textFill>
                        <w14:solidFill>
                          <w14:schemeClr w14:val="tx1"/>
                        </w14:solidFill>
                      </w14:textFill>
                    </w:rPr>
                  </w:pPr>
                </w:p>
              </w:tc>
            </w:tr>
            <w:tr w14:paraId="1381DF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6" w:type="pct"/>
                  <w:vMerge w:val="continue"/>
                  <w:noWrap w:val="0"/>
                  <w:vAlign w:val="center"/>
                </w:tcPr>
                <w:p w14:paraId="191481CD">
                  <w:pPr>
                    <w:pStyle w:val="26"/>
                    <w:rPr>
                      <w:rFonts w:hint="eastAsia" w:eastAsia="宋体"/>
                      <w:color w:val="000000" w:themeColor="text1"/>
                      <w:highlight w:val="none"/>
                      <w:lang w:val="en-US" w:eastAsia="zh-CN"/>
                      <w14:textFill>
                        <w14:solidFill>
                          <w14:schemeClr w14:val="tx1"/>
                        </w14:solidFill>
                      </w14:textFill>
                    </w:rPr>
                  </w:pPr>
                </w:p>
              </w:tc>
              <w:tc>
                <w:tcPr>
                  <w:tcW w:w="526" w:type="pct"/>
                  <w:noWrap w:val="0"/>
                  <w:vAlign w:val="center"/>
                </w:tcPr>
                <w:p w14:paraId="2DB48E2F">
                  <w:pPr>
                    <w:pStyle w:val="26"/>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非甲烷总烃</w:t>
                  </w:r>
                </w:p>
              </w:tc>
              <w:tc>
                <w:tcPr>
                  <w:tcW w:w="534" w:type="pct"/>
                  <w:vMerge w:val="continue"/>
                  <w:noWrap w:val="0"/>
                  <w:vAlign w:val="center"/>
                </w:tcPr>
                <w:p w14:paraId="3E955933">
                  <w:pPr>
                    <w:pStyle w:val="26"/>
                    <w:rPr>
                      <w:color w:val="000000" w:themeColor="text1"/>
                      <w:highlight w:val="none"/>
                      <w14:textFill>
                        <w14:solidFill>
                          <w14:schemeClr w14:val="tx1"/>
                        </w14:solidFill>
                      </w14:textFill>
                    </w:rPr>
                  </w:pPr>
                </w:p>
              </w:tc>
              <w:tc>
                <w:tcPr>
                  <w:tcW w:w="575" w:type="pct"/>
                  <w:noWrap w:val="0"/>
                  <w:vAlign w:val="center"/>
                </w:tcPr>
                <w:p w14:paraId="37AEBAF9">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75.61</w:t>
                  </w:r>
                </w:p>
              </w:tc>
              <w:tc>
                <w:tcPr>
                  <w:tcW w:w="566" w:type="pct"/>
                  <w:noWrap w:val="0"/>
                  <w:vAlign w:val="center"/>
                </w:tcPr>
                <w:p w14:paraId="522802D4">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0.7561</w:t>
                  </w:r>
                </w:p>
              </w:tc>
              <w:tc>
                <w:tcPr>
                  <w:tcW w:w="551" w:type="pct"/>
                  <w:noWrap w:val="0"/>
                  <w:vAlign w:val="center"/>
                </w:tcPr>
                <w:p w14:paraId="01EDCFC6">
                  <w:pPr>
                    <w:pStyle w:val="26"/>
                    <w:bidi w:val="0"/>
                    <w:ind w:firstLine="0" w:firstLineChars="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0.7561</w:t>
                  </w:r>
                </w:p>
              </w:tc>
              <w:tc>
                <w:tcPr>
                  <w:tcW w:w="419" w:type="pct"/>
                  <w:vMerge w:val="continue"/>
                  <w:noWrap w:val="0"/>
                  <w:vAlign w:val="center"/>
                </w:tcPr>
                <w:p w14:paraId="652798B6">
                  <w:pPr>
                    <w:pStyle w:val="26"/>
                    <w:rPr>
                      <w:rFonts w:hint="eastAsia"/>
                      <w:color w:val="000000" w:themeColor="text1"/>
                      <w:highlight w:val="none"/>
                      <w14:textFill>
                        <w14:solidFill>
                          <w14:schemeClr w14:val="tx1"/>
                        </w14:solidFill>
                      </w14:textFill>
                    </w:rPr>
                  </w:pPr>
                </w:p>
              </w:tc>
              <w:tc>
                <w:tcPr>
                  <w:tcW w:w="461" w:type="pct"/>
                  <w:vMerge w:val="continue"/>
                  <w:noWrap w:val="0"/>
                  <w:vAlign w:val="center"/>
                </w:tcPr>
                <w:p w14:paraId="3556EAEC">
                  <w:pPr>
                    <w:pStyle w:val="26"/>
                    <w:rPr>
                      <w:rFonts w:hint="eastAsia"/>
                      <w:color w:val="000000" w:themeColor="text1"/>
                      <w:highlight w:val="none"/>
                      <w14:textFill>
                        <w14:solidFill>
                          <w14:schemeClr w14:val="tx1"/>
                        </w14:solidFill>
                      </w14:textFill>
                    </w:rPr>
                  </w:pPr>
                </w:p>
              </w:tc>
              <w:tc>
                <w:tcPr>
                  <w:tcW w:w="717" w:type="pct"/>
                  <w:vMerge w:val="continue"/>
                  <w:noWrap w:val="0"/>
                  <w:vAlign w:val="center"/>
                </w:tcPr>
                <w:p w14:paraId="6B3F2A37">
                  <w:pPr>
                    <w:pStyle w:val="26"/>
                    <w:rPr>
                      <w:rFonts w:hint="eastAsia"/>
                      <w:color w:val="000000" w:themeColor="text1"/>
                      <w:highlight w:val="none"/>
                      <w14:textFill>
                        <w14:solidFill>
                          <w14:schemeClr w14:val="tx1"/>
                        </w14:solidFill>
                      </w14:textFill>
                    </w:rPr>
                  </w:pPr>
                </w:p>
              </w:tc>
            </w:tr>
            <w:tr w14:paraId="5D512D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6" w:type="pct"/>
                  <w:vMerge w:val="continue"/>
                  <w:noWrap w:val="0"/>
                  <w:vAlign w:val="center"/>
                </w:tcPr>
                <w:p w14:paraId="30583289">
                  <w:pPr>
                    <w:pStyle w:val="26"/>
                    <w:rPr>
                      <w:rFonts w:hint="eastAsia" w:eastAsia="宋体"/>
                      <w:color w:val="000000" w:themeColor="text1"/>
                      <w:highlight w:val="none"/>
                      <w:lang w:val="en-US" w:eastAsia="zh-CN"/>
                      <w14:textFill>
                        <w14:solidFill>
                          <w14:schemeClr w14:val="tx1"/>
                        </w14:solidFill>
                      </w14:textFill>
                    </w:rPr>
                  </w:pPr>
                </w:p>
              </w:tc>
              <w:tc>
                <w:tcPr>
                  <w:tcW w:w="526" w:type="pct"/>
                  <w:shd w:val="clear" w:color="auto" w:fill="auto"/>
                  <w:noWrap w:val="0"/>
                  <w:vAlign w:val="center"/>
                </w:tcPr>
                <w:p w14:paraId="0996BE93">
                  <w:pPr>
                    <w:pStyle w:val="26"/>
                    <w:bidi w:val="0"/>
                    <w:ind w:firstLine="0" w:firstLineChars="0"/>
                    <w:rPr>
                      <w:rFonts w:hint="eastAsia" w:ascii="Times New Roman" w:hAnsi="Times New Roman" w:eastAsia="宋体" w:cs="Times New Roman"/>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沥青烟</w:t>
                  </w:r>
                </w:p>
              </w:tc>
              <w:tc>
                <w:tcPr>
                  <w:tcW w:w="534" w:type="pct"/>
                  <w:vMerge w:val="restart"/>
                  <w:noWrap w:val="0"/>
                  <w:vAlign w:val="center"/>
                </w:tcPr>
                <w:p w14:paraId="2E6EEE67">
                  <w:pPr>
                    <w:pStyle w:val="26"/>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1个活性炭吸附装置发生故障</w:t>
                  </w:r>
                </w:p>
              </w:tc>
              <w:tc>
                <w:tcPr>
                  <w:tcW w:w="955" w:type="dxa"/>
                  <w:noWrap w:val="0"/>
                  <w:vAlign w:val="center"/>
                </w:tcPr>
                <w:p w14:paraId="734EE5DC">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1.65</w:t>
                  </w:r>
                </w:p>
              </w:tc>
              <w:tc>
                <w:tcPr>
                  <w:tcW w:w="940" w:type="dxa"/>
                  <w:noWrap w:val="0"/>
                  <w:vAlign w:val="center"/>
                </w:tcPr>
                <w:p w14:paraId="59773CD3">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0.0165</w:t>
                  </w:r>
                </w:p>
              </w:tc>
              <w:tc>
                <w:tcPr>
                  <w:tcW w:w="914" w:type="dxa"/>
                  <w:noWrap w:val="0"/>
                  <w:vAlign w:val="center"/>
                </w:tcPr>
                <w:p w14:paraId="263FAB6F">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0.0165</w:t>
                  </w:r>
                </w:p>
              </w:tc>
              <w:tc>
                <w:tcPr>
                  <w:tcW w:w="419" w:type="pct"/>
                  <w:vMerge w:val="restart"/>
                  <w:shd w:val="clear" w:color="auto" w:fill="auto"/>
                  <w:noWrap w:val="0"/>
                  <w:vAlign w:val="center"/>
                </w:tcPr>
                <w:p w14:paraId="18B6AD10">
                  <w:pPr>
                    <w:pStyle w:val="26"/>
                    <w:ind w:firstLine="0" w:firstLineChars="0"/>
                    <w:rPr>
                      <w:rFonts w:hint="eastAsia" w:ascii="Times New Roman" w:hAnsi="Times New Roman" w:eastAsia="宋体" w:cs="Times New Roman"/>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 h</w:t>
                  </w:r>
                </w:p>
              </w:tc>
              <w:tc>
                <w:tcPr>
                  <w:tcW w:w="461" w:type="pct"/>
                  <w:vMerge w:val="restart"/>
                  <w:shd w:val="clear" w:color="auto" w:fill="auto"/>
                  <w:noWrap w:val="0"/>
                  <w:vAlign w:val="center"/>
                </w:tcPr>
                <w:p w14:paraId="75FD805A">
                  <w:pPr>
                    <w:pStyle w:val="26"/>
                    <w:ind w:firstLine="0" w:firstLineChars="0"/>
                    <w:rPr>
                      <w:rFonts w:hint="eastAsia" w:ascii="Times New Roman" w:hAnsi="Times New Roman" w:eastAsia="宋体" w:cs="Times New Roman"/>
                      <w:color w:val="000000" w:themeColor="text1"/>
                      <w:sz w:val="21"/>
                      <w:szCs w:val="22"/>
                      <w:highlight w:val="none"/>
                      <w14:textFill>
                        <w14:solidFill>
                          <w14:schemeClr w14:val="tx1"/>
                        </w14:solidFill>
                      </w14:textFill>
                    </w:rPr>
                  </w:pPr>
                  <w:r>
                    <w:rPr>
                      <w:rFonts w:hint="eastAsia"/>
                      <w:color w:val="000000" w:themeColor="text1"/>
                      <w:highlight w:val="none"/>
                      <w14:textFill>
                        <w14:solidFill>
                          <w14:schemeClr w14:val="tx1"/>
                        </w14:solidFill>
                      </w14:textFill>
                    </w:rPr>
                    <w:t>1次/年</w:t>
                  </w:r>
                </w:p>
              </w:tc>
              <w:tc>
                <w:tcPr>
                  <w:tcW w:w="717" w:type="pct"/>
                  <w:vMerge w:val="restart"/>
                  <w:noWrap w:val="0"/>
                  <w:vAlign w:val="center"/>
                </w:tcPr>
                <w:p w14:paraId="2EDBA5A7">
                  <w:pPr>
                    <w:pStyle w:val="26"/>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发现非正常排放情况时，立即暂</w:t>
                  </w:r>
                  <w:r>
                    <w:rPr>
                      <w:rFonts w:hint="eastAsia"/>
                      <w:color w:val="000000" w:themeColor="text1"/>
                      <w:highlight w:val="none"/>
                      <w:lang w:val="en-US" w:eastAsia="zh-CN"/>
                      <w14:textFill>
                        <w14:solidFill>
                          <w14:schemeClr w14:val="tx1"/>
                        </w14:solidFill>
                      </w14:textFill>
                    </w:rPr>
                    <w:t>停</w:t>
                  </w:r>
                  <w:r>
                    <w:rPr>
                      <w:rFonts w:hint="eastAsia"/>
                      <w:color w:val="000000" w:themeColor="text1"/>
                      <w:highlight w:val="none"/>
                      <w14:textFill>
                        <w14:solidFill>
                          <w14:schemeClr w14:val="tx1"/>
                        </w14:solidFill>
                      </w14:textFill>
                    </w:rPr>
                    <w:t>生产，进行检修</w:t>
                  </w:r>
                </w:p>
              </w:tc>
            </w:tr>
            <w:tr w14:paraId="26EC01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6" w:type="pct"/>
                  <w:vMerge w:val="continue"/>
                  <w:noWrap w:val="0"/>
                  <w:vAlign w:val="center"/>
                </w:tcPr>
                <w:p w14:paraId="7D0A40FA">
                  <w:pPr>
                    <w:pStyle w:val="26"/>
                    <w:rPr>
                      <w:rFonts w:hint="eastAsia" w:eastAsia="宋体"/>
                      <w:color w:val="000000" w:themeColor="text1"/>
                      <w:highlight w:val="none"/>
                      <w:lang w:val="en-US" w:eastAsia="zh-CN"/>
                      <w14:textFill>
                        <w14:solidFill>
                          <w14:schemeClr w14:val="tx1"/>
                        </w14:solidFill>
                      </w14:textFill>
                    </w:rPr>
                  </w:pPr>
                </w:p>
              </w:tc>
              <w:tc>
                <w:tcPr>
                  <w:tcW w:w="526" w:type="pct"/>
                  <w:shd w:val="clear" w:color="auto" w:fill="auto"/>
                  <w:noWrap w:val="0"/>
                  <w:vAlign w:val="center"/>
                </w:tcPr>
                <w:p w14:paraId="05070FCB">
                  <w:pPr>
                    <w:pStyle w:val="26"/>
                    <w:bidi w:val="0"/>
                    <w:ind w:firstLine="0" w:firstLineChars="0"/>
                    <w:rPr>
                      <w:rFonts w:hint="eastAsia" w:ascii="Times New Roman" w:hAnsi="Times New Roman" w:eastAsia="宋体" w:cs="Times New Roman"/>
                      <w:color w:val="000000" w:themeColor="text1"/>
                      <w:sz w:val="21"/>
                      <w:szCs w:val="22"/>
                      <w:highlight w:val="none"/>
                      <w:lang w:val="en-US" w:eastAsia="zh-CN"/>
                      <w14:textFill>
                        <w14:solidFill>
                          <w14:schemeClr w14:val="tx1"/>
                        </w14:solidFill>
                      </w14:textFill>
                    </w:rPr>
                  </w:pPr>
                  <w:r>
                    <w:rPr>
                      <w:color w:val="000000" w:themeColor="text1"/>
                      <w:highlight w:val="none"/>
                      <w:lang w:val="en-US" w:eastAsia="zh-CN"/>
                      <w14:textFill>
                        <w14:solidFill>
                          <w14:schemeClr w14:val="tx1"/>
                        </w14:solidFill>
                      </w14:textFill>
                    </w:rPr>
                    <w:t>苯并[a]芘</w:t>
                  </w:r>
                </w:p>
              </w:tc>
              <w:tc>
                <w:tcPr>
                  <w:tcW w:w="534" w:type="pct"/>
                  <w:vMerge w:val="continue"/>
                  <w:noWrap w:val="0"/>
                  <w:vAlign w:val="center"/>
                </w:tcPr>
                <w:p w14:paraId="144D8027">
                  <w:pPr>
                    <w:pStyle w:val="26"/>
                    <w:rPr>
                      <w:color w:val="000000" w:themeColor="text1"/>
                      <w:highlight w:val="none"/>
                      <w14:textFill>
                        <w14:solidFill>
                          <w14:schemeClr w14:val="tx1"/>
                        </w14:solidFill>
                      </w14:textFill>
                    </w:rPr>
                  </w:pPr>
                </w:p>
              </w:tc>
              <w:tc>
                <w:tcPr>
                  <w:tcW w:w="955" w:type="dxa"/>
                  <w:noWrap w:val="0"/>
                  <w:vAlign w:val="center"/>
                </w:tcPr>
                <w:p w14:paraId="6803AEC0">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4.41E</w:t>
                  </w:r>
                </w:p>
                <w:p w14:paraId="64A56000">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-04</w:t>
                  </w:r>
                </w:p>
              </w:tc>
              <w:tc>
                <w:tcPr>
                  <w:tcW w:w="940" w:type="dxa"/>
                  <w:noWrap w:val="0"/>
                  <w:vAlign w:val="center"/>
                </w:tcPr>
                <w:p w14:paraId="6FC475C8">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4.41E</w:t>
                  </w:r>
                </w:p>
                <w:p w14:paraId="38282163">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-06</w:t>
                  </w:r>
                </w:p>
              </w:tc>
              <w:tc>
                <w:tcPr>
                  <w:tcW w:w="914" w:type="dxa"/>
                  <w:noWrap w:val="0"/>
                  <w:vAlign w:val="center"/>
                </w:tcPr>
                <w:p w14:paraId="182F7F7B">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4.41E</w:t>
                  </w:r>
                </w:p>
                <w:p w14:paraId="36143DAF">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-06</w:t>
                  </w:r>
                </w:p>
              </w:tc>
              <w:tc>
                <w:tcPr>
                  <w:tcW w:w="419" w:type="pct"/>
                  <w:vMerge w:val="continue"/>
                  <w:noWrap w:val="0"/>
                  <w:vAlign w:val="center"/>
                </w:tcPr>
                <w:p w14:paraId="43C434CB">
                  <w:pPr>
                    <w:pStyle w:val="26"/>
                    <w:rPr>
                      <w:rFonts w:hint="eastAsia"/>
                      <w:color w:val="000000" w:themeColor="text1"/>
                      <w:highlight w:val="none"/>
                      <w14:textFill>
                        <w14:solidFill>
                          <w14:schemeClr w14:val="tx1"/>
                        </w14:solidFill>
                      </w14:textFill>
                    </w:rPr>
                  </w:pPr>
                </w:p>
              </w:tc>
              <w:tc>
                <w:tcPr>
                  <w:tcW w:w="461" w:type="pct"/>
                  <w:vMerge w:val="continue"/>
                  <w:noWrap w:val="0"/>
                  <w:vAlign w:val="center"/>
                </w:tcPr>
                <w:p w14:paraId="5CC8B92E">
                  <w:pPr>
                    <w:pStyle w:val="26"/>
                    <w:rPr>
                      <w:rFonts w:hint="eastAsia"/>
                      <w:color w:val="000000" w:themeColor="text1"/>
                      <w:highlight w:val="none"/>
                      <w14:textFill>
                        <w14:solidFill>
                          <w14:schemeClr w14:val="tx1"/>
                        </w14:solidFill>
                      </w14:textFill>
                    </w:rPr>
                  </w:pPr>
                </w:p>
              </w:tc>
              <w:tc>
                <w:tcPr>
                  <w:tcW w:w="717" w:type="pct"/>
                  <w:vMerge w:val="continue"/>
                  <w:noWrap w:val="0"/>
                  <w:vAlign w:val="center"/>
                </w:tcPr>
                <w:p w14:paraId="4B26514E">
                  <w:pPr>
                    <w:pStyle w:val="26"/>
                    <w:rPr>
                      <w:rFonts w:hint="eastAsia"/>
                      <w:color w:val="000000" w:themeColor="text1"/>
                      <w:highlight w:val="none"/>
                      <w14:textFill>
                        <w14:solidFill>
                          <w14:schemeClr w14:val="tx1"/>
                        </w14:solidFill>
                      </w14:textFill>
                    </w:rPr>
                  </w:pPr>
                </w:p>
              </w:tc>
            </w:tr>
            <w:tr w14:paraId="145A7E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6" w:type="pct"/>
                  <w:vMerge w:val="continue"/>
                  <w:noWrap w:val="0"/>
                  <w:vAlign w:val="center"/>
                </w:tcPr>
                <w:p w14:paraId="300099DA">
                  <w:pPr>
                    <w:pStyle w:val="26"/>
                    <w:rPr>
                      <w:rFonts w:hint="eastAsia" w:eastAsia="宋体"/>
                      <w:color w:val="000000" w:themeColor="text1"/>
                      <w:highlight w:val="none"/>
                      <w:lang w:val="en-US" w:eastAsia="zh-CN"/>
                      <w14:textFill>
                        <w14:solidFill>
                          <w14:schemeClr w14:val="tx1"/>
                        </w14:solidFill>
                      </w14:textFill>
                    </w:rPr>
                  </w:pPr>
                </w:p>
              </w:tc>
              <w:tc>
                <w:tcPr>
                  <w:tcW w:w="526" w:type="pct"/>
                  <w:shd w:val="clear" w:color="auto" w:fill="auto"/>
                  <w:noWrap w:val="0"/>
                  <w:vAlign w:val="center"/>
                </w:tcPr>
                <w:p w14:paraId="505BA748">
                  <w:pPr>
                    <w:pStyle w:val="26"/>
                    <w:bidi w:val="0"/>
                    <w:ind w:firstLine="0" w:firstLineChars="0"/>
                    <w:rPr>
                      <w:rFonts w:hint="eastAsia" w:ascii="Times New Roman" w:hAnsi="Times New Roman" w:eastAsia="宋体" w:cs="Times New Roman"/>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颗粒物</w:t>
                  </w:r>
                </w:p>
              </w:tc>
              <w:tc>
                <w:tcPr>
                  <w:tcW w:w="534" w:type="pct"/>
                  <w:vMerge w:val="continue"/>
                  <w:noWrap w:val="0"/>
                  <w:vAlign w:val="center"/>
                </w:tcPr>
                <w:p w14:paraId="5223E6FA">
                  <w:pPr>
                    <w:pStyle w:val="26"/>
                    <w:rPr>
                      <w:color w:val="000000" w:themeColor="text1"/>
                      <w:highlight w:val="none"/>
                      <w14:textFill>
                        <w14:solidFill>
                          <w14:schemeClr w14:val="tx1"/>
                        </w14:solidFill>
                      </w14:textFill>
                    </w:rPr>
                  </w:pPr>
                </w:p>
              </w:tc>
              <w:tc>
                <w:tcPr>
                  <w:tcW w:w="955" w:type="dxa"/>
                  <w:noWrap w:val="0"/>
                  <w:vAlign w:val="center"/>
                </w:tcPr>
                <w:p w14:paraId="68BFB8D1">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0.62</w:t>
                  </w:r>
                </w:p>
              </w:tc>
              <w:tc>
                <w:tcPr>
                  <w:tcW w:w="940" w:type="dxa"/>
                  <w:noWrap w:val="0"/>
                  <w:vAlign w:val="center"/>
                </w:tcPr>
                <w:p w14:paraId="5CC3BF96">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0.0062</w:t>
                  </w:r>
                </w:p>
              </w:tc>
              <w:tc>
                <w:tcPr>
                  <w:tcW w:w="914" w:type="dxa"/>
                  <w:noWrap w:val="0"/>
                  <w:vAlign w:val="center"/>
                </w:tcPr>
                <w:p w14:paraId="3A421B6A">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0.0062</w:t>
                  </w:r>
                </w:p>
              </w:tc>
              <w:tc>
                <w:tcPr>
                  <w:tcW w:w="419" w:type="pct"/>
                  <w:vMerge w:val="continue"/>
                  <w:noWrap w:val="0"/>
                  <w:vAlign w:val="center"/>
                </w:tcPr>
                <w:p w14:paraId="3753108E">
                  <w:pPr>
                    <w:pStyle w:val="26"/>
                    <w:rPr>
                      <w:rFonts w:hint="eastAsia"/>
                      <w:color w:val="000000" w:themeColor="text1"/>
                      <w:highlight w:val="none"/>
                      <w14:textFill>
                        <w14:solidFill>
                          <w14:schemeClr w14:val="tx1"/>
                        </w14:solidFill>
                      </w14:textFill>
                    </w:rPr>
                  </w:pPr>
                </w:p>
              </w:tc>
              <w:tc>
                <w:tcPr>
                  <w:tcW w:w="461" w:type="pct"/>
                  <w:vMerge w:val="continue"/>
                  <w:noWrap w:val="0"/>
                  <w:vAlign w:val="center"/>
                </w:tcPr>
                <w:p w14:paraId="21B6E813">
                  <w:pPr>
                    <w:pStyle w:val="26"/>
                    <w:rPr>
                      <w:rFonts w:hint="eastAsia"/>
                      <w:color w:val="000000" w:themeColor="text1"/>
                      <w:highlight w:val="none"/>
                      <w14:textFill>
                        <w14:solidFill>
                          <w14:schemeClr w14:val="tx1"/>
                        </w14:solidFill>
                      </w14:textFill>
                    </w:rPr>
                  </w:pPr>
                </w:p>
              </w:tc>
              <w:tc>
                <w:tcPr>
                  <w:tcW w:w="717" w:type="pct"/>
                  <w:vMerge w:val="continue"/>
                  <w:noWrap w:val="0"/>
                  <w:vAlign w:val="center"/>
                </w:tcPr>
                <w:p w14:paraId="4318E61E">
                  <w:pPr>
                    <w:pStyle w:val="26"/>
                    <w:rPr>
                      <w:rFonts w:hint="eastAsia"/>
                      <w:color w:val="000000" w:themeColor="text1"/>
                      <w:highlight w:val="none"/>
                      <w14:textFill>
                        <w14:solidFill>
                          <w14:schemeClr w14:val="tx1"/>
                        </w14:solidFill>
                      </w14:textFill>
                    </w:rPr>
                  </w:pPr>
                </w:p>
              </w:tc>
            </w:tr>
            <w:tr w14:paraId="489ACA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6" w:type="pct"/>
                  <w:vMerge w:val="continue"/>
                  <w:noWrap w:val="0"/>
                  <w:vAlign w:val="center"/>
                </w:tcPr>
                <w:p w14:paraId="77EBC4AB">
                  <w:pPr>
                    <w:pStyle w:val="26"/>
                    <w:rPr>
                      <w:rFonts w:hint="eastAsia" w:eastAsia="宋体"/>
                      <w:color w:val="000000" w:themeColor="text1"/>
                      <w:highlight w:val="none"/>
                      <w:lang w:val="en-US" w:eastAsia="zh-CN"/>
                      <w14:textFill>
                        <w14:solidFill>
                          <w14:schemeClr w14:val="tx1"/>
                        </w14:solidFill>
                      </w14:textFill>
                    </w:rPr>
                  </w:pPr>
                </w:p>
              </w:tc>
              <w:tc>
                <w:tcPr>
                  <w:tcW w:w="526" w:type="pct"/>
                  <w:shd w:val="clear" w:color="auto" w:fill="auto"/>
                  <w:noWrap w:val="0"/>
                  <w:vAlign w:val="center"/>
                </w:tcPr>
                <w:p w14:paraId="08AD0413">
                  <w:pPr>
                    <w:pStyle w:val="26"/>
                    <w:bidi w:val="0"/>
                    <w:ind w:firstLine="0" w:firstLineChars="0"/>
                    <w:rPr>
                      <w:rFonts w:hint="eastAsia" w:ascii="Times New Roman" w:hAnsi="Times New Roman" w:eastAsia="宋体" w:cs="Times New Roman"/>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非甲烷总烃</w:t>
                  </w:r>
                </w:p>
              </w:tc>
              <w:tc>
                <w:tcPr>
                  <w:tcW w:w="534" w:type="pct"/>
                  <w:vMerge w:val="continue"/>
                  <w:noWrap w:val="0"/>
                  <w:vAlign w:val="center"/>
                </w:tcPr>
                <w:p w14:paraId="08C0F732">
                  <w:pPr>
                    <w:pStyle w:val="26"/>
                    <w:rPr>
                      <w:color w:val="000000" w:themeColor="text1"/>
                      <w:highlight w:val="none"/>
                      <w14:textFill>
                        <w14:solidFill>
                          <w14:schemeClr w14:val="tx1"/>
                        </w14:solidFill>
                      </w14:textFill>
                    </w:rPr>
                  </w:pPr>
                </w:p>
              </w:tc>
              <w:tc>
                <w:tcPr>
                  <w:tcW w:w="955" w:type="dxa"/>
                  <w:noWrap w:val="0"/>
                  <w:vAlign w:val="center"/>
                </w:tcPr>
                <w:p w14:paraId="545D45E6">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151.22</w:t>
                  </w:r>
                </w:p>
              </w:tc>
              <w:tc>
                <w:tcPr>
                  <w:tcW w:w="940" w:type="dxa"/>
                  <w:noWrap w:val="0"/>
                  <w:vAlign w:val="center"/>
                </w:tcPr>
                <w:p w14:paraId="2813DC39">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1.5122</w:t>
                  </w:r>
                </w:p>
              </w:tc>
              <w:tc>
                <w:tcPr>
                  <w:tcW w:w="914" w:type="dxa"/>
                  <w:noWrap w:val="0"/>
                  <w:vAlign w:val="center"/>
                </w:tcPr>
                <w:p w14:paraId="00D1A0C2">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1.5122</w:t>
                  </w:r>
                </w:p>
              </w:tc>
              <w:tc>
                <w:tcPr>
                  <w:tcW w:w="419" w:type="pct"/>
                  <w:vMerge w:val="continue"/>
                  <w:noWrap w:val="0"/>
                  <w:vAlign w:val="center"/>
                </w:tcPr>
                <w:p w14:paraId="3733C8D4">
                  <w:pPr>
                    <w:pStyle w:val="26"/>
                    <w:rPr>
                      <w:rFonts w:hint="eastAsia"/>
                      <w:color w:val="000000" w:themeColor="text1"/>
                      <w:highlight w:val="none"/>
                      <w14:textFill>
                        <w14:solidFill>
                          <w14:schemeClr w14:val="tx1"/>
                        </w14:solidFill>
                      </w14:textFill>
                    </w:rPr>
                  </w:pPr>
                </w:p>
              </w:tc>
              <w:tc>
                <w:tcPr>
                  <w:tcW w:w="461" w:type="pct"/>
                  <w:vMerge w:val="continue"/>
                  <w:noWrap w:val="0"/>
                  <w:vAlign w:val="center"/>
                </w:tcPr>
                <w:p w14:paraId="73C0F0A9">
                  <w:pPr>
                    <w:pStyle w:val="26"/>
                    <w:rPr>
                      <w:rFonts w:hint="eastAsia"/>
                      <w:color w:val="000000" w:themeColor="text1"/>
                      <w:highlight w:val="none"/>
                      <w14:textFill>
                        <w14:solidFill>
                          <w14:schemeClr w14:val="tx1"/>
                        </w14:solidFill>
                      </w14:textFill>
                    </w:rPr>
                  </w:pPr>
                </w:p>
              </w:tc>
              <w:tc>
                <w:tcPr>
                  <w:tcW w:w="717" w:type="pct"/>
                  <w:vMerge w:val="continue"/>
                  <w:noWrap w:val="0"/>
                  <w:vAlign w:val="center"/>
                </w:tcPr>
                <w:p w14:paraId="166D6ECD">
                  <w:pPr>
                    <w:pStyle w:val="26"/>
                    <w:rPr>
                      <w:rFonts w:hint="eastAsia"/>
                      <w:color w:val="000000" w:themeColor="text1"/>
                      <w:highlight w:val="none"/>
                      <w14:textFill>
                        <w14:solidFill>
                          <w14:schemeClr w14:val="tx1"/>
                        </w14:solidFill>
                      </w14:textFill>
                    </w:rPr>
                  </w:pPr>
                </w:p>
              </w:tc>
            </w:tr>
          </w:tbl>
          <w:p w14:paraId="2F574161">
            <w:pPr>
              <w:pStyle w:val="30"/>
              <w:bidi w:val="0"/>
              <w:rPr>
                <w:color w:val="000000" w:themeColor="text1"/>
                <w:highlight w:val="none"/>
                <w14:textFill>
                  <w14:solidFill>
                    <w14:schemeClr w14:val="tx1"/>
                  </w14:solidFill>
                </w14:textFill>
              </w:rPr>
            </w:pPr>
            <w:bookmarkStart w:id="198" w:name="_Ref16478"/>
            <w:r>
              <w:rPr>
                <w:color w:val="000000" w:themeColor="text1"/>
                <w:highlight w:val="none"/>
                <w14:textFill>
                  <w14:solidFill>
                    <w14:schemeClr w14:val="tx1"/>
                  </w14:solidFill>
                </w14:textFill>
              </w:rPr>
              <w:t>非正常状态下废气的产生及排放状况</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二期工程</w:t>
            </w:r>
            <w:r>
              <w:rPr>
                <w:rFonts w:hint="eastAsia"/>
                <w:color w:val="000000" w:themeColor="text1"/>
                <w:highlight w:val="none"/>
                <w:lang w:eastAsia="zh-CN"/>
                <w14:textFill>
                  <w14:solidFill>
                    <w14:schemeClr w14:val="tx1"/>
                  </w14:solidFill>
                </w14:textFill>
              </w:rPr>
              <w:t>）</w:t>
            </w:r>
            <w:bookmarkEnd w:id="198"/>
          </w:p>
          <w:tbl>
            <w:tblPr>
              <w:tblStyle w:val="17"/>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1"/>
              <w:gridCol w:w="873"/>
              <w:gridCol w:w="886"/>
              <w:gridCol w:w="954"/>
              <w:gridCol w:w="939"/>
              <w:gridCol w:w="918"/>
              <w:gridCol w:w="695"/>
              <w:gridCol w:w="765"/>
              <w:gridCol w:w="1190"/>
            </w:tblGrid>
            <w:tr w14:paraId="181E1A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6" w:type="pct"/>
                  <w:vMerge w:val="restart"/>
                  <w:noWrap w:val="0"/>
                  <w:vAlign w:val="center"/>
                </w:tcPr>
                <w:p w14:paraId="5C83A22C">
                  <w:pPr>
                    <w:pStyle w:val="2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污染源</w:t>
                  </w:r>
                </w:p>
              </w:tc>
              <w:tc>
                <w:tcPr>
                  <w:tcW w:w="526" w:type="pct"/>
                  <w:vMerge w:val="restart"/>
                  <w:noWrap w:val="0"/>
                  <w:vAlign w:val="center"/>
                </w:tcPr>
                <w:p w14:paraId="2DFC0438">
                  <w:pPr>
                    <w:pStyle w:val="2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污染物种类</w:t>
                  </w:r>
                </w:p>
              </w:tc>
              <w:tc>
                <w:tcPr>
                  <w:tcW w:w="534" w:type="pct"/>
                  <w:vMerge w:val="restart"/>
                  <w:noWrap w:val="0"/>
                  <w:vAlign w:val="center"/>
                </w:tcPr>
                <w:p w14:paraId="50C19933">
                  <w:pPr>
                    <w:pStyle w:val="2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非正常排放原因</w:t>
                  </w:r>
                </w:p>
              </w:tc>
              <w:tc>
                <w:tcPr>
                  <w:tcW w:w="1694" w:type="pct"/>
                  <w:gridSpan w:val="3"/>
                  <w:noWrap w:val="0"/>
                  <w:vAlign w:val="center"/>
                </w:tcPr>
                <w:p w14:paraId="57B70BB5">
                  <w:pPr>
                    <w:pStyle w:val="26"/>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非正常排放情况</w:t>
                  </w:r>
                </w:p>
              </w:tc>
              <w:tc>
                <w:tcPr>
                  <w:tcW w:w="419" w:type="pct"/>
                  <w:vMerge w:val="restart"/>
                  <w:noWrap w:val="0"/>
                  <w:vAlign w:val="center"/>
                </w:tcPr>
                <w:p w14:paraId="32B9AE2D">
                  <w:pPr>
                    <w:pStyle w:val="2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单次持续时间</w:t>
                  </w:r>
                </w:p>
              </w:tc>
              <w:tc>
                <w:tcPr>
                  <w:tcW w:w="461" w:type="pct"/>
                  <w:vMerge w:val="restart"/>
                  <w:noWrap w:val="0"/>
                  <w:vAlign w:val="center"/>
                </w:tcPr>
                <w:p w14:paraId="32E73478">
                  <w:pPr>
                    <w:pStyle w:val="2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可能发生频次</w:t>
                  </w:r>
                </w:p>
              </w:tc>
              <w:tc>
                <w:tcPr>
                  <w:tcW w:w="717" w:type="pct"/>
                  <w:vMerge w:val="restart"/>
                  <w:noWrap w:val="0"/>
                  <w:vAlign w:val="center"/>
                </w:tcPr>
                <w:p w14:paraId="02D2C629">
                  <w:pPr>
                    <w:pStyle w:val="2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应对措施</w:t>
                  </w:r>
                </w:p>
              </w:tc>
            </w:tr>
            <w:tr w14:paraId="18B711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6" w:type="pct"/>
                  <w:vMerge w:val="continue"/>
                  <w:noWrap w:val="0"/>
                  <w:vAlign w:val="center"/>
                </w:tcPr>
                <w:p w14:paraId="2E4FC594">
                  <w:pPr>
                    <w:pStyle w:val="26"/>
                    <w:rPr>
                      <w:rFonts w:hint="eastAsia"/>
                      <w:color w:val="000000" w:themeColor="text1"/>
                      <w:highlight w:val="none"/>
                      <w14:textFill>
                        <w14:solidFill>
                          <w14:schemeClr w14:val="tx1"/>
                        </w14:solidFill>
                      </w14:textFill>
                    </w:rPr>
                  </w:pPr>
                </w:p>
              </w:tc>
              <w:tc>
                <w:tcPr>
                  <w:tcW w:w="526" w:type="pct"/>
                  <w:vMerge w:val="continue"/>
                  <w:noWrap w:val="0"/>
                  <w:vAlign w:val="center"/>
                </w:tcPr>
                <w:p w14:paraId="2DB18268">
                  <w:pPr>
                    <w:pStyle w:val="26"/>
                    <w:rPr>
                      <w:rFonts w:hint="eastAsia"/>
                      <w:color w:val="000000" w:themeColor="text1"/>
                      <w:highlight w:val="none"/>
                      <w14:textFill>
                        <w14:solidFill>
                          <w14:schemeClr w14:val="tx1"/>
                        </w14:solidFill>
                      </w14:textFill>
                    </w:rPr>
                  </w:pPr>
                </w:p>
              </w:tc>
              <w:tc>
                <w:tcPr>
                  <w:tcW w:w="534" w:type="pct"/>
                  <w:vMerge w:val="continue"/>
                  <w:noWrap w:val="0"/>
                  <w:vAlign w:val="center"/>
                </w:tcPr>
                <w:p w14:paraId="6FD7EE23">
                  <w:pPr>
                    <w:pStyle w:val="26"/>
                    <w:rPr>
                      <w:rFonts w:hint="eastAsia"/>
                      <w:color w:val="000000" w:themeColor="text1"/>
                      <w:highlight w:val="none"/>
                      <w14:textFill>
                        <w14:solidFill>
                          <w14:schemeClr w14:val="tx1"/>
                        </w14:solidFill>
                      </w14:textFill>
                    </w:rPr>
                  </w:pPr>
                </w:p>
              </w:tc>
              <w:tc>
                <w:tcPr>
                  <w:tcW w:w="575" w:type="pct"/>
                  <w:noWrap w:val="0"/>
                  <w:vAlign w:val="center"/>
                </w:tcPr>
                <w:p w14:paraId="31D64066">
                  <w:pPr>
                    <w:pStyle w:val="2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浓度(mg/m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w:t>
                  </w:r>
                </w:p>
              </w:tc>
              <w:tc>
                <w:tcPr>
                  <w:tcW w:w="566" w:type="pct"/>
                  <w:noWrap w:val="0"/>
                  <w:vAlign w:val="center"/>
                </w:tcPr>
                <w:p w14:paraId="15CDB6C9">
                  <w:pPr>
                    <w:pStyle w:val="2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速率(kg/h)</w:t>
                  </w:r>
                </w:p>
              </w:tc>
              <w:tc>
                <w:tcPr>
                  <w:tcW w:w="551" w:type="pct"/>
                  <w:noWrap w:val="0"/>
                  <w:vAlign w:val="center"/>
                </w:tcPr>
                <w:p w14:paraId="1AD59D32">
                  <w:pPr>
                    <w:pStyle w:val="2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排放量(kg/a)</w:t>
                  </w:r>
                </w:p>
              </w:tc>
              <w:tc>
                <w:tcPr>
                  <w:tcW w:w="419" w:type="pct"/>
                  <w:vMerge w:val="continue"/>
                  <w:noWrap w:val="0"/>
                  <w:vAlign w:val="center"/>
                </w:tcPr>
                <w:p w14:paraId="3C8E3135">
                  <w:pPr>
                    <w:pStyle w:val="26"/>
                    <w:rPr>
                      <w:rFonts w:hint="eastAsia"/>
                      <w:color w:val="000000" w:themeColor="text1"/>
                      <w:highlight w:val="none"/>
                      <w14:textFill>
                        <w14:solidFill>
                          <w14:schemeClr w14:val="tx1"/>
                        </w14:solidFill>
                      </w14:textFill>
                    </w:rPr>
                  </w:pPr>
                </w:p>
              </w:tc>
              <w:tc>
                <w:tcPr>
                  <w:tcW w:w="461" w:type="pct"/>
                  <w:vMerge w:val="continue"/>
                  <w:noWrap w:val="0"/>
                  <w:vAlign w:val="center"/>
                </w:tcPr>
                <w:p w14:paraId="63B94AB7">
                  <w:pPr>
                    <w:pStyle w:val="26"/>
                    <w:rPr>
                      <w:rFonts w:hint="eastAsia"/>
                      <w:color w:val="000000" w:themeColor="text1"/>
                      <w:highlight w:val="none"/>
                      <w14:textFill>
                        <w14:solidFill>
                          <w14:schemeClr w14:val="tx1"/>
                        </w14:solidFill>
                      </w14:textFill>
                    </w:rPr>
                  </w:pPr>
                </w:p>
              </w:tc>
              <w:tc>
                <w:tcPr>
                  <w:tcW w:w="717" w:type="pct"/>
                  <w:vMerge w:val="continue"/>
                  <w:noWrap w:val="0"/>
                  <w:vAlign w:val="center"/>
                </w:tcPr>
                <w:p w14:paraId="0717DB0E">
                  <w:pPr>
                    <w:pStyle w:val="26"/>
                    <w:rPr>
                      <w:rFonts w:hint="eastAsia"/>
                      <w:color w:val="000000" w:themeColor="text1"/>
                      <w:highlight w:val="none"/>
                      <w14:textFill>
                        <w14:solidFill>
                          <w14:schemeClr w14:val="tx1"/>
                        </w14:solidFill>
                      </w14:textFill>
                    </w:rPr>
                  </w:pPr>
                </w:p>
              </w:tc>
            </w:tr>
            <w:tr w14:paraId="59522F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6" w:type="pct"/>
                  <w:vMerge w:val="restart"/>
                  <w:noWrap w:val="0"/>
                  <w:vAlign w:val="center"/>
                </w:tcPr>
                <w:p w14:paraId="5965106D">
                  <w:pPr>
                    <w:pStyle w:val="26"/>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DA001</w:t>
                  </w:r>
                </w:p>
              </w:tc>
              <w:tc>
                <w:tcPr>
                  <w:tcW w:w="526" w:type="pct"/>
                  <w:shd w:val="clear" w:color="auto" w:fill="auto"/>
                  <w:noWrap w:val="0"/>
                  <w:vAlign w:val="center"/>
                </w:tcPr>
                <w:p w14:paraId="349F488D">
                  <w:pPr>
                    <w:pStyle w:val="26"/>
                    <w:bidi w:val="0"/>
                    <w:ind w:firstLine="0" w:firstLineChars="0"/>
                    <w:rPr>
                      <w:rFonts w:hint="eastAsia" w:ascii="Times New Roman" w:hAnsi="Times New Roman" w:eastAsia="宋体" w:cs="Times New Roman"/>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沥青烟</w:t>
                  </w:r>
                </w:p>
              </w:tc>
              <w:tc>
                <w:tcPr>
                  <w:tcW w:w="534" w:type="pct"/>
                  <w:vMerge w:val="restart"/>
                  <w:noWrap w:val="0"/>
                  <w:vAlign w:val="center"/>
                </w:tcPr>
                <w:p w14:paraId="7557BA5E">
                  <w:pPr>
                    <w:pStyle w:val="26"/>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布袋除尘发生故障</w:t>
                  </w:r>
                </w:p>
              </w:tc>
              <w:tc>
                <w:tcPr>
                  <w:tcW w:w="955" w:type="dxa"/>
                  <w:noWrap w:val="0"/>
                  <w:vAlign w:val="center"/>
                </w:tcPr>
                <w:p w14:paraId="251D57C6">
                  <w:pPr>
                    <w:pStyle w:val="26"/>
                    <w:bidi w:val="0"/>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0.38</w:t>
                  </w:r>
                </w:p>
              </w:tc>
              <w:tc>
                <w:tcPr>
                  <w:tcW w:w="940" w:type="dxa"/>
                  <w:noWrap w:val="0"/>
                  <w:vAlign w:val="center"/>
                </w:tcPr>
                <w:p w14:paraId="642797E3">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0.0069</w:t>
                  </w:r>
                </w:p>
              </w:tc>
              <w:tc>
                <w:tcPr>
                  <w:tcW w:w="914" w:type="dxa"/>
                  <w:noWrap w:val="0"/>
                  <w:vAlign w:val="center"/>
                </w:tcPr>
                <w:p w14:paraId="3581C42A">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0.0069</w:t>
                  </w:r>
                </w:p>
              </w:tc>
              <w:tc>
                <w:tcPr>
                  <w:tcW w:w="419" w:type="pct"/>
                  <w:vMerge w:val="restart"/>
                  <w:noWrap w:val="0"/>
                  <w:vAlign w:val="center"/>
                </w:tcPr>
                <w:p w14:paraId="089CDFB4">
                  <w:pPr>
                    <w:pStyle w:val="26"/>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 h</w:t>
                  </w:r>
                </w:p>
              </w:tc>
              <w:tc>
                <w:tcPr>
                  <w:tcW w:w="461" w:type="pct"/>
                  <w:vMerge w:val="restart"/>
                  <w:noWrap w:val="0"/>
                  <w:vAlign w:val="center"/>
                </w:tcPr>
                <w:p w14:paraId="78D937E1">
                  <w:pPr>
                    <w:pStyle w:val="26"/>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1次/年</w:t>
                  </w:r>
                </w:p>
              </w:tc>
              <w:tc>
                <w:tcPr>
                  <w:tcW w:w="717" w:type="pct"/>
                  <w:vMerge w:val="restart"/>
                  <w:noWrap w:val="0"/>
                  <w:vAlign w:val="center"/>
                </w:tcPr>
                <w:p w14:paraId="2144B66B">
                  <w:pPr>
                    <w:pStyle w:val="26"/>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发现非正常排放情况时，立即暂</w:t>
                  </w:r>
                  <w:r>
                    <w:rPr>
                      <w:rFonts w:hint="eastAsia"/>
                      <w:color w:val="000000" w:themeColor="text1"/>
                      <w:highlight w:val="none"/>
                      <w:lang w:val="en-US" w:eastAsia="zh-CN"/>
                      <w14:textFill>
                        <w14:solidFill>
                          <w14:schemeClr w14:val="tx1"/>
                        </w14:solidFill>
                      </w14:textFill>
                    </w:rPr>
                    <w:t>停</w:t>
                  </w:r>
                  <w:r>
                    <w:rPr>
                      <w:rFonts w:hint="eastAsia"/>
                      <w:color w:val="000000" w:themeColor="text1"/>
                      <w:highlight w:val="none"/>
                      <w14:textFill>
                        <w14:solidFill>
                          <w14:schemeClr w14:val="tx1"/>
                        </w14:solidFill>
                      </w14:textFill>
                    </w:rPr>
                    <w:t>生产，进行检修</w:t>
                  </w:r>
                </w:p>
              </w:tc>
            </w:tr>
            <w:tr w14:paraId="7F873E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6" w:type="pct"/>
                  <w:vMerge w:val="continue"/>
                  <w:noWrap w:val="0"/>
                  <w:vAlign w:val="center"/>
                </w:tcPr>
                <w:p w14:paraId="038CCA65">
                  <w:pPr>
                    <w:pStyle w:val="26"/>
                    <w:rPr>
                      <w:rFonts w:hint="eastAsia" w:eastAsia="宋体"/>
                      <w:color w:val="000000" w:themeColor="text1"/>
                      <w:highlight w:val="none"/>
                      <w:lang w:val="en-US" w:eastAsia="zh-CN"/>
                      <w14:textFill>
                        <w14:solidFill>
                          <w14:schemeClr w14:val="tx1"/>
                        </w14:solidFill>
                      </w14:textFill>
                    </w:rPr>
                  </w:pPr>
                </w:p>
              </w:tc>
              <w:tc>
                <w:tcPr>
                  <w:tcW w:w="526" w:type="pct"/>
                  <w:shd w:val="clear" w:color="auto" w:fill="auto"/>
                  <w:noWrap w:val="0"/>
                  <w:vAlign w:val="center"/>
                </w:tcPr>
                <w:p w14:paraId="633D7312">
                  <w:pPr>
                    <w:pStyle w:val="26"/>
                    <w:bidi w:val="0"/>
                    <w:ind w:firstLine="0" w:firstLineChars="0"/>
                    <w:rPr>
                      <w:rFonts w:hint="eastAsia" w:ascii="Times New Roman" w:hAnsi="Times New Roman" w:eastAsia="宋体" w:cs="Times New Roman"/>
                      <w:color w:val="000000" w:themeColor="text1"/>
                      <w:sz w:val="21"/>
                      <w:szCs w:val="22"/>
                      <w:highlight w:val="none"/>
                      <w:lang w:val="en-US" w:eastAsia="zh-CN"/>
                      <w14:textFill>
                        <w14:solidFill>
                          <w14:schemeClr w14:val="tx1"/>
                        </w14:solidFill>
                      </w14:textFill>
                    </w:rPr>
                  </w:pPr>
                  <w:r>
                    <w:rPr>
                      <w:color w:val="000000" w:themeColor="text1"/>
                      <w:highlight w:val="none"/>
                      <w:lang w:val="en-US" w:eastAsia="zh-CN"/>
                      <w14:textFill>
                        <w14:solidFill>
                          <w14:schemeClr w14:val="tx1"/>
                        </w14:solidFill>
                      </w14:textFill>
                    </w:rPr>
                    <w:t>苯并[a]芘</w:t>
                  </w:r>
                </w:p>
              </w:tc>
              <w:tc>
                <w:tcPr>
                  <w:tcW w:w="534" w:type="pct"/>
                  <w:vMerge w:val="continue"/>
                  <w:noWrap w:val="0"/>
                  <w:vAlign w:val="center"/>
                </w:tcPr>
                <w:p w14:paraId="095B194D">
                  <w:pPr>
                    <w:pStyle w:val="26"/>
                    <w:rPr>
                      <w:color w:val="000000" w:themeColor="text1"/>
                      <w:highlight w:val="none"/>
                      <w14:textFill>
                        <w14:solidFill>
                          <w14:schemeClr w14:val="tx1"/>
                        </w14:solidFill>
                      </w14:textFill>
                    </w:rPr>
                  </w:pPr>
                </w:p>
              </w:tc>
              <w:tc>
                <w:tcPr>
                  <w:tcW w:w="955" w:type="dxa"/>
                  <w:noWrap w:val="0"/>
                  <w:vAlign w:val="center"/>
                </w:tcPr>
                <w:p w14:paraId="1396CBD6">
                  <w:pPr>
                    <w:pStyle w:val="26"/>
                    <w:bidi w:val="0"/>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1.02E</w:t>
                  </w:r>
                </w:p>
                <w:p w14:paraId="736965D8">
                  <w:pPr>
                    <w:pStyle w:val="26"/>
                    <w:bidi w:val="0"/>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-04</w:t>
                  </w:r>
                </w:p>
              </w:tc>
              <w:tc>
                <w:tcPr>
                  <w:tcW w:w="940" w:type="dxa"/>
                  <w:noWrap w:val="0"/>
                  <w:vAlign w:val="center"/>
                </w:tcPr>
                <w:p w14:paraId="49CA7446">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1.84E</w:t>
                  </w:r>
                </w:p>
                <w:p w14:paraId="0EF69FEE">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-06</w:t>
                  </w:r>
                </w:p>
              </w:tc>
              <w:tc>
                <w:tcPr>
                  <w:tcW w:w="914" w:type="dxa"/>
                  <w:noWrap w:val="0"/>
                  <w:vAlign w:val="center"/>
                </w:tcPr>
                <w:p w14:paraId="21FF6318">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1.84E</w:t>
                  </w:r>
                </w:p>
                <w:p w14:paraId="38CB0F79">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-06</w:t>
                  </w:r>
                </w:p>
              </w:tc>
              <w:tc>
                <w:tcPr>
                  <w:tcW w:w="419" w:type="pct"/>
                  <w:vMerge w:val="continue"/>
                  <w:noWrap w:val="0"/>
                  <w:vAlign w:val="center"/>
                </w:tcPr>
                <w:p w14:paraId="7146734B">
                  <w:pPr>
                    <w:pStyle w:val="26"/>
                    <w:rPr>
                      <w:rFonts w:hint="eastAsia"/>
                      <w:color w:val="000000" w:themeColor="text1"/>
                      <w:highlight w:val="none"/>
                      <w14:textFill>
                        <w14:solidFill>
                          <w14:schemeClr w14:val="tx1"/>
                        </w14:solidFill>
                      </w14:textFill>
                    </w:rPr>
                  </w:pPr>
                </w:p>
              </w:tc>
              <w:tc>
                <w:tcPr>
                  <w:tcW w:w="461" w:type="pct"/>
                  <w:vMerge w:val="continue"/>
                  <w:noWrap w:val="0"/>
                  <w:vAlign w:val="center"/>
                </w:tcPr>
                <w:p w14:paraId="4E1F16DE">
                  <w:pPr>
                    <w:pStyle w:val="26"/>
                    <w:rPr>
                      <w:rFonts w:hint="eastAsia"/>
                      <w:color w:val="000000" w:themeColor="text1"/>
                      <w:highlight w:val="none"/>
                      <w14:textFill>
                        <w14:solidFill>
                          <w14:schemeClr w14:val="tx1"/>
                        </w14:solidFill>
                      </w14:textFill>
                    </w:rPr>
                  </w:pPr>
                </w:p>
              </w:tc>
              <w:tc>
                <w:tcPr>
                  <w:tcW w:w="717" w:type="pct"/>
                  <w:vMerge w:val="continue"/>
                  <w:noWrap w:val="0"/>
                  <w:vAlign w:val="center"/>
                </w:tcPr>
                <w:p w14:paraId="19C6DD1B">
                  <w:pPr>
                    <w:pStyle w:val="26"/>
                    <w:rPr>
                      <w:rFonts w:hint="eastAsia"/>
                      <w:color w:val="000000" w:themeColor="text1"/>
                      <w:highlight w:val="none"/>
                      <w14:textFill>
                        <w14:solidFill>
                          <w14:schemeClr w14:val="tx1"/>
                        </w14:solidFill>
                      </w14:textFill>
                    </w:rPr>
                  </w:pPr>
                </w:p>
              </w:tc>
            </w:tr>
            <w:tr w14:paraId="20A23E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6" w:type="pct"/>
                  <w:vMerge w:val="continue"/>
                  <w:noWrap w:val="0"/>
                  <w:vAlign w:val="center"/>
                </w:tcPr>
                <w:p w14:paraId="1FF4492D">
                  <w:pPr>
                    <w:pStyle w:val="26"/>
                    <w:rPr>
                      <w:rFonts w:hint="eastAsia" w:eastAsia="宋体"/>
                      <w:color w:val="000000" w:themeColor="text1"/>
                      <w:highlight w:val="none"/>
                      <w:lang w:val="en-US" w:eastAsia="zh-CN"/>
                      <w14:textFill>
                        <w14:solidFill>
                          <w14:schemeClr w14:val="tx1"/>
                        </w14:solidFill>
                      </w14:textFill>
                    </w:rPr>
                  </w:pPr>
                </w:p>
              </w:tc>
              <w:tc>
                <w:tcPr>
                  <w:tcW w:w="526" w:type="pct"/>
                  <w:noWrap w:val="0"/>
                  <w:vAlign w:val="center"/>
                </w:tcPr>
                <w:p w14:paraId="131BA598">
                  <w:pPr>
                    <w:pStyle w:val="26"/>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颗粒物</w:t>
                  </w:r>
                </w:p>
              </w:tc>
              <w:tc>
                <w:tcPr>
                  <w:tcW w:w="534" w:type="pct"/>
                  <w:vMerge w:val="continue"/>
                  <w:noWrap w:val="0"/>
                  <w:vAlign w:val="center"/>
                </w:tcPr>
                <w:p w14:paraId="4D1F5FDC">
                  <w:pPr>
                    <w:pStyle w:val="26"/>
                    <w:rPr>
                      <w:rFonts w:hint="default" w:eastAsia="宋体"/>
                      <w:color w:val="000000" w:themeColor="text1"/>
                      <w:highlight w:val="none"/>
                      <w:lang w:val="en-US" w:eastAsia="zh-CN"/>
                      <w14:textFill>
                        <w14:solidFill>
                          <w14:schemeClr w14:val="tx1"/>
                        </w14:solidFill>
                      </w14:textFill>
                    </w:rPr>
                  </w:pPr>
                </w:p>
              </w:tc>
              <w:tc>
                <w:tcPr>
                  <w:tcW w:w="955" w:type="dxa"/>
                  <w:noWrap w:val="0"/>
                  <w:vAlign w:val="center"/>
                </w:tcPr>
                <w:p w14:paraId="78CE53A7">
                  <w:pPr>
                    <w:pStyle w:val="26"/>
                    <w:bidi w:val="0"/>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115.24</w:t>
                  </w:r>
                </w:p>
              </w:tc>
              <w:tc>
                <w:tcPr>
                  <w:tcW w:w="940" w:type="dxa"/>
                  <w:noWrap w:val="0"/>
                  <w:vAlign w:val="center"/>
                </w:tcPr>
                <w:p w14:paraId="5F161D8B">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2.0743</w:t>
                  </w:r>
                </w:p>
              </w:tc>
              <w:tc>
                <w:tcPr>
                  <w:tcW w:w="914" w:type="dxa"/>
                  <w:shd w:val="clear" w:color="auto" w:fill="auto"/>
                  <w:noWrap w:val="0"/>
                  <w:vAlign w:val="center"/>
                </w:tcPr>
                <w:p w14:paraId="419BD959">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2.0743</w:t>
                  </w:r>
                </w:p>
              </w:tc>
              <w:tc>
                <w:tcPr>
                  <w:tcW w:w="419" w:type="pct"/>
                  <w:vMerge w:val="continue"/>
                  <w:noWrap w:val="0"/>
                  <w:vAlign w:val="center"/>
                </w:tcPr>
                <w:p w14:paraId="7E2A951C">
                  <w:pPr>
                    <w:pStyle w:val="26"/>
                    <w:rPr>
                      <w:rFonts w:hint="eastAsia"/>
                      <w:color w:val="000000" w:themeColor="text1"/>
                      <w:highlight w:val="none"/>
                      <w14:textFill>
                        <w14:solidFill>
                          <w14:schemeClr w14:val="tx1"/>
                        </w14:solidFill>
                      </w14:textFill>
                    </w:rPr>
                  </w:pPr>
                </w:p>
              </w:tc>
              <w:tc>
                <w:tcPr>
                  <w:tcW w:w="461" w:type="pct"/>
                  <w:vMerge w:val="continue"/>
                  <w:noWrap w:val="0"/>
                  <w:vAlign w:val="center"/>
                </w:tcPr>
                <w:p w14:paraId="6C6A1647">
                  <w:pPr>
                    <w:pStyle w:val="26"/>
                    <w:rPr>
                      <w:rFonts w:hint="eastAsia"/>
                      <w:color w:val="000000" w:themeColor="text1"/>
                      <w:highlight w:val="none"/>
                      <w14:textFill>
                        <w14:solidFill>
                          <w14:schemeClr w14:val="tx1"/>
                        </w14:solidFill>
                      </w14:textFill>
                    </w:rPr>
                  </w:pPr>
                </w:p>
              </w:tc>
              <w:tc>
                <w:tcPr>
                  <w:tcW w:w="717" w:type="pct"/>
                  <w:vMerge w:val="continue"/>
                  <w:noWrap w:val="0"/>
                  <w:vAlign w:val="center"/>
                </w:tcPr>
                <w:p w14:paraId="5DB6942C">
                  <w:pPr>
                    <w:pStyle w:val="26"/>
                    <w:rPr>
                      <w:rFonts w:hint="eastAsia"/>
                      <w:color w:val="000000" w:themeColor="text1"/>
                      <w:highlight w:val="none"/>
                      <w14:textFill>
                        <w14:solidFill>
                          <w14:schemeClr w14:val="tx1"/>
                        </w14:solidFill>
                      </w14:textFill>
                    </w:rPr>
                  </w:pPr>
                </w:p>
              </w:tc>
            </w:tr>
            <w:tr w14:paraId="4BA459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6" w:type="pct"/>
                  <w:vMerge w:val="continue"/>
                  <w:noWrap w:val="0"/>
                  <w:vAlign w:val="center"/>
                </w:tcPr>
                <w:p w14:paraId="57A5F322">
                  <w:pPr>
                    <w:pStyle w:val="26"/>
                    <w:rPr>
                      <w:rFonts w:hint="eastAsia" w:eastAsia="宋体"/>
                      <w:color w:val="000000" w:themeColor="text1"/>
                      <w:highlight w:val="none"/>
                      <w:lang w:val="en-US" w:eastAsia="zh-CN"/>
                      <w14:textFill>
                        <w14:solidFill>
                          <w14:schemeClr w14:val="tx1"/>
                        </w14:solidFill>
                      </w14:textFill>
                    </w:rPr>
                  </w:pPr>
                </w:p>
              </w:tc>
              <w:tc>
                <w:tcPr>
                  <w:tcW w:w="526" w:type="pct"/>
                  <w:noWrap w:val="0"/>
                  <w:vAlign w:val="center"/>
                </w:tcPr>
                <w:p w14:paraId="377F8AB4">
                  <w:pPr>
                    <w:pStyle w:val="26"/>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非甲烷总烃</w:t>
                  </w:r>
                </w:p>
              </w:tc>
              <w:tc>
                <w:tcPr>
                  <w:tcW w:w="534" w:type="pct"/>
                  <w:vMerge w:val="continue"/>
                  <w:noWrap w:val="0"/>
                  <w:vAlign w:val="center"/>
                </w:tcPr>
                <w:p w14:paraId="522C38DC">
                  <w:pPr>
                    <w:pStyle w:val="26"/>
                    <w:rPr>
                      <w:color w:val="000000" w:themeColor="text1"/>
                      <w:highlight w:val="none"/>
                      <w14:textFill>
                        <w14:solidFill>
                          <w14:schemeClr w14:val="tx1"/>
                        </w14:solidFill>
                      </w14:textFill>
                    </w:rPr>
                  </w:pPr>
                </w:p>
              </w:tc>
              <w:tc>
                <w:tcPr>
                  <w:tcW w:w="955" w:type="dxa"/>
                  <w:noWrap w:val="0"/>
                  <w:vAlign w:val="center"/>
                </w:tcPr>
                <w:p w14:paraId="5933D343">
                  <w:pPr>
                    <w:pStyle w:val="26"/>
                    <w:bidi w:val="0"/>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35.00</w:t>
                  </w:r>
                </w:p>
              </w:tc>
              <w:tc>
                <w:tcPr>
                  <w:tcW w:w="940" w:type="dxa"/>
                  <w:noWrap w:val="0"/>
                  <w:vAlign w:val="center"/>
                </w:tcPr>
                <w:p w14:paraId="32C6DED2">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0.6301</w:t>
                  </w:r>
                </w:p>
              </w:tc>
              <w:tc>
                <w:tcPr>
                  <w:tcW w:w="914" w:type="dxa"/>
                  <w:noWrap w:val="0"/>
                  <w:vAlign w:val="center"/>
                </w:tcPr>
                <w:p w14:paraId="73912993">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0.6301</w:t>
                  </w:r>
                </w:p>
              </w:tc>
              <w:tc>
                <w:tcPr>
                  <w:tcW w:w="419" w:type="pct"/>
                  <w:vMerge w:val="continue"/>
                  <w:noWrap w:val="0"/>
                  <w:vAlign w:val="center"/>
                </w:tcPr>
                <w:p w14:paraId="3E75E116">
                  <w:pPr>
                    <w:pStyle w:val="26"/>
                    <w:rPr>
                      <w:rFonts w:hint="eastAsia"/>
                      <w:color w:val="000000" w:themeColor="text1"/>
                      <w:highlight w:val="none"/>
                      <w14:textFill>
                        <w14:solidFill>
                          <w14:schemeClr w14:val="tx1"/>
                        </w14:solidFill>
                      </w14:textFill>
                    </w:rPr>
                  </w:pPr>
                </w:p>
              </w:tc>
              <w:tc>
                <w:tcPr>
                  <w:tcW w:w="461" w:type="pct"/>
                  <w:vMerge w:val="continue"/>
                  <w:noWrap w:val="0"/>
                  <w:vAlign w:val="center"/>
                </w:tcPr>
                <w:p w14:paraId="6A43BB6F">
                  <w:pPr>
                    <w:pStyle w:val="26"/>
                    <w:rPr>
                      <w:rFonts w:hint="eastAsia"/>
                      <w:color w:val="000000" w:themeColor="text1"/>
                      <w:highlight w:val="none"/>
                      <w14:textFill>
                        <w14:solidFill>
                          <w14:schemeClr w14:val="tx1"/>
                        </w14:solidFill>
                      </w14:textFill>
                    </w:rPr>
                  </w:pPr>
                </w:p>
              </w:tc>
              <w:tc>
                <w:tcPr>
                  <w:tcW w:w="717" w:type="pct"/>
                  <w:vMerge w:val="continue"/>
                  <w:noWrap w:val="0"/>
                  <w:vAlign w:val="center"/>
                </w:tcPr>
                <w:p w14:paraId="6B16F286">
                  <w:pPr>
                    <w:pStyle w:val="26"/>
                    <w:rPr>
                      <w:rFonts w:hint="eastAsia"/>
                      <w:color w:val="000000" w:themeColor="text1"/>
                      <w:highlight w:val="none"/>
                      <w14:textFill>
                        <w14:solidFill>
                          <w14:schemeClr w14:val="tx1"/>
                        </w14:solidFill>
                      </w14:textFill>
                    </w:rPr>
                  </w:pPr>
                </w:p>
              </w:tc>
            </w:tr>
            <w:tr w14:paraId="0E94C5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646" w:type="pct"/>
                  <w:vMerge w:val="continue"/>
                  <w:noWrap w:val="0"/>
                  <w:vAlign w:val="center"/>
                </w:tcPr>
                <w:p w14:paraId="5109CC87">
                  <w:pPr>
                    <w:pStyle w:val="26"/>
                    <w:rPr>
                      <w:rFonts w:hint="eastAsia" w:eastAsia="宋体"/>
                      <w:color w:val="000000" w:themeColor="text1"/>
                      <w:highlight w:val="none"/>
                      <w:lang w:val="en-US" w:eastAsia="zh-CN"/>
                      <w14:textFill>
                        <w14:solidFill>
                          <w14:schemeClr w14:val="tx1"/>
                        </w14:solidFill>
                      </w14:textFill>
                    </w:rPr>
                  </w:pPr>
                </w:p>
              </w:tc>
              <w:tc>
                <w:tcPr>
                  <w:tcW w:w="526" w:type="pct"/>
                  <w:shd w:val="clear" w:color="auto" w:fill="auto"/>
                  <w:noWrap w:val="0"/>
                  <w:vAlign w:val="center"/>
                </w:tcPr>
                <w:p w14:paraId="37704AE1">
                  <w:pPr>
                    <w:pStyle w:val="26"/>
                    <w:bidi w:val="0"/>
                    <w:ind w:firstLine="0" w:firstLineChars="0"/>
                    <w:rPr>
                      <w:rFonts w:hint="eastAsia" w:ascii="Times New Roman" w:hAnsi="Times New Roman" w:eastAsia="宋体" w:cs="Times New Roman"/>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沥青烟</w:t>
                  </w:r>
                </w:p>
              </w:tc>
              <w:tc>
                <w:tcPr>
                  <w:tcW w:w="534" w:type="pct"/>
                  <w:vMerge w:val="restart"/>
                  <w:noWrap w:val="0"/>
                  <w:vAlign w:val="center"/>
                </w:tcPr>
                <w:p w14:paraId="121E9EFF">
                  <w:pPr>
                    <w:pStyle w:val="26"/>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RCO催化燃烧装置发生故障</w:t>
                  </w:r>
                </w:p>
              </w:tc>
              <w:tc>
                <w:tcPr>
                  <w:tcW w:w="955" w:type="dxa"/>
                  <w:noWrap w:val="0"/>
                  <w:vAlign w:val="center"/>
                </w:tcPr>
                <w:p w14:paraId="474A2A50">
                  <w:pPr>
                    <w:pStyle w:val="26"/>
                    <w:bidi w:val="0"/>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7.66</w:t>
                  </w:r>
                </w:p>
              </w:tc>
              <w:tc>
                <w:tcPr>
                  <w:tcW w:w="940" w:type="dxa"/>
                  <w:noWrap w:val="0"/>
                  <w:vAlign w:val="center"/>
                </w:tcPr>
                <w:p w14:paraId="04F98C71">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0.1378</w:t>
                  </w:r>
                </w:p>
              </w:tc>
              <w:tc>
                <w:tcPr>
                  <w:tcW w:w="914" w:type="dxa"/>
                  <w:noWrap w:val="0"/>
                  <w:vAlign w:val="center"/>
                </w:tcPr>
                <w:p w14:paraId="3F81639E">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0.1378</w:t>
                  </w:r>
                </w:p>
              </w:tc>
              <w:tc>
                <w:tcPr>
                  <w:tcW w:w="419" w:type="pct"/>
                  <w:vMerge w:val="restart"/>
                  <w:shd w:val="clear" w:color="auto" w:fill="auto"/>
                  <w:noWrap w:val="0"/>
                  <w:vAlign w:val="center"/>
                </w:tcPr>
                <w:p w14:paraId="5F60D7BD">
                  <w:pPr>
                    <w:pStyle w:val="26"/>
                    <w:ind w:firstLine="0" w:firstLineChars="0"/>
                    <w:rPr>
                      <w:rFonts w:hint="eastAsia" w:ascii="Times New Roman" w:hAnsi="Times New Roman" w:eastAsia="宋体" w:cs="Times New Roman"/>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 h</w:t>
                  </w:r>
                </w:p>
              </w:tc>
              <w:tc>
                <w:tcPr>
                  <w:tcW w:w="461" w:type="pct"/>
                  <w:vMerge w:val="restart"/>
                  <w:shd w:val="clear" w:color="auto" w:fill="auto"/>
                  <w:noWrap w:val="0"/>
                  <w:vAlign w:val="center"/>
                </w:tcPr>
                <w:p w14:paraId="383B103A">
                  <w:pPr>
                    <w:pStyle w:val="26"/>
                    <w:ind w:firstLine="0" w:firstLineChars="0"/>
                    <w:rPr>
                      <w:rFonts w:hint="eastAsia" w:ascii="Times New Roman" w:hAnsi="Times New Roman" w:eastAsia="宋体" w:cs="Times New Roman"/>
                      <w:color w:val="000000" w:themeColor="text1"/>
                      <w:sz w:val="21"/>
                      <w:szCs w:val="22"/>
                      <w:highlight w:val="none"/>
                      <w14:textFill>
                        <w14:solidFill>
                          <w14:schemeClr w14:val="tx1"/>
                        </w14:solidFill>
                      </w14:textFill>
                    </w:rPr>
                  </w:pPr>
                  <w:r>
                    <w:rPr>
                      <w:rFonts w:hint="eastAsia"/>
                      <w:color w:val="000000" w:themeColor="text1"/>
                      <w:highlight w:val="none"/>
                      <w14:textFill>
                        <w14:solidFill>
                          <w14:schemeClr w14:val="tx1"/>
                        </w14:solidFill>
                      </w14:textFill>
                    </w:rPr>
                    <w:t>1次/年</w:t>
                  </w:r>
                </w:p>
              </w:tc>
              <w:tc>
                <w:tcPr>
                  <w:tcW w:w="717" w:type="pct"/>
                  <w:vMerge w:val="restart"/>
                  <w:noWrap w:val="0"/>
                  <w:vAlign w:val="center"/>
                </w:tcPr>
                <w:p w14:paraId="702391D0">
                  <w:pPr>
                    <w:pStyle w:val="26"/>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发现非正常排放情况时，立即暂</w:t>
                  </w:r>
                  <w:r>
                    <w:rPr>
                      <w:rFonts w:hint="eastAsia"/>
                      <w:color w:val="000000" w:themeColor="text1"/>
                      <w:highlight w:val="none"/>
                      <w:lang w:val="en-US" w:eastAsia="zh-CN"/>
                      <w14:textFill>
                        <w14:solidFill>
                          <w14:schemeClr w14:val="tx1"/>
                        </w14:solidFill>
                      </w14:textFill>
                    </w:rPr>
                    <w:t>停</w:t>
                  </w:r>
                  <w:r>
                    <w:rPr>
                      <w:rFonts w:hint="eastAsia"/>
                      <w:color w:val="000000" w:themeColor="text1"/>
                      <w:highlight w:val="none"/>
                      <w14:textFill>
                        <w14:solidFill>
                          <w14:schemeClr w14:val="tx1"/>
                        </w14:solidFill>
                      </w14:textFill>
                    </w:rPr>
                    <w:t>生产，进行检修</w:t>
                  </w:r>
                </w:p>
              </w:tc>
            </w:tr>
            <w:tr w14:paraId="287FFC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6" w:type="pct"/>
                  <w:vMerge w:val="continue"/>
                  <w:noWrap w:val="0"/>
                  <w:vAlign w:val="center"/>
                </w:tcPr>
                <w:p w14:paraId="4A45F1FD">
                  <w:pPr>
                    <w:pStyle w:val="26"/>
                    <w:rPr>
                      <w:rFonts w:hint="eastAsia" w:eastAsia="宋体"/>
                      <w:color w:val="000000" w:themeColor="text1"/>
                      <w:highlight w:val="none"/>
                      <w:lang w:val="en-US" w:eastAsia="zh-CN"/>
                      <w14:textFill>
                        <w14:solidFill>
                          <w14:schemeClr w14:val="tx1"/>
                        </w14:solidFill>
                      </w14:textFill>
                    </w:rPr>
                  </w:pPr>
                </w:p>
              </w:tc>
              <w:tc>
                <w:tcPr>
                  <w:tcW w:w="526" w:type="pct"/>
                  <w:shd w:val="clear" w:color="auto" w:fill="auto"/>
                  <w:noWrap w:val="0"/>
                  <w:vAlign w:val="center"/>
                </w:tcPr>
                <w:p w14:paraId="5F083428">
                  <w:pPr>
                    <w:pStyle w:val="26"/>
                    <w:bidi w:val="0"/>
                    <w:ind w:firstLine="0" w:firstLineChars="0"/>
                    <w:rPr>
                      <w:rFonts w:hint="eastAsia" w:ascii="Times New Roman" w:hAnsi="Times New Roman" w:eastAsia="宋体" w:cs="Times New Roman"/>
                      <w:color w:val="000000" w:themeColor="text1"/>
                      <w:sz w:val="21"/>
                      <w:szCs w:val="22"/>
                      <w:highlight w:val="none"/>
                      <w:lang w:val="en-US" w:eastAsia="zh-CN"/>
                      <w14:textFill>
                        <w14:solidFill>
                          <w14:schemeClr w14:val="tx1"/>
                        </w14:solidFill>
                      </w14:textFill>
                    </w:rPr>
                  </w:pPr>
                  <w:r>
                    <w:rPr>
                      <w:color w:val="000000" w:themeColor="text1"/>
                      <w:highlight w:val="none"/>
                      <w:lang w:val="en-US" w:eastAsia="zh-CN"/>
                      <w14:textFill>
                        <w14:solidFill>
                          <w14:schemeClr w14:val="tx1"/>
                        </w14:solidFill>
                      </w14:textFill>
                    </w:rPr>
                    <w:t>苯并[a]芘</w:t>
                  </w:r>
                </w:p>
              </w:tc>
              <w:tc>
                <w:tcPr>
                  <w:tcW w:w="534" w:type="pct"/>
                  <w:vMerge w:val="continue"/>
                  <w:noWrap w:val="0"/>
                  <w:vAlign w:val="center"/>
                </w:tcPr>
                <w:p w14:paraId="6A6C389F">
                  <w:pPr>
                    <w:pStyle w:val="26"/>
                    <w:rPr>
                      <w:color w:val="000000" w:themeColor="text1"/>
                      <w:highlight w:val="none"/>
                      <w14:textFill>
                        <w14:solidFill>
                          <w14:schemeClr w14:val="tx1"/>
                        </w14:solidFill>
                      </w14:textFill>
                    </w:rPr>
                  </w:pPr>
                </w:p>
              </w:tc>
              <w:tc>
                <w:tcPr>
                  <w:tcW w:w="955" w:type="dxa"/>
                  <w:noWrap w:val="0"/>
                  <w:vAlign w:val="center"/>
                </w:tcPr>
                <w:p w14:paraId="73D057F6">
                  <w:pPr>
                    <w:pStyle w:val="26"/>
                    <w:bidi w:val="0"/>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2.04E</w:t>
                  </w:r>
                </w:p>
                <w:p w14:paraId="30D88169">
                  <w:pPr>
                    <w:pStyle w:val="26"/>
                    <w:bidi w:val="0"/>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-03</w:t>
                  </w:r>
                </w:p>
              </w:tc>
              <w:tc>
                <w:tcPr>
                  <w:tcW w:w="940" w:type="dxa"/>
                  <w:noWrap w:val="0"/>
                  <w:vAlign w:val="center"/>
                </w:tcPr>
                <w:p w14:paraId="273DB2F9">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3.68E</w:t>
                  </w:r>
                </w:p>
                <w:p w14:paraId="02384328">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-05</w:t>
                  </w:r>
                </w:p>
              </w:tc>
              <w:tc>
                <w:tcPr>
                  <w:tcW w:w="914" w:type="dxa"/>
                  <w:noWrap w:val="0"/>
                  <w:vAlign w:val="center"/>
                </w:tcPr>
                <w:p w14:paraId="12DE0863">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3.68E</w:t>
                  </w:r>
                </w:p>
                <w:p w14:paraId="2A8E62E3">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-05</w:t>
                  </w:r>
                </w:p>
              </w:tc>
              <w:tc>
                <w:tcPr>
                  <w:tcW w:w="419" w:type="pct"/>
                  <w:vMerge w:val="continue"/>
                  <w:noWrap w:val="0"/>
                  <w:vAlign w:val="center"/>
                </w:tcPr>
                <w:p w14:paraId="3FCE55AF">
                  <w:pPr>
                    <w:pStyle w:val="26"/>
                    <w:rPr>
                      <w:rFonts w:hint="eastAsia"/>
                      <w:color w:val="000000" w:themeColor="text1"/>
                      <w:highlight w:val="none"/>
                      <w14:textFill>
                        <w14:solidFill>
                          <w14:schemeClr w14:val="tx1"/>
                        </w14:solidFill>
                      </w14:textFill>
                    </w:rPr>
                  </w:pPr>
                </w:p>
              </w:tc>
              <w:tc>
                <w:tcPr>
                  <w:tcW w:w="461" w:type="pct"/>
                  <w:vMerge w:val="continue"/>
                  <w:noWrap w:val="0"/>
                  <w:vAlign w:val="center"/>
                </w:tcPr>
                <w:p w14:paraId="5BAB74A0">
                  <w:pPr>
                    <w:pStyle w:val="26"/>
                    <w:rPr>
                      <w:rFonts w:hint="eastAsia"/>
                      <w:color w:val="000000" w:themeColor="text1"/>
                      <w:highlight w:val="none"/>
                      <w14:textFill>
                        <w14:solidFill>
                          <w14:schemeClr w14:val="tx1"/>
                        </w14:solidFill>
                      </w14:textFill>
                    </w:rPr>
                  </w:pPr>
                </w:p>
              </w:tc>
              <w:tc>
                <w:tcPr>
                  <w:tcW w:w="717" w:type="pct"/>
                  <w:vMerge w:val="continue"/>
                  <w:noWrap w:val="0"/>
                  <w:vAlign w:val="center"/>
                </w:tcPr>
                <w:p w14:paraId="1AAA35DB">
                  <w:pPr>
                    <w:pStyle w:val="26"/>
                    <w:rPr>
                      <w:rFonts w:hint="eastAsia"/>
                      <w:color w:val="000000" w:themeColor="text1"/>
                      <w:highlight w:val="none"/>
                      <w14:textFill>
                        <w14:solidFill>
                          <w14:schemeClr w14:val="tx1"/>
                        </w14:solidFill>
                      </w14:textFill>
                    </w:rPr>
                  </w:pPr>
                </w:p>
              </w:tc>
            </w:tr>
            <w:tr w14:paraId="5813EF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646" w:type="pct"/>
                  <w:vMerge w:val="continue"/>
                  <w:noWrap w:val="0"/>
                  <w:vAlign w:val="center"/>
                </w:tcPr>
                <w:p w14:paraId="6E4164BE">
                  <w:pPr>
                    <w:pStyle w:val="26"/>
                    <w:rPr>
                      <w:rFonts w:hint="eastAsia" w:eastAsia="宋体"/>
                      <w:color w:val="000000" w:themeColor="text1"/>
                      <w:highlight w:val="none"/>
                      <w:lang w:val="en-US" w:eastAsia="zh-CN"/>
                      <w14:textFill>
                        <w14:solidFill>
                          <w14:schemeClr w14:val="tx1"/>
                        </w14:solidFill>
                      </w14:textFill>
                    </w:rPr>
                  </w:pPr>
                </w:p>
              </w:tc>
              <w:tc>
                <w:tcPr>
                  <w:tcW w:w="526" w:type="pct"/>
                  <w:shd w:val="clear" w:color="auto" w:fill="auto"/>
                  <w:noWrap w:val="0"/>
                  <w:vAlign w:val="center"/>
                </w:tcPr>
                <w:p w14:paraId="1675DF7C">
                  <w:pPr>
                    <w:pStyle w:val="26"/>
                    <w:bidi w:val="0"/>
                    <w:ind w:firstLine="0" w:firstLineChars="0"/>
                    <w:rPr>
                      <w:rFonts w:hint="eastAsia" w:ascii="Times New Roman" w:hAnsi="Times New Roman" w:eastAsia="宋体" w:cs="Times New Roman"/>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颗粒物</w:t>
                  </w:r>
                </w:p>
              </w:tc>
              <w:tc>
                <w:tcPr>
                  <w:tcW w:w="534" w:type="pct"/>
                  <w:vMerge w:val="continue"/>
                  <w:noWrap w:val="0"/>
                  <w:vAlign w:val="center"/>
                </w:tcPr>
                <w:p w14:paraId="725EE62C">
                  <w:pPr>
                    <w:pStyle w:val="26"/>
                    <w:rPr>
                      <w:color w:val="000000" w:themeColor="text1"/>
                      <w:highlight w:val="none"/>
                      <w14:textFill>
                        <w14:solidFill>
                          <w14:schemeClr w14:val="tx1"/>
                        </w14:solidFill>
                      </w14:textFill>
                    </w:rPr>
                  </w:pPr>
                </w:p>
              </w:tc>
              <w:tc>
                <w:tcPr>
                  <w:tcW w:w="955" w:type="dxa"/>
                  <w:noWrap w:val="0"/>
                  <w:vAlign w:val="center"/>
                </w:tcPr>
                <w:p w14:paraId="58890768">
                  <w:pPr>
                    <w:pStyle w:val="26"/>
                    <w:bidi w:val="0"/>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1.15</w:t>
                  </w:r>
                </w:p>
              </w:tc>
              <w:tc>
                <w:tcPr>
                  <w:tcW w:w="940" w:type="dxa"/>
                  <w:noWrap w:val="0"/>
                  <w:vAlign w:val="center"/>
                </w:tcPr>
                <w:p w14:paraId="1E4F09C6">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0.0207</w:t>
                  </w:r>
                </w:p>
              </w:tc>
              <w:tc>
                <w:tcPr>
                  <w:tcW w:w="914" w:type="dxa"/>
                  <w:noWrap w:val="0"/>
                  <w:vAlign w:val="center"/>
                </w:tcPr>
                <w:p w14:paraId="4EBED9A7">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0.0207</w:t>
                  </w:r>
                </w:p>
              </w:tc>
              <w:tc>
                <w:tcPr>
                  <w:tcW w:w="419" w:type="pct"/>
                  <w:vMerge w:val="continue"/>
                  <w:noWrap w:val="0"/>
                  <w:vAlign w:val="center"/>
                </w:tcPr>
                <w:p w14:paraId="0AA55B45">
                  <w:pPr>
                    <w:pStyle w:val="26"/>
                    <w:rPr>
                      <w:rFonts w:hint="eastAsia"/>
                      <w:color w:val="000000" w:themeColor="text1"/>
                      <w:highlight w:val="none"/>
                      <w14:textFill>
                        <w14:solidFill>
                          <w14:schemeClr w14:val="tx1"/>
                        </w14:solidFill>
                      </w14:textFill>
                    </w:rPr>
                  </w:pPr>
                </w:p>
              </w:tc>
              <w:tc>
                <w:tcPr>
                  <w:tcW w:w="461" w:type="pct"/>
                  <w:vMerge w:val="continue"/>
                  <w:noWrap w:val="0"/>
                  <w:vAlign w:val="center"/>
                </w:tcPr>
                <w:p w14:paraId="233F21F8">
                  <w:pPr>
                    <w:pStyle w:val="26"/>
                    <w:rPr>
                      <w:rFonts w:hint="eastAsia"/>
                      <w:color w:val="000000" w:themeColor="text1"/>
                      <w:highlight w:val="none"/>
                      <w14:textFill>
                        <w14:solidFill>
                          <w14:schemeClr w14:val="tx1"/>
                        </w14:solidFill>
                      </w14:textFill>
                    </w:rPr>
                  </w:pPr>
                </w:p>
              </w:tc>
              <w:tc>
                <w:tcPr>
                  <w:tcW w:w="717" w:type="pct"/>
                  <w:vMerge w:val="continue"/>
                  <w:noWrap w:val="0"/>
                  <w:vAlign w:val="center"/>
                </w:tcPr>
                <w:p w14:paraId="0BDFDD14">
                  <w:pPr>
                    <w:pStyle w:val="26"/>
                    <w:rPr>
                      <w:rFonts w:hint="eastAsia"/>
                      <w:color w:val="000000" w:themeColor="text1"/>
                      <w:highlight w:val="none"/>
                      <w14:textFill>
                        <w14:solidFill>
                          <w14:schemeClr w14:val="tx1"/>
                        </w14:solidFill>
                      </w14:textFill>
                    </w:rPr>
                  </w:pPr>
                </w:p>
              </w:tc>
            </w:tr>
            <w:tr w14:paraId="7456ED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6" w:type="pct"/>
                  <w:vMerge w:val="continue"/>
                  <w:noWrap w:val="0"/>
                  <w:vAlign w:val="center"/>
                </w:tcPr>
                <w:p w14:paraId="79627443">
                  <w:pPr>
                    <w:pStyle w:val="26"/>
                    <w:rPr>
                      <w:rFonts w:hint="eastAsia" w:eastAsia="宋体"/>
                      <w:color w:val="000000" w:themeColor="text1"/>
                      <w:highlight w:val="none"/>
                      <w:lang w:val="en-US" w:eastAsia="zh-CN"/>
                      <w14:textFill>
                        <w14:solidFill>
                          <w14:schemeClr w14:val="tx1"/>
                        </w14:solidFill>
                      </w14:textFill>
                    </w:rPr>
                  </w:pPr>
                </w:p>
              </w:tc>
              <w:tc>
                <w:tcPr>
                  <w:tcW w:w="526" w:type="pct"/>
                  <w:shd w:val="clear" w:color="auto" w:fill="auto"/>
                  <w:noWrap w:val="0"/>
                  <w:vAlign w:val="center"/>
                </w:tcPr>
                <w:p w14:paraId="566AB1C2">
                  <w:pPr>
                    <w:pStyle w:val="26"/>
                    <w:bidi w:val="0"/>
                    <w:ind w:firstLine="0" w:firstLineChars="0"/>
                    <w:rPr>
                      <w:rFonts w:hint="eastAsia" w:ascii="Times New Roman" w:hAnsi="Times New Roman" w:eastAsia="宋体" w:cs="Times New Roman"/>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非甲烷总烃</w:t>
                  </w:r>
                </w:p>
              </w:tc>
              <w:tc>
                <w:tcPr>
                  <w:tcW w:w="534" w:type="pct"/>
                  <w:vMerge w:val="continue"/>
                  <w:noWrap w:val="0"/>
                  <w:vAlign w:val="center"/>
                </w:tcPr>
                <w:p w14:paraId="743878EA">
                  <w:pPr>
                    <w:pStyle w:val="26"/>
                    <w:rPr>
                      <w:color w:val="000000" w:themeColor="text1"/>
                      <w:highlight w:val="none"/>
                      <w14:textFill>
                        <w14:solidFill>
                          <w14:schemeClr w14:val="tx1"/>
                        </w14:solidFill>
                      </w14:textFill>
                    </w:rPr>
                  </w:pPr>
                </w:p>
              </w:tc>
              <w:tc>
                <w:tcPr>
                  <w:tcW w:w="955" w:type="dxa"/>
                  <w:noWrap w:val="0"/>
                  <w:vAlign w:val="center"/>
                </w:tcPr>
                <w:p w14:paraId="6C44A221">
                  <w:pPr>
                    <w:pStyle w:val="26"/>
                    <w:bidi w:val="0"/>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700.07</w:t>
                  </w:r>
                </w:p>
              </w:tc>
              <w:tc>
                <w:tcPr>
                  <w:tcW w:w="940" w:type="dxa"/>
                  <w:noWrap w:val="0"/>
                  <w:vAlign w:val="center"/>
                </w:tcPr>
                <w:p w14:paraId="09794EAF">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12.6013</w:t>
                  </w:r>
                </w:p>
              </w:tc>
              <w:tc>
                <w:tcPr>
                  <w:tcW w:w="914" w:type="dxa"/>
                  <w:noWrap w:val="0"/>
                  <w:vAlign w:val="center"/>
                </w:tcPr>
                <w:p w14:paraId="074D4617">
                  <w:pPr>
                    <w:pStyle w:val="26"/>
                    <w:bidi w:val="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12.6013</w:t>
                  </w:r>
                </w:p>
              </w:tc>
              <w:tc>
                <w:tcPr>
                  <w:tcW w:w="419" w:type="pct"/>
                  <w:vMerge w:val="continue"/>
                  <w:noWrap w:val="0"/>
                  <w:vAlign w:val="center"/>
                </w:tcPr>
                <w:p w14:paraId="09E6E3CE">
                  <w:pPr>
                    <w:pStyle w:val="26"/>
                    <w:rPr>
                      <w:rFonts w:hint="eastAsia"/>
                      <w:color w:val="000000" w:themeColor="text1"/>
                      <w:highlight w:val="none"/>
                      <w14:textFill>
                        <w14:solidFill>
                          <w14:schemeClr w14:val="tx1"/>
                        </w14:solidFill>
                      </w14:textFill>
                    </w:rPr>
                  </w:pPr>
                </w:p>
              </w:tc>
              <w:tc>
                <w:tcPr>
                  <w:tcW w:w="461" w:type="pct"/>
                  <w:vMerge w:val="continue"/>
                  <w:noWrap w:val="0"/>
                  <w:vAlign w:val="center"/>
                </w:tcPr>
                <w:p w14:paraId="1180A617">
                  <w:pPr>
                    <w:pStyle w:val="26"/>
                    <w:rPr>
                      <w:rFonts w:hint="eastAsia"/>
                      <w:color w:val="000000" w:themeColor="text1"/>
                      <w:highlight w:val="none"/>
                      <w14:textFill>
                        <w14:solidFill>
                          <w14:schemeClr w14:val="tx1"/>
                        </w14:solidFill>
                      </w14:textFill>
                    </w:rPr>
                  </w:pPr>
                </w:p>
              </w:tc>
              <w:tc>
                <w:tcPr>
                  <w:tcW w:w="717" w:type="pct"/>
                  <w:vMerge w:val="continue"/>
                  <w:noWrap w:val="0"/>
                  <w:vAlign w:val="center"/>
                </w:tcPr>
                <w:p w14:paraId="58408E6D">
                  <w:pPr>
                    <w:pStyle w:val="26"/>
                    <w:rPr>
                      <w:rFonts w:hint="eastAsia"/>
                      <w:color w:val="000000" w:themeColor="text1"/>
                      <w:highlight w:val="none"/>
                      <w14:textFill>
                        <w14:solidFill>
                          <w14:schemeClr w14:val="tx1"/>
                        </w14:solidFill>
                      </w14:textFill>
                    </w:rPr>
                  </w:pPr>
                </w:p>
              </w:tc>
            </w:tr>
          </w:tbl>
          <w:p w14:paraId="5C5633C1">
            <w:pPr>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针对以上非正常排放情形，本评价建议建设单位在生产运营期间采取以下控制措施以避免或减少项目废气非正常排放。</w:t>
            </w:r>
          </w:p>
          <w:p w14:paraId="607529D4">
            <w:pPr>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①规范生产操作，避免因员工操作不当导致环保设施故障引发废气</w:t>
            </w:r>
            <w:r>
              <w:rPr>
                <w:rFonts w:hint="eastAsia"/>
                <w:color w:val="000000" w:themeColor="text1"/>
                <w:highlight w:val="none"/>
                <w14:textFill>
                  <w14:solidFill>
                    <w14:schemeClr w14:val="tx1"/>
                  </w14:solidFill>
                </w14:textFill>
              </w:rPr>
              <w:t>非正常</w:t>
            </w:r>
            <w:r>
              <w:rPr>
                <w:color w:val="000000" w:themeColor="text1"/>
                <w:highlight w:val="none"/>
                <w14:textFill>
                  <w14:solidFill>
                    <w14:schemeClr w14:val="tx1"/>
                  </w14:solidFill>
                </w14:textFill>
              </w:rPr>
              <w:t>排放。</w:t>
            </w:r>
          </w:p>
          <w:p w14:paraId="2C39F4A8">
            <w:pPr>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②定期对生产设施及废气处理设施进行检查维护，杜绝非正常工况发生，避免非正常排放出现后才采取维护措施。</w:t>
            </w:r>
          </w:p>
          <w:p w14:paraId="3653D9CB">
            <w:pPr>
              <w:bidi w:val="0"/>
              <w:rPr>
                <w:rFonts w:hint="default"/>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综上，项目在采取上述非正常排放防范措施后，非正常排放发生频率较低，非正常排放下污染物排放量较少，非正常工况可及时得到处理，因此本项目废气非正常排放对周边大气环境影响较小。</w:t>
            </w:r>
          </w:p>
          <w:p w14:paraId="101D8830">
            <w:pPr>
              <w:pStyle w:val="3"/>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大气环境影响分析</w:t>
            </w:r>
          </w:p>
          <w:p w14:paraId="3A450A3C">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根据上述分析，一期工程建成后，废气经“布袋除尘+两级活性炭吸附装置”工艺处理后，DA001排气筒出口非甲烷总烃排放浓度为75.61 mg/m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、排放速率为0.7561 kg/h，均可达《工业企业挥发性有机物排放标准》（DB35/1782-2018）表1排放限值要求（非甲烷总烃最高允许排放浓度为100mg/m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，15 m高排气筒最高允许排放速率为1.8 kg/h）；苯并[a]芘的排放浓度为</w:t>
            </w:r>
            <w:r>
              <w:rPr>
                <w:rFonts w:hint="default"/>
                <w:color w:val="000000" w:themeColor="text1"/>
                <w:highlight w:val="none"/>
                <w:lang w:val="en-US" w:eastAsia="zh-CN"/>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65</w:t>
            </w:r>
            <w:r>
              <w:rPr>
                <w:rFonts w:hint="default"/>
                <w:color w:val="000000" w:themeColor="text1"/>
                <w:highlight w:val="none"/>
                <w:lang w:val="en-US" w:eastAsia="zh-CN"/>
                <w14:textFill>
                  <w14:solidFill>
                    <w14:schemeClr w14:val="tx1"/>
                  </w14:solidFill>
                </w14:textFill>
              </w:rPr>
              <w:t>E-04</w:t>
            </w:r>
            <w:r>
              <w:rPr>
                <w:rFonts w:hint="eastAsia"/>
                <w:color w:val="000000" w:themeColor="text1"/>
                <w:highlight w:val="none"/>
                <w:lang w:val="en-US" w:eastAsia="zh-CN"/>
                <w14:textFill>
                  <w14:solidFill>
                    <w14:schemeClr w14:val="tx1"/>
                  </w14:solidFill>
                </w14:textFill>
              </w:rPr>
              <w:t xml:space="preserve"> mg/m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，排放速率为</w:t>
            </w:r>
            <w:r>
              <w:rPr>
                <w:rFonts w:hint="default"/>
                <w:color w:val="000000" w:themeColor="text1"/>
                <w:highlight w:val="none"/>
                <w:lang w:val="en-US" w:eastAsia="zh-CN"/>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65</w:t>
            </w:r>
            <w:r>
              <w:rPr>
                <w:rFonts w:hint="default"/>
                <w:color w:val="000000" w:themeColor="text1"/>
                <w:highlight w:val="none"/>
                <w:lang w:val="en-US" w:eastAsia="zh-CN"/>
                <w14:textFill>
                  <w14:solidFill>
                    <w14:schemeClr w14:val="tx1"/>
                  </w14:solidFill>
                </w14:textFill>
              </w:rPr>
              <w:t>E-06</w:t>
            </w:r>
            <w:r>
              <w:rPr>
                <w:rFonts w:hint="eastAsia"/>
                <w:color w:val="000000" w:themeColor="text1"/>
                <w:highlight w:val="none"/>
                <w:lang w:val="en-US" w:eastAsia="zh-CN"/>
                <w14:textFill>
                  <w14:solidFill>
                    <w14:schemeClr w14:val="tx1"/>
                  </w14:solidFill>
                </w14:textFill>
              </w:rPr>
              <w:t xml:space="preserve"> kg/h，沥青烟排放浓度为0.62 mg/m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，排放速率为0.0062 kg/h，颗粒物排放浓度为0.62 mg/m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vertAlign w:val="baseline"/>
                <w:lang w:val="en-US" w:eastAsia="zh-CN"/>
                <w14:textFill>
                  <w14:solidFill>
                    <w14:schemeClr w14:val="tx1"/>
                  </w14:solidFill>
                </w14:textFill>
              </w:rPr>
              <w:t>，排</w:t>
            </w:r>
            <w:r>
              <w:rPr>
                <w:rFonts w:hint="eastAsia"/>
                <w:color w:val="000000" w:themeColor="text1"/>
                <w:sz w:val="24"/>
                <w:szCs w:val="24"/>
                <w:highlight w:val="none"/>
                <w:vertAlign w:val="baseline"/>
                <w:lang w:val="en-US" w:eastAsia="zh-CN"/>
                <w14:textFill>
                  <w14:solidFill>
                    <w14:schemeClr w14:val="tx1"/>
                  </w14:solidFill>
                </w14:textFill>
              </w:rPr>
              <w:t>放速率为0.0062kg/h</w:t>
            </w:r>
            <w:r>
              <w:rPr>
                <w:rFonts w:hint="eastAsia"/>
                <w:color w:val="000000" w:themeColor="text1"/>
                <w:sz w:val="24"/>
                <w:szCs w:val="24"/>
                <w:highlight w:val="none"/>
                <w:lang w:val="en-US" w:eastAsia="zh-CN"/>
                <w14:textFill>
                  <w14:solidFill>
                    <w14:schemeClr w14:val="tx1"/>
                  </w14:solidFill>
                </w14:textFill>
              </w:rPr>
              <w:t>，均可达到</w:t>
            </w:r>
            <w:r>
              <w:rPr>
                <w:rFonts w:hint="eastAsia" w:ascii="Times New Roman" w:hAnsi="Times New Roman" w:eastAsia="宋体" w:cs="Times New Roman"/>
                <w:color w:val="000000" w:themeColor="text1"/>
                <w:sz w:val="24"/>
                <w:szCs w:val="24"/>
                <w:highlight w:val="none"/>
                <w14:textFill>
                  <w14:solidFill>
                    <w14:schemeClr w14:val="tx1"/>
                  </w14:solidFill>
                </w14:textFill>
              </w:rPr>
              <w:t>《大气污染物综合排放标准》（GB16297-1996）表2中二级标准</w:t>
            </w:r>
            <w:r>
              <w:rPr>
                <w:color w:val="000000" w:themeColor="text1"/>
                <w:sz w:val="24"/>
                <w:szCs w:val="24"/>
                <w:highlight w:val="none"/>
                <w14:textFill>
                  <w14:solidFill>
                    <w14:schemeClr w14:val="tx1"/>
                  </w14:solidFill>
                </w14:textFill>
              </w:rPr>
              <w:t>（即：</w:t>
            </w:r>
            <w:r>
              <w:rPr>
                <w:rFonts w:hint="eastAsia"/>
                <w:color w:val="000000" w:themeColor="text1"/>
                <w:sz w:val="24"/>
                <w:szCs w:val="24"/>
                <w:highlight w:val="none"/>
                <w:lang w:val="en-US" w:eastAsia="zh-CN"/>
                <w14:textFill>
                  <w14:solidFill>
                    <w14:schemeClr w14:val="tx1"/>
                  </w14:solidFill>
                </w14:textFill>
              </w:rPr>
              <w:t>苯并[a]芘</w:t>
            </w:r>
            <w:r>
              <w:rPr>
                <w:color w:val="000000" w:themeColor="text1"/>
                <w:sz w:val="24"/>
                <w:szCs w:val="24"/>
                <w:highlight w:val="none"/>
                <w14:textFill>
                  <w14:solidFill>
                    <w14:schemeClr w14:val="tx1"/>
                  </w14:solidFill>
                </w14:textFill>
              </w:rPr>
              <w:t>排放浓度≤</w:t>
            </w:r>
            <w:r>
              <w:rPr>
                <w:rFonts w:hint="eastAsia"/>
                <w:color w:val="000000" w:themeColor="text1"/>
                <w:sz w:val="24"/>
                <w:szCs w:val="24"/>
                <w:highlight w:val="none"/>
                <w:lang w:val="en-US" w:eastAsia="zh-CN"/>
                <w14:textFill>
                  <w14:solidFill>
                    <w14:schemeClr w14:val="tx1"/>
                  </w14:solidFill>
                </w14:textFill>
              </w:rPr>
              <w:t>0.0003</w:t>
            </w:r>
            <w:r>
              <w:rPr>
                <w:color w:val="000000" w:themeColor="text1"/>
                <w:sz w:val="24"/>
                <w:szCs w:val="24"/>
                <w:highlight w:val="none"/>
                <w14:textFill>
                  <w14:solidFill>
                    <w14:schemeClr w14:val="tx1"/>
                  </w14:solidFill>
                </w14:textFill>
              </w:rPr>
              <w:t xml:space="preserve"> mg/m</w:t>
            </w:r>
            <w:r>
              <w:rPr>
                <w:color w:val="000000" w:themeColor="text1"/>
                <w:sz w:val="24"/>
                <w:szCs w:val="24"/>
                <w:highlight w:val="none"/>
                <w:vertAlign w:val="superscript"/>
                <w14:textFill>
                  <w14:solidFill>
                    <w14:schemeClr w14:val="tx1"/>
                  </w14:solidFill>
                </w14:textFill>
              </w:rPr>
              <w:t>3</w:t>
            </w:r>
            <w:r>
              <w:rPr>
                <w:color w:val="000000" w:themeColor="text1"/>
                <w:sz w:val="24"/>
                <w:szCs w:val="24"/>
                <w:highlight w:val="none"/>
                <w14:textFill>
                  <w14:solidFill>
                    <w14:schemeClr w14:val="tx1"/>
                  </w14:solidFill>
                </w14:textFill>
              </w:rPr>
              <w:t>，排放速率≤</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0.050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14:textFill>
                  <w14:solidFill>
                    <w14:schemeClr w14:val="tx1"/>
                  </w14:solidFill>
                </w14:textFill>
              </w:rPr>
              <w:t>10</w:t>
            </w:r>
            <w:r>
              <w:rPr>
                <w:rFonts w:hint="eastAsia"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color w:val="000000" w:themeColor="text1"/>
                <w:sz w:val="24"/>
                <w:szCs w:val="24"/>
                <w:highlight w:val="none"/>
                <w14:textFill>
                  <w14:solidFill>
                    <w14:schemeClr w14:val="tx1"/>
                  </w14:solidFill>
                </w14:textFill>
              </w:rPr>
              <w:t xml:space="preserve"> kg/h</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沥青烟排放浓度</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75</w:t>
            </w:r>
            <w:r>
              <w:rPr>
                <w:color w:val="000000" w:themeColor="text1"/>
                <w:sz w:val="24"/>
                <w:szCs w:val="24"/>
                <w:highlight w:val="none"/>
                <w14:textFill>
                  <w14:solidFill>
                    <w14:schemeClr w14:val="tx1"/>
                  </w14:solidFill>
                </w14:textFill>
              </w:rPr>
              <w:t xml:space="preserve"> mg/m</w:t>
            </w:r>
            <w:r>
              <w:rPr>
                <w:color w:val="000000" w:themeColor="text1"/>
                <w:sz w:val="24"/>
                <w:szCs w:val="24"/>
                <w:highlight w:val="none"/>
                <w:vertAlign w:val="superscript"/>
                <w14:textFill>
                  <w14:solidFill>
                    <w14:schemeClr w14:val="tx1"/>
                  </w14:solidFill>
                </w14:textFill>
              </w:rPr>
              <w:t>3</w:t>
            </w:r>
            <w:r>
              <w:rPr>
                <w:color w:val="000000" w:themeColor="text1"/>
                <w:sz w:val="24"/>
                <w:szCs w:val="24"/>
                <w:highlight w:val="none"/>
                <w14:textFill>
                  <w14:solidFill>
                    <w14:schemeClr w14:val="tx1"/>
                  </w14:solidFill>
                </w14:textFill>
              </w:rPr>
              <w:t>，排放速率≤</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0.18</w:t>
            </w:r>
            <w:r>
              <w:rPr>
                <w:color w:val="000000" w:themeColor="text1"/>
                <w:sz w:val="24"/>
                <w:szCs w:val="24"/>
                <w:highlight w:val="none"/>
                <w14:textFill>
                  <w14:solidFill>
                    <w14:schemeClr w14:val="tx1"/>
                  </w14:solidFill>
                </w14:textFill>
              </w:rPr>
              <w:t xml:space="preserve"> kg/h</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颗粒物排放浓度</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120</w:t>
            </w:r>
            <w:r>
              <w:rPr>
                <w:color w:val="000000" w:themeColor="text1"/>
                <w:sz w:val="24"/>
                <w:szCs w:val="24"/>
                <w:highlight w:val="none"/>
                <w14:textFill>
                  <w14:solidFill>
                    <w14:schemeClr w14:val="tx1"/>
                  </w14:solidFill>
                </w14:textFill>
              </w:rPr>
              <w:t xml:space="preserve"> mg/m</w:t>
            </w:r>
            <w:r>
              <w:rPr>
                <w:color w:val="000000" w:themeColor="text1"/>
                <w:sz w:val="24"/>
                <w:szCs w:val="24"/>
                <w:highlight w:val="none"/>
                <w:vertAlign w:val="superscript"/>
                <w14:textFill>
                  <w14:solidFill>
                    <w14:schemeClr w14:val="tx1"/>
                  </w14:solidFill>
                </w14:textFill>
              </w:rPr>
              <w:t>3</w:t>
            </w:r>
            <w:r>
              <w:rPr>
                <w:color w:val="000000" w:themeColor="text1"/>
                <w:sz w:val="24"/>
                <w:szCs w:val="24"/>
                <w:highlight w:val="none"/>
                <w14:textFill>
                  <w14:solidFill>
                    <w14:schemeClr w14:val="tx1"/>
                  </w14:solidFill>
                </w14:textFill>
              </w:rPr>
              <w:t>，排放速率≤</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3.5</w:t>
            </w:r>
            <w:r>
              <w:rPr>
                <w:color w:val="000000" w:themeColor="text1"/>
                <w:sz w:val="24"/>
                <w:szCs w:val="24"/>
                <w:highlight w:val="none"/>
                <w14:textFill>
                  <w14:solidFill>
                    <w14:schemeClr w14:val="tx1"/>
                  </w14:solidFill>
                </w14:textFill>
              </w:rPr>
              <w:t xml:space="preserve"> kg/h</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w:t>
            </w:r>
          </w:p>
          <w:p w14:paraId="00EDEEB5">
            <w:pP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二期工程建成后，全厂废气经“布袋除尘+RCO催化燃烧”工艺处理后，*DA001排气筒出口产生的非甲总烃的排放浓度为35.00 mg/m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，排放速率为0.6301 kg/h，可达《工业企业挥发性有机物排放标准》（DB35/1782-2018）表1排放限值要求（非甲烷总烃最高允许排放浓度为100mg/m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，15 m高排气筒最高允许排放速率为1.8 kg/h）；苯并[a]芘的排放浓度为</w:t>
            </w:r>
            <w:r>
              <w:rPr>
                <w:rFonts w:hint="default"/>
                <w:color w:val="000000" w:themeColor="text1"/>
                <w:highlight w:val="none"/>
                <w:lang w:val="en-US" w:eastAsia="zh-CN"/>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02</w:t>
            </w:r>
            <w:r>
              <w:rPr>
                <w:rFonts w:hint="default"/>
                <w:color w:val="000000" w:themeColor="text1"/>
                <w:highlight w:val="none"/>
                <w:lang w:val="en-US" w:eastAsia="zh-CN"/>
                <w14:textFill>
                  <w14:solidFill>
                    <w14:schemeClr w14:val="tx1"/>
                  </w14:solidFill>
                </w14:textFill>
              </w:rPr>
              <w:t>E-04</w:t>
            </w:r>
            <w:r>
              <w:rPr>
                <w:rFonts w:hint="eastAsia"/>
                <w:color w:val="000000" w:themeColor="text1"/>
                <w:highlight w:val="none"/>
                <w:lang w:val="en-US" w:eastAsia="zh-CN"/>
                <w14:textFill>
                  <w14:solidFill>
                    <w14:schemeClr w14:val="tx1"/>
                  </w14:solidFill>
                </w14:textFill>
              </w:rPr>
              <w:t xml:space="preserve"> mg/m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，排放速率为</w:t>
            </w:r>
            <w:r>
              <w:rPr>
                <w:rFonts w:hint="default"/>
                <w:color w:val="000000" w:themeColor="text1"/>
                <w:highlight w:val="none"/>
                <w:lang w:val="en-US" w:eastAsia="zh-CN"/>
                <w14:textFill>
                  <w14:solidFill>
                    <w14:schemeClr w14:val="tx1"/>
                  </w14:solidFill>
                </w14:textFill>
              </w:rPr>
              <w:t>1.84E-06</w:t>
            </w:r>
            <w:r>
              <w:rPr>
                <w:rFonts w:hint="eastAsia"/>
                <w:color w:val="000000" w:themeColor="text1"/>
                <w:highlight w:val="none"/>
                <w:lang w:val="en-US" w:eastAsia="zh-CN"/>
                <w14:textFill>
                  <w14:solidFill>
                    <w14:schemeClr w14:val="tx1"/>
                  </w14:solidFill>
                </w14:textFill>
              </w:rPr>
              <w:t xml:space="preserve"> kg/h，沥青烟排放浓度为0.38 mg/m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，排放速率为0.0069 kg/h，颗粒物排放浓度为1.15 mg/m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vertAlign w:val="baseline"/>
                <w:lang w:val="en-US" w:eastAsia="zh-CN"/>
                <w14:textFill>
                  <w14:solidFill>
                    <w14:schemeClr w14:val="tx1"/>
                  </w14:solidFill>
                </w14:textFill>
              </w:rPr>
              <w:t>，排放速率为0.0207</w:t>
            </w:r>
            <w:r>
              <w:rPr>
                <w:rFonts w:hint="eastAsia"/>
                <w:color w:val="000000" w:themeColor="text1"/>
                <w:sz w:val="24"/>
                <w:szCs w:val="24"/>
                <w:highlight w:val="none"/>
                <w:vertAlign w:val="baseline"/>
                <w:lang w:val="en-US" w:eastAsia="zh-CN"/>
                <w14:textFill>
                  <w14:solidFill>
                    <w14:schemeClr w14:val="tx1"/>
                  </w14:solidFill>
                </w14:textFill>
              </w:rPr>
              <w:t xml:space="preserve"> kg/h</w:t>
            </w:r>
            <w:r>
              <w:rPr>
                <w:rFonts w:hint="eastAsia"/>
                <w:color w:val="000000" w:themeColor="text1"/>
                <w:sz w:val="24"/>
                <w:szCs w:val="24"/>
                <w:highlight w:val="none"/>
                <w:lang w:val="en-US" w:eastAsia="zh-CN"/>
                <w14:textFill>
                  <w14:solidFill>
                    <w14:schemeClr w14:val="tx1"/>
                  </w14:solidFill>
                </w14:textFill>
              </w:rPr>
              <w:t>，均可达到</w:t>
            </w:r>
            <w:r>
              <w:rPr>
                <w:rFonts w:hint="eastAsia" w:ascii="Times New Roman" w:hAnsi="Times New Roman" w:eastAsia="宋体" w:cs="Times New Roman"/>
                <w:color w:val="000000" w:themeColor="text1"/>
                <w:sz w:val="24"/>
                <w:szCs w:val="24"/>
                <w:highlight w:val="none"/>
                <w14:textFill>
                  <w14:solidFill>
                    <w14:schemeClr w14:val="tx1"/>
                  </w14:solidFill>
                </w14:textFill>
              </w:rPr>
              <w:t>《大气污染物综合排放标准》（GB16297-1996）表2中二级标准</w:t>
            </w:r>
            <w:r>
              <w:rPr>
                <w:color w:val="000000" w:themeColor="text1"/>
                <w:sz w:val="24"/>
                <w:szCs w:val="24"/>
                <w:highlight w:val="none"/>
                <w14:textFill>
                  <w14:solidFill>
                    <w14:schemeClr w14:val="tx1"/>
                  </w14:solidFill>
                </w14:textFill>
              </w:rPr>
              <w:t>（即：</w:t>
            </w:r>
            <w:r>
              <w:rPr>
                <w:rFonts w:hint="eastAsia"/>
                <w:color w:val="000000" w:themeColor="text1"/>
                <w:sz w:val="24"/>
                <w:szCs w:val="24"/>
                <w:highlight w:val="none"/>
                <w:lang w:val="en-US" w:eastAsia="zh-CN"/>
                <w14:textFill>
                  <w14:solidFill>
                    <w14:schemeClr w14:val="tx1"/>
                  </w14:solidFill>
                </w14:textFill>
              </w:rPr>
              <w:t>苯并[a]芘</w:t>
            </w:r>
            <w:r>
              <w:rPr>
                <w:color w:val="000000" w:themeColor="text1"/>
                <w:sz w:val="24"/>
                <w:szCs w:val="24"/>
                <w:highlight w:val="none"/>
                <w14:textFill>
                  <w14:solidFill>
                    <w14:schemeClr w14:val="tx1"/>
                  </w14:solidFill>
                </w14:textFill>
              </w:rPr>
              <w:t>排放浓度≤</w:t>
            </w:r>
            <w:r>
              <w:rPr>
                <w:rFonts w:hint="eastAsia"/>
                <w:color w:val="000000" w:themeColor="text1"/>
                <w:sz w:val="24"/>
                <w:szCs w:val="24"/>
                <w:highlight w:val="none"/>
                <w:lang w:val="en-US" w:eastAsia="zh-CN"/>
                <w14:textFill>
                  <w14:solidFill>
                    <w14:schemeClr w14:val="tx1"/>
                  </w14:solidFill>
                </w14:textFill>
              </w:rPr>
              <w:t>0.0003</w:t>
            </w:r>
            <w:r>
              <w:rPr>
                <w:color w:val="000000" w:themeColor="text1"/>
                <w:sz w:val="24"/>
                <w:szCs w:val="24"/>
                <w:highlight w:val="none"/>
                <w14:textFill>
                  <w14:solidFill>
                    <w14:schemeClr w14:val="tx1"/>
                  </w14:solidFill>
                </w14:textFill>
              </w:rPr>
              <w:t xml:space="preserve"> mg/m</w:t>
            </w:r>
            <w:r>
              <w:rPr>
                <w:color w:val="000000" w:themeColor="text1"/>
                <w:sz w:val="24"/>
                <w:szCs w:val="24"/>
                <w:highlight w:val="none"/>
                <w:vertAlign w:val="superscript"/>
                <w14:textFill>
                  <w14:solidFill>
                    <w14:schemeClr w14:val="tx1"/>
                  </w14:solidFill>
                </w14:textFill>
              </w:rPr>
              <w:t>3</w:t>
            </w:r>
            <w:r>
              <w:rPr>
                <w:color w:val="000000" w:themeColor="text1"/>
                <w:sz w:val="24"/>
                <w:szCs w:val="24"/>
                <w:highlight w:val="none"/>
                <w14:textFill>
                  <w14:solidFill>
                    <w14:schemeClr w14:val="tx1"/>
                  </w14:solidFill>
                </w14:textFill>
              </w:rPr>
              <w:t>，排放速率≤</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0.050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14:textFill>
                  <w14:solidFill>
                    <w14:schemeClr w14:val="tx1"/>
                  </w14:solidFill>
                </w14:textFill>
              </w:rPr>
              <w:t>10</w:t>
            </w:r>
            <w:r>
              <w:rPr>
                <w:rFonts w:hint="eastAsia"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color w:val="000000" w:themeColor="text1"/>
                <w:sz w:val="24"/>
                <w:szCs w:val="24"/>
                <w:highlight w:val="none"/>
                <w14:textFill>
                  <w14:solidFill>
                    <w14:schemeClr w14:val="tx1"/>
                  </w14:solidFill>
                </w14:textFill>
              </w:rPr>
              <w:t xml:space="preserve"> kg/h</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沥青烟排放浓度</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75</w:t>
            </w:r>
            <w:r>
              <w:rPr>
                <w:color w:val="000000" w:themeColor="text1"/>
                <w:sz w:val="24"/>
                <w:szCs w:val="24"/>
                <w:highlight w:val="none"/>
                <w14:textFill>
                  <w14:solidFill>
                    <w14:schemeClr w14:val="tx1"/>
                  </w14:solidFill>
                </w14:textFill>
              </w:rPr>
              <w:t xml:space="preserve"> mg/m</w:t>
            </w:r>
            <w:r>
              <w:rPr>
                <w:color w:val="000000" w:themeColor="text1"/>
                <w:sz w:val="24"/>
                <w:szCs w:val="24"/>
                <w:highlight w:val="none"/>
                <w:vertAlign w:val="superscript"/>
                <w14:textFill>
                  <w14:solidFill>
                    <w14:schemeClr w14:val="tx1"/>
                  </w14:solidFill>
                </w14:textFill>
              </w:rPr>
              <w:t>3</w:t>
            </w:r>
            <w:r>
              <w:rPr>
                <w:color w:val="000000" w:themeColor="text1"/>
                <w:sz w:val="24"/>
                <w:szCs w:val="24"/>
                <w:highlight w:val="none"/>
                <w14:textFill>
                  <w14:solidFill>
                    <w14:schemeClr w14:val="tx1"/>
                  </w14:solidFill>
                </w14:textFill>
              </w:rPr>
              <w:t>，排放速率≤</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0.18</w:t>
            </w:r>
            <w:r>
              <w:rPr>
                <w:color w:val="000000" w:themeColor="text1"/>
                <w:sz w:val="24"/>
                <w:szCs w:val="24"/>
                <w:highlight w:val="none"/>
                <w14:textFill>
                  <w14:solidFill>
                    <w14:schemeClr w14:val="tx1"/>
                  </w14:solidFill>
                </w14:textFill>
              </w:rPr>
              <w:t xml:space="preserve"> kg/h</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颗粒物排放浓度</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120</w:t>
            </w:r>
            <w:r>
              <w:rPr>
                <w:color w:val="000000" w:themeColor="text1"/>
                <w:sz w:val="24"/>
                <w:szCs w:val="24"/>
                <w:highlight w:val="none"/>
                <w14:textFill>
                  <w14:solidFill>
                    <w14:schemeClr w14:val="tx1"/>
                  </w14:solidFill>
                </w14:textFill>
              </w:rPr>
              <w:t xml:space="preserve"> mg/m</w:t>
            </w:r>
            <w:r>
              <w:rPr>
                <w:color w:val="000000" w:themeColor="text1"/>
                <w:sz w:val="24"/>
                <w:szCs w:val="24"/>
                <w:highlight w:val="none"/>
                <w:vertAlign w:val="superscript"/>
                <w14:textFill>
                  <w14:solidFill>
                    <w14:schemeClr w14:val="tx1"/>
                  </w14:solidFill>
                </w14:textFill>
              </w:rPr>
              <w:t>3</w:t>
            </w:r>
            <w:r>
              <w:rPr>
                <w:color w:val="000000" w:themeColor="text1"/>
                <w:sz w:val="24"/>
                <w:szCs w:val="24"/>
                <w:highlight w:val="none"/>
                <w14:textFill>
                  <w14:solidFill>
                    <w14:schemeClr w14:val="tx1"/>
                  </w14:solidFill>
                </w14:textFill>
              </w:rPr>
              <w:t>，排放速率≤</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3.5</w:t>
            </w:r>
            <w:r>
              <w:rPr>
                <w:color w:val="000000" w:themeColor="text1"/>
                <w:sz w:val="24"/>
                <w:szCs w:val="24"/>
                <w:highlight w:val="none"/>
                <w14:textFill>
                  <w14:solidFill>
                    <w14:schemeClr w14:val="tx1"/>
                  </w14:solidFill>
                </w14:textFill>
              </w:rPr>
              <w:t xml:space="preserve"> kg/h</w:t>
            </w:r>
            <w:r>
              <w:rPr>
                <w:rFonts w:hint="eastAsia"/>
                <w:color w:val="000000" w:themeColor="text1"/>
                <w:sz w:val="24"/>
                <w:szCs w:val="24"/>
                <w:highlight w:val="none"/>
                <w:lang w:eastAsia="zh-CN"/>
                <w14:textFill>
                  <w14:solidFill>
                    <w14:schemeClr w14:val="tx1"/>
                  </w14:solidFill>
                </w14:textFill>
              </w:rPr>
              <w:t>）。</w:t>
            </w:r>
          </w:p>
          <w:p w14:paraId="1566AD3A">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项目全厂废气经收集处理后，均可达到相应废气排放标准要求，在切实落实好大气防治措施的情况下，项目废气排放对周边环境影响较小，因此从大气影响角度看项目对周边的影响在可接受范围内。</w:t>
            </w:r>
          </w:p>
          <w:p w14:paraId="6D6EE3EA">
            <w:pPr>
              <w:pStyle w:val="3"/>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环境防护距离</w:t>
            </w:r>
          </w:p>
          <w:p w14:paraId="6C7B6F0E">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（1）大气环境防护距离</w:t>
            </w:r>
          </w:p>
          <w:p w14:paraId="30A41030">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根据《环境影响评价技术导则 大气环境》(HJ2.2-2018)中8.7.5.1，“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p>
          <w:p w14:paraId="59F4ED39">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经计算，本项目排放的</w:t>
            </w:r>
            <w:r>
              <w:rPr>
                <w:rFonts w:hint="eastAsia"/>
                <w:color w:val="000000" w:themeColor="text1"/>
                <w:highlight w:val="none"/>
                <w:lang w:val="en-US" w:eastAsia="zh-CN"/>
                <w14:textFill>
                  <w14:solidFill>
                    <w14:schemeClr w14:val="tx1"/>
                  </w14:solidFill>
                </w14:textFill>
              </w:rPr>
              <w:t>非甲烷总烃、苯并[a]芘、TSP</w:t>
            </w:r>
            <w:r>
              <w:rPr>
                <w:rFonts w:hint="default"/>
                <w:color w:val="000000" w:themeColor="text1"/>
                <w:highlight w:val="none"/>
                <w:lang w:val="en-US" w:eastAsia="zh-CN"/>
                <w14:textFill>
                  <w14:solidFill>
                    <w14:schemeClr w14:val="tx1"/>
                  </w14:solidFill>
                </w14:textFill>
              </w:rPr>
              <w:t>厂界浓度均符合</w:t>
            </w:r>
            <w:r>
              <w:rPr>
                <w:rFonts w:hint="eastAsia"/>
                <w:color w:val="000000" w:themeColor="text1"/>
                <w:highlight w:val="none"/>
                <w14:textFill>
                  <w14:solidFill>
                    <w14:schemeClr w14:val="tx1"/>
                  </w14:solidFill>
                </w14:textFill>
              </w:rPr>
              <w:t>《大气污染物综合排放标准》（GB16297-1996）表2中无组织排放</w:t>
            </w:r>
            <w:r>
              <w:rPr>
                <w:rFonts w:hint="eastAsia"/>
                <w:color w:val="000000" w:themeColor="text1"/>
                <w:highlight w:val="none"/>
                <w:lang w:val="en-US" w:eastAsia="zh-CN"/>
                <w14:textFill>
                  <w14:solidFill>
                    <w14:schemeClr w14:val="tx1"/>
                  </w14:solidFill>
                </w14:textFill>
              </w:rPr>
              <w:t>监控浓度</w:t>
            </w:r>
            <w:r>
              <w:rPr>
                <w:rFonts w:hint="eastAsia"/>
                <w:color w:val="000000" w:themeColor="text1"/>
                <w:highlight w:val="none"/>
                <w14:textFill>
                  <w14:solidFill>
                    <w14:schemeClr w14:val="tx1"/>
                  </w14:solidFill>
                </w14:textFill>
              </w:rPr>
              <w:t>限值</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《工业企业挥发性有机物排放标准》（DB35/1782-2018）表3企业边界监控浓度限值</w:t>
            </w:r>
            <w:r>
              <w:rPr>
                <w:rFonts w:hint="default"/>
                <w:color w:val="000000" w:themeColor="text1"/>
                <w:highlight w:val="none"/>
                <w:lang w:val="en-US" w:eastAsia="zh-CN"/>
                <w14:textFill>
                  <w14:solidFill>
                    <w14:schemeClr w14:val="tx1"/>
                  </w14:solidFill>
                </w14:textFill>
              </w:rPr>
              <w:t>及《环境空气质量标准》(GB3095-2012)中的二级标准</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14:textFill>
                  <w14:solidFill>
                    <w14:schemeClr w14:val="tx1"/>
                  </w14:solidFill>
                </w14:textFill>
              </w:rPr>
              <w:t>《大气污染物综合排放</w:t>
            </w:r>
            <w:r>
              <w:rPr>
                <w:rFonts w:hint="default"/>
                <w:color w:val="000000" w:themeColor="text1"/>
                <w:highlight w:val="none"/>
                <w:lang w:val="en-US" w:eastAsia="zh-CN"/>
                <w14:textFill>
                  <w14:solidFill>
                    <w14:schemeClr w14:val="tx1"/>
                  </w14:solidFill>
                </w14:textFill>
              </w:rPr>
              <w:t>标准</w:t>
            </w:r>
            <w:r>
              <w:rPr>
                <w:rFonts w:hint="default"/>
                <w:color w:val="000000" w:themeColor="text1"/>
                <w:highlight w:val="none"/>
                <w14:textFill>
                  <w14:solidFill>
                    <w14:schemeClr w14:val="tx1"/>
                  </w14:solidFill>
                </w14:textFill>
              </w:rPr>
              <w:t>详解》</w:t>
            </w:r>
            <w:r>
              <w:rPr>
                <w:rFonts w:hint="default"/>
                <w:color w:val="000000" w:themeColor="text1"/>
                <w:highlight w:val="none"/>
                <w:lang w:val="en-US" w:eastAsia="zh-CN"/>
                <w14:textFill>
                  <w14:solidFill>
                    <w14:schemeClr w14:val="tx1"/>
                  </w14:solidFill>
                </w14:textFill>
              </w:rPr>
              <w:t>，因此，无需设置大气环境防护距离。</w:t>
            </w:r>
          </w:p>
          <w:p w14:paraId="01185EB5">
            <w:pPr>
              <w:numPr>
                <w:ilvl w:val="0"/>
                <w:numId w:val="0"/>
              </w:numPr>
              <w:tabs>
                <w:tab w:val="left" w:pos="420"/>
              </w:tabs>
              <w:bidi w:val="0"/>
              <w:ind w:leftChars="20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（2）环境防护距离</w:t>
            </w:r>
          </w:p>
          <w:p w14:paraId="5487DB83">
            <w:pP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本项目的</w:t>
            </w:r>
            <w:r>
              <w:rPr>
                <w:rFonts w:hint="eastAsia"/>
                <w:color w:val="000000" w:themeColor="text1"/>
                <w:highlight w:val="none"/>
                <w:lang w:val="en-US" w:eastAsia="zh-CN"/>
                <w14:textFill>
                  <w14:solidFill>
                    <w14:schemeClr w14:val="tx1"/>
                  </w14:solidFill>
                </w14:textFill>
              </w:rPr>
              <w:t>环境</w:t>
            </w:r>
            <w:r>
              <w:rPr>
                <w:rFonts w:hint="default"/>
                <w:color w:val="000000" w:themeColor="text1"/>
                <w:highlight w:val="none"/>
                <w14:textFill>
                  <w14:solidFill>
                    <w14:schemeClr w14:val="tx1"/>
                  </w14:solidFill>
                </w14:textFill>
              </w:rPr>
              <w:t>防护距离</w:t>
            </w:r>
            <w:r>
              <w:rPr>
                <w:rFonts w:hint="default"/>
                <w:color w:val="000000" w:themeColor="text1"/>
                <w:highlight w:val="none"/>
                <w:lang w:val="en-US" w:eastAsia="zh-CN"/>
                <w14:textFill>
                  <w14:solidFill>
                    <w14:schemeClr w14:val="tx1"/>
                  </w14:solidFill>
                </w14:textFill>
              </w:rPr>
              <w:t>参照</w:t>
            </w:r>
            <w:r>
              <w:rPr>
                <w:rFonts w:hint="default"/>
                <w:color w:val="000000" w:themeColor="text1"/>
                <w:highlight w:val="none"/>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大气有害物质无组织排放卫生防护距离推导技术导则</w:t>
            </w:r>
            <w:r>
              <w:rPr>
                <w:rFonts w:hint="default"/>
                <w:color w:val="000000" w:themeColor="text1"/>
                <w:highlight w:val="none"/>
                <w14:textFill>
                  <w14:solidFill>
                    <w14:schemeClr w14:val="tx1"/>
                  </w14:solidFill>
                </w14:textFill>
              </w:rPr>
              <w:t>》（GB/T</w:t>
            </w:r>
            <w:r>
              <w:rPr>
                <w:rFonts w:hint="default"/>
                <w:color w:val="000000" w:themeColor="text1"/>
                <w:highlight w:val="none"/>
                <w:lang w:val="en-US" w:eastAsia="zh-CN"/>
                <w14:textFill>
                  <w14:solidFill>
                    <w14:schemeClr w14:val="tx1"/>
                  </w14:solidFill>
                </w14:textFill>
              </w:rPr>
              <w:t>39499</w:t>
            </w:r>
            <w:r>
              <w:rPr>
                <w:rFonts w:hint="default"/>
                <w:color w:val="000000" w:themeColor="text1"/>
                <w:highlight w:val="none"/>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2020</w:t>
            </w:r>
            <w:r>
              <w:rPr>
                <w:rFonts w:hint="default"/>
                <w:color w:val="000000" w:themeColor="text1"/>
                <w:highlight w:val="none"/>
                <w14:textFill>
                  <w14:solidFill>
                    <w14:schemeClr w14:val="tx1"/>
                  </w14:solidFill>
                </w14:textFill>
              </w:rPr>
              <w:t>）中规定的方法及当地的污染气象条件来确定。计算公式如下：</w:t>
            </w:r>
          </w:p>
          <w:p w14:paraId="52931049">
            <w:pPr>
              <w:bidi w:val="0"/>
              <w:ind w:left="0" w:leftChars="0" w:firstLine="0" w:firstLineChars="0"/>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position w:val="-30"/>
                <w:highlight w:val="none"/>
                <w:lang w:eastAsia="zh-CN"/>
                <w14:textFill>
                  <w14:solidFill>
                    <w14:schemeClr w14:val="tx1"/>
                  </w14:solidFill>
                </w14:textFill>
              </w:rPr>
              <w:object>
                <v:shape id="_x0000_i1031" o:spt="75" type="#_x0000_t75" style="height:34pt;width:135pt;" o:ole="t" filled="f" o:preferrelative="t" stroked="f" coordsize="21600,21600">
                  <v:path/>
                  <v:fill on="f" focussize="0,0"/>
                  <v:stroke on="f"/>
                  <v:imagedata r:id="rId44" o:title=""/>
                  <o:lock v:ext="edit" aspectratio="t"/>
                  <w10:wrap type="none"/>
                  <w10:anchorlock/>
                </v:shape>
                <o:OLEObject Type="Embed" ProgID="Equation.KSEE3" ShapeID="_x0000_i1031" DrawAspect="Content" ObjectID="_1468075731" r:id="rId43">
                  <o:LockedField>false</o:LockedField>
                </o:OLEObject>
              </w:object>
            </w:r>
          </w:p>
          <w:p w14:paraId="6FA7EF41">
            <w:pP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式中：Q</w:t>
            </w:r>
            <w:r>
              <w:rPr>
                <w:rFonts w:hint="default" w:ascii="Times New Roman" w:hAnsi="Times New Roman" w:eastAsia="宋体" w:cs="Times New Roman"/>
                <w:color w:val="000000" w:themeColor="text1"/>
                <w:highlight w:val="none"/>
                <w:vertAlign w:val="subscript"/>
                <w14:textFill>
                  <w14:solidFill>
                    <w14:schemeClr w14:val="tx1"/>
                  </w14:solidFill>
                </w14:textFill>
              </w:rPr>
              <w:t>c</w:t>
            </w: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大气中有害物质的无组织排放量，单位</w:t>
            </w:r>
            <w:r>
              <w:rPr>
                <w:rFonts w:hint="eastAsia" w:cs="Times New Roman"/>
                <w:color w:val="000000" w:themeColor="text1"/>
                <w:highlight w:val="none"/>
                <w:lang w:val="en-US" w:eastAsia="zh-CN"/>
                <w14:textFill>
                  <w14:solidFill>
                    <w14:schemeClr w14:val="tx1"/>
                  </w14:solidFill>
                </w14:textFill>
              </w:rPr>
              <w:t>为</w:t>
            </w:r>
            <w:r>
              <w:rPr>
                <w:rFonts w:hint="default" w:ascii="Times New Roman" w:hAnsi="Times New Roman" w:cs="Times New Roman"/>
                <w:color w:val="000000" w:themeColor="text1"/>
                <w:highlight w:val="none"/>
                <w:lang w:val="en-US" w:eastAsia="zh-CN"/>
                <w14:textFill>
                  <w14:solidFill>
                    <w14:schemeClr w14:val="tx1"/>
                  </w14:solidFill>
                </w14:textFill>
              </w:rPr>
              <w:t>千克每小时（</w:t>
            </w:r>
            <w:r>
              <w:rPr>
                <w:rFonts w:hint="default" w:ascii="Times New Roman" w:hAnsi="Times New Roman" w:eastAsia="宋体" w:cs="Times New Roman"/>
                <w:color w:val="000000" w:themeColor="text1"/>
                <w:highlight w:val="none"/>
                <w14:textFill>
                  <w14:solidFill>
                    <w14:schemeClr w14:val="tx1"/>
                  </w14:solidFill>
                </w14:textFill>
              </w:rPr>
              <w:t>kg/h</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w:t>
            </w:r>
          </w:p>
          <w:p w14:paraId="1FBA68E2">
            <w:pPr>
              <w:keepNext w:val="0"/>
              <w:keepLines w:val="0"/>
              <w:pageBreakBefore w:val="0"/>
              <w:widowControl w:val="0"/>
              <w:kinsoku/>
              <w:wordWrap/>
              <w:overflowPunct/>
              <w:topLinePunct w:val="0"/>
              <w:autoSpaceDE/>
              <w:autoSpaceDN/>
              <w:bidi w:val="0"/>
              <w:adjustRightInd/>
              <w:snapToGrid/>
              <w:ind w:left="720" w:leftChars="30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C</w:t>
            </w:r>
            <w:r>
              <w:rPr>
                <w:rFonts w:hint="default" w:ascii="Times New Roman" w:hAnsi="Times New Roman" w:eastAsia="宋体" w:cs="Times New Roman"/>
                <w:color w:val="000000" w:themeColor="text1"/>
                <w:highlight w:val="none"/>
                <w:vertAlign w:val="subscript"/>
                <w14:textFill>
                  <w14:solidFill>
                    <w14:schemeClr w14:val="tx1"/>
                  </w14:solidFill>
                </w14:textFill>
              </w:rPr>
              <w:t>m</w:t>
            </w: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大气中有害物质环境空气质量的</w:t>
            </w:r>
            <w:r>
              <w:rPr>
                <w:rFonts w:hint="default" w:ascii="Times New Roman" w:hAnsi="Times New Roman" w:eastAsia="宋体" w:cs="Times New Roman"/>
                <w:color w:val="000000" w:themeColor="text1"/>
                <w:highlight w:val="none"/>
                <w14:textFill>
                  <w14:solidFill>
                    <w14:schemeClr w14:val="tx1"/>
                  </w14:solidFill>
                </w14:textFill>
              </w:rPr>
              <w:t>标准限值，</w:t>
            </w:r>
            <w:r>
              <w:rPr>
                <w:rFonts w:hint="default" w:ascii="Times New Roman" w:hAnsi="Times New Roman" w:cs="Times New Roman"/>
                <w:color w:val="000000" w:themeColor="text1"/>
                <w:highlight w:val="none"/>
                <w:lang w:val="en-US" w:eastAsia="zh-CN"/>
                <w14:textFill>
                  <w14:solidFill>
                    <w14:schemeClr w14:val="tx1"/>
                  </w14:solidFill>
                </w14:textFill>
              </w:rPr>
              <w:t>单位</w:t>
            </w:r>
            <w:r>
              <w:rPr>
                <w:rFonts w:hint="eastAsia" w:cs="Times New Roman"/>
                <w:color w:val="000000" w:themeColor="text1"/>
                <w:highlight w:val="none"/>
                <w:lang w:val="en-US" w:eastAsia="zh-CN"/>
                <w14:textFill>
                  <w14:solidFill>
                    <w14:schemeClr w14:val="tx1"/>
                  </w14:solidFill>
                </w14:textFill>
              </w:rPr>
              <w:t>为</w:t>
            </w:r>
            <w:r>
              <w:rPr>
                <w:rFonts w:hint="default" w:ascii="Times New Roman" w:hAnsi="Times New Roman" w:cs="Times New Roman"/>
                <w:color w:val="000000" w:themeColor="text1"/>
                <w:highlight w:val="none"/>
                <w:lang w:val="en-US" w:eastAsia="zh-CN"/>
                <w14:textFill>
                  <w14:solidFill>
                    <w14:schemeClr w14:val="tx1"/>
                  </w14:solidFill>
                </w14:textFill>
              </w:rPr>
              <w:t>毫克每立方米</w:t>
            </w:r>
            <w:r>
              <w:rPr>
                <w:rFonts w:hint="default" w:ascii="Times New Roman" w:hAnsi="Times New Roman" w:eastAsia="宋体" w:cs="Times New Roman"/>
                <w:color w:val="000000" w:themeColor="text1"/>
                <w:highlight w:val="none"/>
                <w14:textFill>
                  <w14:solidFill>
                    <w14:schemeClr w14:val="tx1"/>
                  </w14:solidFill>
                </w14:textFill>
              </w:rPr>
              <w:t>mg/m³；</w:t>
            </w:r>
          </w:p>
          <w:p w14:paraId="0074B8FC">
            <w:pPr>
              <w:keepNext w:val="0"/>
              <w:keepLines w:val="0"/>
              <w:pageBreakBefore w:val="0"/>
              <w:widowControl w:val="0"/>
              <w:kinsoku/>
              <w:wordWrap/>
              <w:overflowPunct/>
              <w:topLinePunct w:val="0"/>
              <w:autoSpaceDE/>
              <w:autoSpaceDN/>
              <w:bidi w:val="0"/>
              <w:adjustRightInd/>
              <w:snapToGrid/>
              <w:ind w:left="720" w:leftChars="30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L——</w:t>
            </w:r>
            <w:r>
              <w:rPr>
                <w:rFonts w:hint="default" w:ascii="Times New Roman" w:hAnsi="Times New Roman" w:cs="Times New Roman"/>
                <w:color w:val="000000" w:themeColor="text1"/>
                <w:highlight w:val="none"/>
                <w:lang w:val="en-US" w:eastAsia="zh-CN"/>
                <w14:textFill>
                  <w14:solidFill>
                    <w14:schemeClr w14:val="tx1"/>
                  </w14:solidFill>
                </w14:textFill>
              </w:rPr>
              <w:t>大气中有害物质</w:t>
            </w:r>
            <w:r>
              <w:rPr>
                <w:rFonts w:hint="default" w:ascii="Times New Roman" w:hAnsi="Times New Roman" w:eastAsia="宋体" w:cs="Times New Roman"/>
                <w:color w:val="000000" w:themeColor="text1"/>
                <w:highlight w:val="none"/>
                <w14:textFill>
                  <w14:solidFill>
                    <w14:schemeClr w14:val="tx1"/>
                  </w14:solidFill>
                </w14:textFill>
              </w:rPr>
              <w:t>卫生防护距离</w:t>
            </w:r>
            <w:r>
              <w:rPr>
                <w:rFonts w:hint="default" w:ascii="Times New Roman" w:hAnsi="Times New Roman" w:cs="Times New Roman"/>
                <w:color w:val="000000" w:themeColor="text1"/>
                <w:highlight w:val="none"/>
                <w:lang w:val="en-US" w:eastAsia="zh-CN"/>
                <w14:textFill>
                  <w14:solidFill>
                    <w14:schemeClr w14:val="tx1"/>
                  </w14:solidFill>
                </w14:textFill>
              </w:rPr>
              <w:t>初值</w:t>
            </w: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单位为米（</w:t>
            </w:r>
            <w:r>
              <w:rPr>
                <w:rFonts w:hint="default" w:ascii="Times New Roman" w:hAnsi="Times New Roman" w:eastAsia="宋体" w:cs="Times New Roman"/>
                <w:color w:val="000000" w:themeColor="text1"/>
                <w:highlight w:val="none"/>
                <w14:textFill>
                  <w14:solidFill>
                    <w14:schemeClr w14:val="tx1"/>
                  </w14:solidFill>
                </w14:textFill>
              </w:rPr>
              <w:t>m</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w:t>
            </w:r>
          </w:p>
          <w:p w14:paraId="130D47C3">
            <w:pPr>
              <w:keepNext w:val="0"/>
              <w:keepLines w:val="0"/>
              <w:pageBreakBefore w:val="0"/>
              <w:widowControl w:val="0"/>
              <w:kinsoku/>
              <w:wordWrap/>
              <w:overflowPunct/>
              <w:topLinePunct w:val="0"/>
              <w:autoSpaceDE/>
              <w:autoSpaceDN/>
              <w:bidi w:val="0"/>
              <w:adjustRightInd/>
              <w:snapToGrid/>
              <w:ind w:left="720" w:leftChars="30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r</w:t>
            </w: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大气中有害物质</w:t>
            </w:r>
            <w:r>
              <w:rPr>
                <w:rFonts w:hint="default" w:ascii="Times New Roman" w:hAnsi="Times New Roman" w:eastAsia="宋体" w:cs="Times New Roman"/>
                <w:color w:val="000000" w:themeColor="text1"/>
                <w:highlight w:val="none"/>
                <w14:textFill>
                  <w14:solidFill>
                    <w14:schemeClr w14:val="tx1"/>
                  </w14:solidFill>
                </w14:textFill>
              </w:rPr>
              <w:t>无组织排放源所在生产单元的等效半径，</w:t>
            </w:r>
            <w:r>
              <w:rPr>
                <w:rFonts w:hint="default" w:ascii="Times New Roman" w:hAnsi="Times New Roman" w:cs="Times New Roman"/>
                <w:color w:val="000000" w:themeColor="text1"/>
                <w:highlight w:val="none"/>
                <w:lang w:val="en-US" w:eastAsia="zh-CN"/>
                <w14:textFill>
                  <w14:solidFill>
                    <w14:schemeClr w14:val="tx1"/>
                  </w14:solidFill>
                </w14:textFill>
              </w:rPr>
              <w:t>单位为米（</w:t>
            </w:r>
            <w:r>
              <w:rPr>
                <w:rFonts w:hint="default" w:ascii="Times New Roman" w:hAnsi="Times New Roman" w:eastAsia="宋体" w:cs="Times New Roman"/>
                <w:color w:val="000000" w:themeColor="text1"/>
                <w:highlight w:val="none"/>
                <w14:textFill>
                  <w14:solidFill>
                    <w14:schemeClr w14:val="tx1"/>
                  </w14:solidFill>
                </w14:textFill>
              </w:rPr>
              <w:t>m</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w:t>
            </w:r>
          </w:p>
          <w:p w14:paraId="1AF3BD24">
            <w:pPr>
              <w:keepNext w:val="0"/>
              <w:keepLines w:val="0"/>
              <w:pageBreakBefore w:val="0"/>
              <w:widowControl w:val="0"/>
              <w:kinsoku/>
              <w:wordWrap/>
              <w:overflowPunct/>
              <w:topLinePunct w:val="0"/>
              <w:autoSpaceDE/>
              <w:autoSpaceDN/>
              <w:bidi w:val="0"/>
              <w:adjustRightInd/>
              <w:snapToGrid/>
              <w:ind w:left="720" w:leftChars="30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A、B、C、D</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卫生防护距离</w:t>
            </w:r>
            <w:r>
              <w:rPr>
                <w:rFonts w:hint="default" w:ascii="Times New Roman" w:hAnsi="Times New Roman" w:cs="Times New Roman"/>
                <w:color w:val="000000" w:themeColor="text1"/>
                <w:highlight w:val="none"/>
                <w:lang w:val="en-US" w:eastAsia="zh-CN"/>
                <w14:textFill>
                  <w14:solidFill>
                    <w14:schemeClr w14:val="tx1"/>
                  </w14:solidFill>
                </w14:textFill>
              </w:rPr>
              <w:t>初值</w:t>
            </w:r>
            <w:r>
              <w:rPr>
                <w:rFonts w:hint="default" w:ascii="Times New Roman" w:hAnsi="Times New Roman" w:eastAsia="宋体" w:cs="Times New Roman"/>
                <w:color w:val="000000" w:themeColor="text1"/>
                <w:highlight w:val="none"/>
                <w14:textFill>
                  <w14:solidFill>
                    <w14:schemeClr w14:val="tx1"/>
                  </w14:solidFill>
                </w14:textFill>
              </w:rPr>
              <w:t>计算系数，无因次，根据工业企业所在地区近</w:t>
            </w:r>
            <w:r>
              <w:rPr>
                <w:rFonts w:hint="default" w:ascii="Times New Roman" w:hAnsi="Times New Roman" w:cs="Times New Roman"/>
                <w:color w:val="000000" w:themeColor="text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highlight w:val="none"/>
                <w14:textFill>
                  <w14:solidFill>
                    <w14:schemeClr w14:val="tx1"/>
                  </w14:solidFill>
                </w14:textFill>
              </w:rPr>
              <w:t>年平均风速及大气污染源构成类别</w:t>
            </w:r>
            <w:r>
              <w:rPr>
                <w:rFonts w:hint="default" w:ascii="Times New Roman" w:hAnsi="Times New Roman" w:eastAsia="宋体" w:cs="Times New Roman"/>
                <w:color w:val="000000" w:themeColor="text1"/>
                <w:highlight w:val="none"/>
                <w:lang w:eastAsia="zh-CN"/>
                <w14:textFill>
                  <w14:solidFill>
                    <w14:schemeClr w14:val="tx1"/>
                  </w14:solidFill>
                </w14:textFill>
              </w:rPr>
              <w:t>从</w:t>
            </w:r>
            <w:r>
              <w:rPr>
                <w:rFonts w:hint="default" w:ascii="Times New Roman" w:hAnsi="Times New Roman" w:eastAsia="宋体" w:cs="Times New Roman"/>
                <w:color w:val="000000" w:themeColor="text1"/>
                <w:highlight w:val="none"/>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highlight w:val="none"/>
                <w:lang w:val="en-US" w:eastAsia="zh-CN"/>
                <w14:textFill>
                  <w14:solidFill>
                    <w14:schemeClr w14:val="tx1"/>
                  </w14:solidFill>
                </w14:textFill>
              </w:rPr>
              <w:instrText xml:space="preserve"> REF _Ref17667 \n \h </w:instrText>
            </w:r>
            <w:r>
              <w:rPr>
                <w:rFonts w:hint="default" w:ascii="Times New Roman" w:hAnsi="Times New Roman" w:eastAsia="宋体" w:cs="Times New Roman"/>
                <w:color w:val="000000" w:themeColor="text1"/>
                <w:highlight w:val="none"/>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highlight w:val="none"/>
                <w:lang w:val="en-US" w:eastAsia="zh-CN"/>
                <w14:textFill>
                  <w14:solidFill>
                    <w14:schemeClr w14:val="tx1"/>
                  </w14:solidFill>
                </w14:textFill>
              </w:rPr>
              <w:t>表4.1-22</w:t>
            </w:r>
            <w:r>
              <w:rPr>
                <w:rFonts w:hint="default" w:ascii="Times New Roman" w:hAnsi="Times New Roman" w:eastAsia="宋体" w:cs="Times New Roman"/>
                <w:color w:val="000000" w:themeColor="text1"/>
                <w:highlight w:val="none"/>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highlight w:val="none"/>
                <w:lang w:val="en-US" w:eastAsia="zh-CN"/>
                <w14:textFill>
                  <w14:solidFill>
                    <w14:schemeClr w14:val="tx1"/>
                  </w14:solidFill>
                </w14:textFill>
              </w:rPr>
              <w:t>查取</w:t>
            </w:r>
            <w:r>
              <w:rPr>
                <w:rFonts w:hint="default" w:ascii="Times New Roman" w:hAnsi="Times New Roman" w:eastAsia="宋体" w:cs="Times New Roman"/>
                <w:color w:val="000000" w:themeColor="text1"/>
                <w:highlight w:val="none"/>
                <w14:textFill>
                  <w14:solidFill>
                    <w14:schemeClr w14:val="tx1"/>
                  </w14:solidFill>
                </w14:textFill>
              </w:rPr>
              <w:t>；</w:t>
            </w:r>
          </w:p>
          <w:p w14:paraId="0C63A120">
            <w:pPr>
              <w:keepNext w:val="0"/>
              <w:keepLines w:val="0"/>
              <w:pageBreakBefore w:val="0"/>
              <w:widowControl w:val="0"/>
              <w:kinsoku/>
              <w:wordWrap/>
              <w:overflowPunct/>
              <w:topLinePunct w:val="0"/>
              <w:autoSpaceDE/>
              <w:autoSpaceDN/>
              <w:bidi w:val="0"/>
              <w:adjustRightInd/>
              <w:snapToGrid/>
              <w:ind w:left="720" w:leftChars="300"/>
              <w:jc w:val="both"/>
              <w:textAlignment w:val="auto"/>
              <w:rPr>
                <w:rFonts w:hint="default" w:ascii="Times New Roman" w:hAnsi="Times New Roman" w:eastAsia="宋体" w:cs="Times New Roman"/>
                <w:color w:val="000000" w:themeColor="text1"/>
                <w:szCs w:val="22"/>
                <w:highlight w:val="none"/>
                <w14:textFill>
                  <w14:solidFill>
                    <w14:schemeClr w14:val="tx1"/>
                  </w14:solidFill>
                </w14:textFill>
              </w:rPr>
            </w:pPr>
            <w:r>
              <w:rPr>
                <w:rFonts w:hint="default" w:ascii="Times New Roman" w:hAnsi="Times New Roman" w:eastAsia="宋体" w:cs="Times New Roman"/>
                <w:color w:val="000000" w:themeColor="text1"/>
                <w:szCs w:val="22"/>
                <w:highlight w:val="none"/>
                <w14:textFill>
                  <w14:solidFill>
                    <w14:schemeClr w14:val="tx1"/>
                  </w14:solidFill>
                </w14:textFill>
              </w:rPr>
              <w:t>Q——工业企业有害气体无组织排放量可以达到的控制水平，kg/h。</w:t>
            </w:r>
          </w:p>
          <w:p w14:paraId="7B7FAE4C">
            <w:pPr>
              <w:pStyle w:val="30"/>
              <w:bidi w:val="0"/>
              <w:rPr>
                <w:rFonts w:hint="default"/>
                <w:color w:val="000000" w:themeColor="text1"/>
                <w:highlight w:val="none"/>
                <w:lang w:eastAsia="zh-CN"/>
                <w14:textFill>
                  <w14:solidFill>
                    <w14:schemeClr w14:val="tx1"/>
                  </w14:solidFill>
                </w14:textFill>
              </w:rPr>
            </w:pPr>
            <w:bookmarkStart w:id="199" w:name="_Ref17667"/>
            <w:r>
              <w:rPr>
                <w:rFonts w:hint="default"/>
                <w:color w:val="000000" w:themeColor="text1"/>
                <w:highlight w:val="none"/>
                <w:lang w:val="en-US" w:eastAsia="zh-CN"/>
                <w14:textFill>
                  <w14:solidFill>
                    <w14:schemeClr w14:val="tx1"/>
                  </w14:solidFill>
                </w14:textFill>
              </w:rPr>
              <w:t>卫生防护距离计算系数</w:t>
            </w:r>
            <w:bookmarkEnd w:id="199"/>
          </w:p>
          <w:tbl>
            <w:tblPr>
              <w:tblStyle w:val="18"/>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3"/>
              <w:gridCol w:w="2010"/>
              <w:gridCol w:w="549"/>
              <w:gridCol w:w="549"/>
              <w:gridCol w:w="556"/>
              <w:gridCol w:w="5"/>
              <w:gridCol w:w="544"/>
              <w:gridCol w:w="549"/>
              <w:gridCol w:w="561"/>
              <w:gridCol w:w="549"/>
              <w:gridCol w:w="549"/>
              <w:gridCol w:w="573"/>
            </w:tblGrid>
            <w:tr w14:paraId="5A33ED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85" w:type="pct"/>
                  <w:vMerge w:val="restart"/>
                  <w:tcBorders>
                    <w:tl2br w:val="nil"/>
                    <w:tr2bl w:val="nil"/>
                  </w:tcBorders>
                  <w:noWrap w:val="0"/>
                  <w:vAlign w:val="center"/>
                </w:tcPr>
                <w:p w14:paraId="123A9643">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计算系数</w:t>
                  </w:r>
                </w:p>
              </w:tc>
              <w:tc>
                <w:tcPr>
                  <w:tcW w:w="1211" w:type="pct"/>
                  <w:vMerge w:val="restart"/>
                  <w:tcBorders>
                    <w:tl2br w:val="nil"/>
                    <w:tr2bl w:val="nil"/>
                  </w:tcBorders>
                  <w:noWrap w:val="0"/>
                  <w:vAlign w:val="center"/>
                </w:tcPr>
                <w:p w14:paraId="174C69BD">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工业企业所在地区五年平均风速（m/s）</w:t>
                  </w:r>
                </w:p>
              </w:tc>
              <w:tc>
                <w:tcPr>
                  <w:tcW w:w="3002" w:type="pct"/>
                  <w:gridSpan w:val="10"/>
                  <w:tcBorders>
                    <w:tl2br w:val="nil"/>
                    <w:tr2bl w:val="nil"/>
                  </w:tcBorders>
                  <w:noWrap w:val="0"/>
                  <w:vAlign w:val="center"/>
                </w:tcPr>
                <w:p w14:paraId="07F2E549">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卫生防护距离L/m</w:t>
                  </w:r>
                </w:p>
              </w:tc>
            </w:tr>
            <w:tr w14:paraId="195800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85" w:type="pct"/>
                  <w:vMerge w:val="continue"/>
                  <w:tcBorders>
                    <w:tl2br w:val="nil"/>
                    <w:tr2bl w:val="nil"/>
                  </w:tcBorders>
                  <w:noWrap w:val="0"/>
                  <w:vAlign w:val="center"/>
                </w:tcPr>
                <w:p w14:paraId="7697713F">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p>
              </w:tc>
              <w:tc>
                <w:tcPr>
                  <w:tcW w:w="1211" w:type="pct"/>
                  <w:vMerge w:val="continue"/>
                  <w:tcBorders>
                    <w:tl2br w:val="nil"/>
                    <w:tr2bl w:val="nil"/>
                  </w:tcBorders>
                  <w:noWrap w:val="0"/>
                  <w:vAlign w:val="center"/>
                </w:tcPr>
                <w:p w14:paraId="58E8B1CA">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p>
              </w:tc>
              <w:tc>
                <w:tcPr>
                  <w:tcW w:w="1000" w:type="pct"/>
                  <w:gridSpan w:val="4"/>
                  <w:tcBorders>
                    <w:tl2br w:val="nil"/>
                    <w:tr2bl w:val="nil"/>
                  </w:tcBorders>
                  <w:noWrap w:val="0"/>
                  <w:vAlign w:val="center"/>
                </w:tcPr>
                <w:p w14:paraId="41516F7A">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L≤1000</w:t>
                  </w:r>
                </w:p>
              </w:tc>
              <w:tc>
                <w:tcPr>
                  <w:tcW w:w="997" w:type="pct"/>
                  <w:gridSpan w:val="3"/>
                  <w:tcBorders>
                    <w:tl2br w:val="nil"/>
                    <w:tr2bl w:val="nil"/>
                  </w:tcBorders>
                  <w:noWrap w:val="0"/>
                  <w:vAlign w:val="center"/>
                </w:tcPr>
                <w:p w14:paraId="3409F4B0">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1000＜L≤2000</w:t>
                  </w:r>
                </w:p>
              </w:tc>
              <w:tc>
                <w:tcPr>
                  <w:tcW w:w="1005" w:type="pct"/>
                  <w:gridSpan w:val="3"/>
                  <w:tcBorders>
                    <w:tl2br w:val="nil"/>
                    <w:tr2bl w:val="nil"/>
                  </w:tcBorders>
                  <w:noWrap w:val="0"/>
                  <w:vAlign w:val="center"/>
                </w:tcPr>
                <w:p w14:paraId="2156E30F">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L＞2000</w:t>
                  </w:r>
                </w:p>
              </w:tc>
            </w:tr>
            <w:tr w14:paraId="793D2D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85" w:type="pct"/>
                  <w:vMerge w:val="continue"/>
                  <w:tcBorders>
                    <w:tl2br w:val="nil"/>
                    <w:tr2bl w:val="nil"/>
                  </w:tcBorders>
                  <w:noWrap w:val="0"/>
                  <w:vAlign w:val="center"/>
                </w:tcPr>
                <w:p w14:paraId="657505D4">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p>
              </w:tc>
              <w:tc>
                <w:tcPr>
                  <w:tcW w:w="1211" w:type="pct"/>
                  <w:vMerge w:val="continue"/>
                  <w:tcBorders>
                    <w:tl2br w:val="nil"/>
                    <w:tr2bl w:val="nil"/>
                  </w:tcBorders>
                  <w:noWrap w:val="0"/>
                  <w:vAlign w:val="center"/>
                </w:tcPr>
                <w:p w14:paraId="555CEFCD">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p>
              </w:tc>
              <w:tc>
                <w:tcPr>
                  <w:tcW w:w="3002" w:type="pct"/>
                  <w:gridSpan w:val="10"/>
                  <w:tcBorders>
                    <w:tl2br w:val="nil"/>
                    <w:tr2bl w:val="nil"/>
                  </w:tcBorders>
                  <w:noWrap w:val="0"/>
                  <w:vAlign w:val="center"/>
                </w:tcPr>
                <w:p w14:paraId="6CED1E81">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工业企业大气污染源构成类型</w:t>
                  </w:r>
                </w:p>
              </w:tc>
            </w:tr>
            <w:tr w14:paraId="2DBA4F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85" w:type="pct"/>
                  <w:vMerge w:val="continue"/>
                  <w:tcBorders>
                    <w:tl2br w:val="nil"/>
                    <w:tr2bl w:val="nil"/>
                  </w:tcBorders>
                  <w:noWrap w:val="0"/>
                  <w:vAlign w:val="center"/>
                </w:tcPr>
                <w:p w14:paraId="0EA7DBA7">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p>
              </w:tc>
              <w:tc>
                <w:tcPr>
                  <w:tcW w:w="1211" w:type="pct"/>
                  <w:vMerge w:val="continue"/>
                  <w:tcBorders>
                    <w:tl2br w:val="nil"/>
                    <w:tr2bl w:val="nil"/>
                  </w:tcBorders>
                  <w:noWrap w:val="0"/>
                  <w:vAlign w:val="center"/>
                </w:tcPr>
                <w:p w14:paraId="23A49F3D">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p>
              </w:tc>
              <w:tc>
                <w:tcPr>
                  <w:tcW w:w="331" w:type="pct"/>
                  <w:tcBorders>
                    <w:tl2br w:val="nil"/>
                    <w:tr2bl w:val="nil"/>
                  </w:tcBorders>
                  <w:noWrap w:val="0"/>
                  <w:vAlign w:val="center"/>
                </w:tcPr>
                <w:p w14:paraId="1D3BAE47">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Ⅰ</w:t>
                  </w:r>
                </w:p>
              </w:tc>
              <w:tc>
                <w:tcPr>
                  <w:tcW w:w="331" w:type="pct"/>
                  <w:tcBorders>
                    <w:tl2br w:val="nil"/>
                    <w:tr2bl w:val="nil"/>
                  </w:tcBorders>
                  <w:noWrap w:val="0"/>
                  <w:vAlign w:val="center"/>
                </w:tcPr>
                <w:p w14:paraId="40C8EE99">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Ⅱ</w:t>
                  </w:r>
                </w:p>
              </w:tc>
              <w:tc>
                <w:tcPr>
                  <w:tcW w:w="333" w:type="pct"/>
                  <w:tcBorders>
                    <w:tl2br w:val="nil"/>
                    <w:tr2bl w:val="nil"/>
                  </w:tcBorders>
                  <w:noWrap w:val="0"/>
                  <w:vAlign w:val="center"/>
                </w:tcPr>
                <w:p w14:paraId="2E30220C">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Ⅲ</w:t>
                  </w:r>
                </w:p>
              </w:tc>
              <w:tc>
                <w:tcPr>
                  <w:tcW w:w="331" w:type="pct"/>
                  <w:gridSpan w:val="2"/>
                  <w:tcBorders>
                    <w:tl2br w:val="nil"/>
                    <w:tr2bl w:val="nil"/>
                  </w:tcBorders>
                  <w:noWrap w:val="0"/>
                  <w:vAlign w:val="center"/>
                </w:tcPr>
                <w:p w14:paraId="05D6F103">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Ⅰ</w:t>
                  </w:r>
                </w:p>
              </w:tc>
              <w:tc>
                <w:tcPr>
                  <w:tcW w:w="331" w:type="pct"/>
                  <w:tcBorders>
                    <w:tl2br w:val="nil"/>
                    <w:tr2bl w:val="nil"/>
                  </w:tcBorders>
                  <w:noWrap w:val="0"/>
                  <w:vAlign w:val="center"/>
                </w:tcPr>
                <w:p w14:paraId="05D299DA">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Ⅱ</w:t>
                  </w:r>
                </w:p>
              </w:tc>
              <w:tc>
                <w:tcPr>
                  <w:tcW w:w="335" w:type="pct"/>
                  <w:tcBorders>
                    <w:tl2br w:val="nil"/>
                    <w:tr2bl w:val="nil"/>
                  </w:tcBorders>
                  <w:noWrap w:val="0"/>
                  <w:vAlign w:val="center"/>
                </w:tcPr>
                <w:p w14:paraId="57C3F744">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Ⅲ</w:t>
                  </w:r>
                </w:p>
              </w:tc>
              <w:tc>
                <w:tcPr>
                  <w:tcW w:w="331" w:type="pct"/>
                  <w:tcBorders>
                    <w:tl2br w:val="nil"/>
                    <w:tr2bl w:val="nil"/>
                  </w:tcBorders>
                  <w:noWrap w:val="0"/>
                  <w:vAlign w:val="center"/>
                </w:tcPr>
                <w:p w14:paraId="7B0DBCED">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Ⅰ</w:t>
                  </w:r>
                </w:p>
              </w:tc>
              <w:tc>
                <w:tcPr>
                  <w:tcW w:w="331" w:type="pct"/>
                  <w:tcBorders>
                    <w:tl2br w:val="nil"/>
                    <w:tr2bl w:val="nil"/>
                  </w:tcBorders>
                  <w:noWrap w:val="0"/>
                  <w:vAlign w:val="center"/>
                </w:tcPr>
                <w:p w14:paraId="3422A252">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Ⅱ</w:t>
                  </w:r>
                </w:p>
              </w:tc>
              <w:tc>
                <w:tcPr>
                  <w:tcW w:w="341" w:type="pct"/>
                  <w:tcBorders>
                    <w:tl2br w:val="nil"/>
                    <w:tr2bl w:val="nil"/>
                  </w:tcBorders>
                  <w:noWrap w:val="0"/>
                  <w:vAlign w:val="center"/>
                </w:tcPr>
                <w:p w14:paraId="46ABD94C">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Ⅲ</w:t>
                  </w:r>
                </w:p>
              </w:tc>
            </w:tr>
            <w:tr w14:paraId="1A5825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5" w:type="pct"/>
                  <w:vMerge w:val="restart"/>
                  <w:tcBorders>
                    <w:tl2br w:val="nil"/>
                    <w:tr2bl w:val="nil"/>
                  </w:tcBorders>
                  <w:noWrap w:val="0"/>
                  <w:vAlign w:val="center"/>
                </w:tcPr>
                <w:p w14:paraId="5B1A8200">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A</w:t>
                  </w:r>
                </w:p>
              </w:tc>
              <w:tc>
                <w:tcPr>
                  <w:tcW w:w="1211" w:type="pct"/>
                  <w:tcBorders>
                    <w:tl2br w:val="nil"/>
                    <w:tr2bl w:val="nil"/>
                  </w:tcBorders>
                  <w:noWrap w:val="0"/>
                  <w:vAlign w:val="center"/>
                </w:tcPr>
                <w:p w14:paraId="56208D10">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＜2</w:t>
                  </w:r>
                </w:p>
              </w:tc>
              <w:tc>
                <w:tcPr>
                  <w:tcW w:w="331" w:type="pct"/>
                  <w:tcBorders>
                    <w:tl2br w:val="nil"/>
                    <w:tr2bl w:val="nil"/>
                  </w:tcBorders>
                  <w:noWrap w:val="0"/>
                  <w:vAlign w:val="center"/>
                </w:tcPr>
                <w:p w14:paraId="231559FB">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400</w:t>
                  </w:r>
                </w:p>
              </w:tc>
              <w:tc>
                <w:tcPr>
                  <w:tcW w:w="331" w:type="pct"/>
                  <w:tcBorders>
                    <w:tl2br w:val="nil"/>
                    <w:tr2bl w:val="nil"/>
                  </w:tcBorders>
                  <w:noWrap w:val="0"/>
                  <w:vAlign w:val="center"/>
                </w:tcPr>
                <w:p w14:paraId="1B1850AA">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400</w:t>
                  </w:r>
                </w:p>
              </w:tc>
              <w:tc>
                <w:tcPr>
                  <w:tcW w:w="333" w:type="pct"/>
                  <w:tcBorders>
                    <w:tl2br w:val="nil"/>
                    <w:tr2bl w:val="nil"/>
                  </w:tcBorders>
                  <w:noWrap w:val="0"/>
                  <w:vAlign w:val="center"/>
                </w:tcPr>
                <w:p w14:paraId="7929A4EB">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400</w:t>
                  </w:r>
                </w:p>
              </w:tc>
              <w:tc>
                <w:tcPr>
                  <w:tcW w:w="331" w:type="pct"/>
                  <w:gridSpan w:val="2"/>
                  <w:tcBorders>
                    <w:tl2br w:val="nil"/>
                    <w:tr2bl w:val="nil"/>
                  </w:tcBorders>
                  <w:noWrap w:val="0"/>
                  <w:vAlign w:val="center"/>
                </w:tcPr>
                <w:p w14:paraId="5D532B20">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400</w:t>
                  </w:r>
                </w:p>
              </w:tc>
              <w:tc>
                <w:tcPr>
                  <w:tcW w:w="331" w:type="pct"/>
                  <w:tcBorders>
                    <w:tl2br w:val="nil"/>
                    <w:tr2bl w:val="nil"/>
                  </w:tcBorders>
                  <w:noWrap w:val="0"/>
                  <w:vAlign w:val="center"/>
                </w:tcPr>
                <w:p w14:paraId="7E417849">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400</w:t>
                  </w:r>
                </w:p>
              </w:tc>
              <w:tc>
                <w:tcPr>
                  <w:tcW w:w="335" w:type="pct"/>
                  <w:tcBorders>
                    <w:tl2br w:val="nil"/>
                    <w:tr2bl w:val="nil"/>
                  </w:tcBorders>
                  <w:noWrap w:val="0"/>
                  <w:vAlign w:val="center"/>
                </w:tcPr>
                <w:p w14:paraId="06551D6D">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400</w:t>
                  </w:r>
                </w:p>
              </w:tc>
              <w:tc>
                <w:tcPr>
                  <w:tcW w:w="331" w:type="pct"/>
                  <w:tcBorders>
                    <w:tl2br w:val="nil"/>
                    <w:tr2bl w:val="nil"/>
                  </w:tcBorders>
                  <w:noWrap w:val="0"/>
                  <w:vAlign w:val="center"/>
                </w:tcPr>
                <w:p w14:paraId="265E7D8A">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80</w:t>
                  </w:r>
                </w:p>
              </w:tc>
              <w:tc>
                <w:tcPr>
                  <w:tcW w:w="331" w:type="pct"/>
                  <w:tcBorders>
                    <w:tl2br w:val="nil"/>
                    <w:tr2bl w:val="nil"/>
                  </w:tcBorders>
                  <w:noWrap w:val="0"/>
                  <w:vAlign w:val="center"/>
                </w:tcPr>
                <w:p w14:paraId="23CDAF53">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80</w:t>
                  </w:r>
                </w:p>
              </w:tc>
              <w:tc>
                <w:tcPr>
                  <w:tcW w:w="341" w:type="pct"/>
                  <w:tcBorders>
                    <w:tl2br w:val="nil"/>
                    <w:tr2bl w:val="nil"/>
                  </w:tcBorders>
                  <w:noWrap w:val="0"/>
                  <w:vAlign w:val="center"/>
                </w:tcPr>
                <w:p w14:paraId="6CC4E26E">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80</w:t>
                  </w:r>
                </w:p>
              </w:tc>
            </w:tr>
            <w:tr w14:paraId="517363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5" w:type="pct"/>
                  <w:vMerge w:val="continue"/>
                  <w:tcBorders>
                    <w:tl2br w:val="nil"/>
                    <w:tr2bl w:val="nil"/>
                  </w:tcBorders>
                  <w:noWrap w:val="0"/>
                  <w:vAlign w:val="center"/>
                </w:tcPr>
                <w:p w14:paraId="02B930F7">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p>
              </w:tc>
              <w:tc>
                <w:tcPr>
                  <w:tcW w:w="1211" w:type="pct"/>
                  <w:tcBorders>
                    <w:tl2br w:val="nil"/>
                    <w:tr2bl w:val="nil"/>
                  </w:tcBorders>
                  <w:noWrap w:val="0"/>
                  <w:vAlign w:val="center"/>
                </w:tcPr>
                <w:p w14:paraId="21F967A5">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2~4</w:t>
                  </w:r>
                </w:p>
              </w:tc>
              <w:tc>
                <w:tcPr>
                  <w:tcW w:w="331" w:type="pct"/>
                  <w:tcBorders>
                    <w:tl2br w:val="nil"/>
                    <w:tr2bl w:val="nil"/>
                  </w:tcBorders>
                  <w:noWrap w:val="0"/>
                  <w:vAlign w:val="center"/>
                </w:tcPr>
                <w:p w14:paraId="36AE1E35">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700</w:t>
                  </w:r>
                </w:p>
              </w:tc>
              <w:tc>
                <w:tcPr>
                  <w:tcW w:w="331" w:type="pct"/>
                  <w:tcBorders>
                    <w:tl2br w:val="nil"/>
                    <w:tr2bl w:val="nil"/>
                  </w:tcBorders>
                  <w:noWrap w:val="0"/>
                  <w:vAlign w:val="center"/>
                </w:tcPr>
                <w:p w14:paraId="05C1452C">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470</w:t>
                  </w:r>
                </w:p>
              </w:tc>
              <w:tc>
                <w:tcPr>
                  <w:tcW w:w="333" w:type="pct"/>
                  <w:tcBorders>
                    <w:tl2br w:val="nil"/>
                    <w:tr2bl w:val="nil"/>
                  </w:tcBorders>
                  <w:noWrap w:val="0"/>
                  <w:vAlign w:val="center"/>
                </w:tcPr>
                <w:p w14:paraId="6FE2CDDB">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350</w:t>
                  </w:r>
                </w:p>
              </w:tc>
              <w:tc>
                <w:tcPr>
                  <w:tcW w:w="331" w:type="pct"/>
                  <w:gridSpan w:val="2"/>
                  <w:tcBorders>
                    <w:tl2br w:val="nil"/>
                    <w:tr2bl w:val="nil"/>
                  </w:tcBorders>
                  <w:noWrap w:val="0"/>
                  <w:vAlign w:val="center"/>
                </w:tcPr>
                <w:p w14:paraId="27246076">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700</w:t>
                  </w:r>
                </w:p>
              </w:tc>
              <w:tc>
                <w:tcPr>
                  <w:tcW w:w="331" w:type="pct"/>
                  <w:tcBorders>
                    <w:tl2br w:val="nil"/>
                    <w:tr2bl w:val="nil"/>
                  </w:tcBorders>
                  <w:noWrap w:val="0"/>
                  <w:vAlign w:val="center"/>
                </w:tcPr>
                <w:p w14:paraId="782266FC">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470</w:t>
                  </w:r>
                </w:p>
              </w:tc>
              <w:tc>
                <w:tcPr>
                  <w:tcW w:w="335" w:type="pct"/>
                  <w:tcBorders>
                    <w:tl2br w:val="nil"/>
                    <w:tr2bl w:val="nil"/>
                  </w:tcBorders>
                  <w:noWrap w:val="0"/>
                  <w:vAlign w:val="center"/>
                </w:tcPr>
                <w:p w14:paraId="14EED51B">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350</w:t>
                  </w:r>
                </w:p>
              </w:tc>
              <w:tc>
                <w:tcPr>
                  <w:tcW w:w="331" w:type="pct"/>
                  <w:tcBorders>
                    <w:tl2br w:val="nil"/>
                    <w:tr2bl w:val="nil"/>
                  </w:tcBorders>
                  <w:noWrap w:val="0"/>
                  <w:vAlign w:val="center"/>
                </w:tcPr>
                <w:p w14:paraId="5B91429D">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380</w:t>
                  </w:r>
                </w:p>
              </w:tc>
              <w:tc>
                <w:tcPr>
                  <w:tcW w:w="331" w:type="pct"/>
                  <w:tcBorders>
                    <w:tl2br w:val="nil"/>
                    <w:tr2bl w:val="nil"/>
                  </w:tcBorders>
                  <w:noWrap w:val="0"/>
                  <w:vAlign w:val="center"/>
                </w:tcPr>
                <w:p w14:paraId="12107730">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250</w:t>
                  </w:r>
                </w:p>
              </w:tc>
              <w:tc>
                <w:tcPr>
                  <w:tcW w:w="341" w:type="pct"/>
                  <w:tcBorders>
                    <w:tl2br w:val="nil"/>
                    <w:tr2bl w:val="nil"/>
                  </w:tcBorders>
                  <w:noWrap w:val="0"/>
                  <w:vAlign w:val="center"/>
                </w:tcPr>
                <w:p w14:paraId="171158CA">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190</w:t>
                  </w:r>
                </w:p>
              </w:tc>
            </w:tr>
            <w:tr w14:paraId="38E271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5" w:type="pct"/>
                  <w:vMerge w:val="continue"/>
                  <w:tcBorders>
                    <w:tl2br w:val="nil"/>
                    <w:tr2bl w:val="nil"/>
                  </w:tcBorders>
                  <w:noWrap w:val="0"/>
                  <w:vAlign w:val="center"/>
                </w:tcPr>
                <w:p w14:paraId="355D85EC">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p>
              </w:tc>
              <w:tc>
                <w:tcPr>
                  <w:tcW w:w="1211" w:type="pct"/>
                  <w:tcBorders>
                    <w:tl2br w:val="nil"/>
                    <w:tr2bl w:val="nil"/>
                  </w:tcBorders>
                  <w:noWrap w:val="0"/>
                  <w:vAlign w:val="center"/>
                </w:tcPr>
                <w:p w14:paraId="440BEDA3">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＞4</w:t>
                  </w:r>
                </w:p>
              </w:tc>
              <w:tc>
                <w:tcPr>
                  <w:tcW w:w="331" w:type="pct"/>
                  <w:tcBorders>
                    <w:tl2br w:val="nil"/>
                    <w:tr2bl w:val="nil"/>
                  </w:tcBorders>
                  <w:noWrap w:val="0"/>
                  <w:vAlign w:val="center"/>
                </w:tcPr>
                <w:p w14:paraId="3CC2E191">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530</w:t>
                  </w:r>
                </w:p>
              </w:tc>
              <w:tc>
                <w:tcPr>
                  <w:tcW w:w="331" w:type="pct"/>
                  <w:tcBorders>
                    <w:tl2br w:val="nil"/>
                    <w:tr2bl w:val="nil"/>
                  </w:tcBorders>
                  <w:noWrap w:val="0"/>
                  <w:vAlign w:val="center"/>
                </w:tcPr>
                <w:p w14:paraId="2E9A4824">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350</w:t>
                  </w:r>
                </w:p>
              </w:tc>
              <w:tc>
                <w:tcPr>
                  <w:tcW w:w="333" w:type="pct"/>
                  <w:tcBorders>
                    <w:tl2br w:val="nil"/>
                    <w:tr2bl w:val="nil"/>
                  </w:tcBorders>
                  <w:noWrap w:val="0"/>
                  <w:vAlign w:val="center"/>
                </w:tcPr>
                <w:p w14:paraId="5D1B0202">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260</w:t>
                  </w:r>
                </w:p>
              </w:tc>
              <w:tc>
                <w:tcPr>
                  <w:tcW w:w="331" w:type="pct"/>
                  <w:gridSpan w:val="2"/>
                  <w:tcBorders>
                    <w:tl2br w:val="nil"/>
                    <w:tr2bl w:val="nil"/>
                  </w:tcBorders>
                  <w:noWrap w:val="0"/>
                  <w:vAlign w:val="center"/>
                </w:tcPr>
                <w:p w14:paraId="0DE5B28E">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530</w:t>
                  </w:r>
                </w:p>
              </w:tc>
              <w:tc>
                <w:tcPr>
                  <w:tcW w:w="331" w:type="pct"/>
                  <w:tcBorders>
                    <w:tl2br w:val="nil"/>
                    <w:tr2bl w:val="nil"/>
                  </w:tcBorders>
                  <w:noWrap w:val="0"/>
                  <w:vAlign w:val="center"/>
                </w:tcPr>
                <w:p w14:paraId="145CCBC0">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350</w:t>
                  </w:r>
                </w:p>
              </w:tc>
              <w:tc>
                <w:tcPr>
                  <w:tcW w:w="335" w:type="pct"/>
                  <w:tcBorders>
                    <w:tl2br w:val="nil"/>
                    <w:tr2bl w:val="nil"/>
                  </w:tcBorders>
                  <w:noWrap w:val="0"/>
                  <w:vAlign w:val="center"/>
                </w:tcPr>
                <w:p w14:paraId="2C20AA84">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260</w:t>
                  </w:r>
                </w:p>
              </w:tc>
              <w:tc>
                <w:tcPr>
                  <w:tcW w:w="331" w:type="pct"/>
                  <w:tcBorders>
                    <w:tl2br w:val="nil"/>
                    <w:tr2bl w:val="nil"/>
                  </w:tcBorders>
                  <w:noWrap w:val="0"/>
                  <w:vAlign w:val="center"/>
                </w:tcPr>
                <w:p w14:paraId="64194283">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290</w:t>
                  </w:r>
                </w:p>
              </w:tc>
              <w:tc>
                <w:tcPr>
                  <w:tcW w:w="331" w:type="pct"/>
                  <w:tcBorders>
                    <w:tl2br w:val="nil"/>
                    <w:tr2bl w:val="nil"/>
                  </w:tcBorders>
                  <w:noWrap w:val="0"/>
                  <w:vAlign w:val="center"/>
                </w:tcPr>
                <w:p w14:paraId="3BC6D3DD">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190</w:t>
                  </w:r>
                </w:p>
              </w:tc>
              <w:tc>
                <w:tcPr>
                  <w:tcW w:w="341" w:type="pct"/>
                  <w:tcBorders>
                    <w:tl2br w:val="nil"/>
                    <w:tr2bl w:val="nil"/>
                  </w:tcBorders>
                  <w:noWrap w:val="0"/>
                  <w:vAlign w:val="center"/>
                </w:tcPr>
                <w:p w14:paraId="1AAA789A">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110</w:t>
                  </w:r>
                </w:p>
              </w:tc>
            </w:tr>
            <w:tr w14:paraId="0A826D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5" w:type="pct"/>
                  <w:vMerge w:val="restart"/>
                  <w:tcBorders>
                    <w:tl2br w:val="nil"/>
                    <w:tr2bl w:val="nil"/>
                  </w:tcBorders>
                  <w:noWrap w:val="0"/>
                  <w:vAlign w:val="center"/>
                </w:tcPr>
                <w:p w14:paraId="22F41AA5">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B</w:t>
                  </w:r>
                </w:p>
              </w:tc>
              <w:tc>
                <w:tcPr>
                  <w:tcW w:w="1211" w:type="pct"/>
                  <w:tcBorders>
                    <w:tl2br w:val="nil"/>
                    <w:tr2bl w:val="nil"/>
                  </w:tcBorders>
                  <w:noWrap w:val="0"/>
                  <w:vAlign w:val="center"/>
                </w:tcPr>
                <w:p w14:paraId="4A1C40D0">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＜2</w:t>
                  </w:r>
                </w:p>
              </w:tc>
              <w:tc>
                <w:tcPr>
                  <w:tcW w:w="997" w:type="pct"/>
                  <w:gridSpan w:val="3"/>
                  <w:tcBorders>
                    <w:tl2br w:val="nil"/>
                    <w:tr2bl w:val="nil"/>
                  </w:tcBorders>
                  <w:noWrap w:val="0"/>
                  <w:vAlign w:val="center"/>
                </w:tcPr>
                <w:p w14:paraId="0B71CAC6">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0.01</w:t>
                  </w:r>
                </w:p>
              </w:tc>
              <w:tc>
                <w:tcPr>
                  <w:tcW w:w="999" w:type="pct"/>
                  <w:gridSpan w:val="4"/>
                  <w:tcBorders>
                    <w:tl2br w:val="nil"/>
                    <w:tr2bl w:val="nil"/>
                  </w:tcBorders>
                  <w:noWrap w:val="0"/>
                  <w:vAlign w:val="center"/>
                </w:tcPr>
                <w:p w14:paraId="2983BF7B">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0.015</w:t>
                  </w:r>
                </w:p>
              </w:tc>
              <w:tc>
                <w:tcPr>
                  <w:tcW w:w="1005" w:type="pct"/>
                  <w:gridSpan w:val="3"/>
                  <w:tcBorders>
                    <w:tl2br w:val="nil"/>
                    <w:tr2bl w:val="nil"/>
                  </w:tcBorders>
                  <w:noWrap w:val="0"/>
                  <w:vAlign w:val="center"/>
                </w:tcPr>
                <w:p w14:paraId="74005E70">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0.015</w:t>
                  </w:r>
                </w:p>
              </w:tc>
            </w:tr>
            <w:tr w14:paraId="59921B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5" w:type="pct"/>
                  <w:vMerge w:val="continue"/>
                  <w:tcBorders>
                    <w:tl2br w:val="nil"/>
                    <w:tr2bl w:val="nil"/>
                  </w:tcBorders>
                  <w:noWrap w:val="0"/>
                  <w:vAlign w:val="center"/>
                </w:tcPr>
                <w:p w14:paraId="49EEAA81">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p>
              </w:tc>
              <w:tc>
                <w:tcPr>
                  <w:tcW w:w="1211" w:type="pct"/>
                  <w:tcBorders>
                    <w:tl2br w:val="nil"/>
                    <w:tr2bl w:val="nil"/>
                  </w:tcBorders>
                  <w:noWrap w:val="0"/>
                  <w:vAlign w:val="center"/>
                </w:tcPr>
                <w:p w14:paraId="6C6D162B">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＞2</w:t>
                  </w:r>
                </w:p>
              </w:tc>
              <w:tc>
                <w:tcPr>
                  <w:tcW w:w="997" w:type="pct"/>
                  <w:gridSpan w:val="3"/>
                  <w:tcBorders>
                    <w:tl2br w:val="nil"/>
                    <w:tr2bl w:val="nil"/>
                  </w:tcBorders>
                  <w:noWrap w:val="0"/>
                  <w:vAlign w:val="center"/>
                </w:tcPr>
                <w:p w14:paraId="55CE1EF5">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0.021</w:t>
                  </w:r>
                </w:p>
              </w:tc>
              <w:tc>
                <w:tcPr>
                  <w:tcW w:w="999" w:type="pct"/>
                  <w:gridSpan w:val="4"/>
                  <w:tcBorders>
                    <w:tl2br w:val="nil"/>
                    <w:tr2bl w:val="nil"/>
                  </w:tcBorders>
                  <w:noWrap w:val="0"/>
                  <w:vAlign w:val="center"/>
                </w:tcPr>
                <w:p w14:paraId="3666C29E">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0.036</w:t>
                  </w:r>
                </w:p>
              </w:tc>
              <w:tc>
                <w:tcPr>
                  <w:tcW w:w="1005" w:type="pct"/>
                  <w:gridSpan w:val="3"/>
                  <w:tcBorders>
                    <w:tl2br w:val="nil"/>
                    <w:tr2bl w:val="nil"/>
                  </w:tcBorders>
                  <w:noWrap w:val="0"/>
                  <w:vAlign w:val="center"/>
                </w:tcPr>
                <w:p w14:paraId="448CB09D">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0.036</w:t>
                  </w:r>
                </w:p>
              </w:tc>
            </w:tr>
            <w:tr w14:paraId="431A6E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5" w:type="pct"/>
                  <w:vMerge w:val="restart"/>
                  <w:tcBorders>
                    <w:tl2br w:val="nil"/>
                    <w:tr2bl w:val="nil"/>
                  </w:tcBorders>
                  <w:noWrap w:val="0"/>
                  <w:vAlign w:val="center"/>
                </w:tcPr>
                <w:p w14:paraId="0510EEAF">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C</w:t>
                  </w:r>
                </w:p>
              </w:tc>
              <w:tc>
                <w:tcPr>
                  <w:tcW w:w="1211" w:type="pct"/>
                  <w:tcBorders>
                    <w:tl2br w:val="nil"/>
                    <w:tr2bl w:val="nil"/>
                  </w:tcBorders>
                  <w:noWrap w:val="0"/>
                  <w:vAlign w:val="center"/>
                </w:tcPr>
                <w:p w14:paraId="05588EE9">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＜2</w:t>
                  </w:r>
                </w:p>
              </w:tc>
              <w:tc>
                <w:tcPr>
                  <w:tcW w:w="997" w:type="pct"/>
                  <w:gridSpan w:val="3"/>
                  <w:tcBorders>
                    <w:tl2br w:val="nil"/>
                    <w:tr2bl w:val="nil"/>
                  </w:tcBorders>
                  <w:noWrap w:val="0"/>
                  <w:vAlign w:val="center"/>
                </w:tcPr>
                <w:p w14:paraId="6583FC90">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1.85</w:t>
                  </w:r>
                </w:p>
              </w:tc>
              <w:tc>
                <w:tcPr>
                  <w:tcW w:w="999" w:type="pct"/>
                  <w:gridSpan w:val="4"/>
                  <w:tcBorders>
                    <w:tl2br w:val="nil"/>
                    <w:tr2bl w:val="nil"/>
                  </w:tcBorders>
                  <w:noWrap w:val="0"/>
                  <w:vAlign w:val="center"/>
                </w:tcPr>
                <w:p w14:paraId="7A2845AC">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1.79</w:t>
                  </w:r>
                </w:p>
              </w:tc>
              <w:tc>
                <w:tcPr>
                  <w:tcW w:w="1005" w:type="pct"/>
                  <w:gridSpan w:val="3"/>
                  <w:tcBorders>
                    <w:tl2br w:val="nil"/>
                    <w:tr2bl w:val="nil"/>
                  </w:tcBorders>
                  <w:noWrap w:val="0"/>
                  <w:vAlign w:val="center"/>
                </w:tcPr>
                <w:p w14:paraId="357C9889">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1.79</w:t>
                  </w:r>
                </w:p>
              </w:tc>
            </w:tr>
            <w:tr w14:paraId="25A481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5" w:type="pct"/>
                  <w:vMerge w:val="continue"/>
                  <w:tcBorders>
                    <w:tl2br w:val="nil"/>
                    <w:tr2bl w:val="nil"/>
                  </w:tcBorders>
                  <w:noWrap w:val="0"/>
                  <w:vAlign w:val="center"/>
                </w:tcPr>
                <w:p w14:paraId="55D88963">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p>
              </w:tc>
              <w:tc>
                <w:tcPr>
                  <w:tcW w:w="1211" w:type="pct"/>
                  <w:tcBorders>
                    <w:tl2br w:val="nil"/>
                    <w:tr2bl w:val="nil"/>
                  </w:tcBorders>
                  <w:noWrap w:val="0"/>
                  <w:vAlign w:val="center"/>
                </w:tcPr>
                <w:p w14:paraId="3E28B16E">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＞2</w:t>
                  </w:r>
                </w:p>
              </w:tc>
              <w:tc>
                <w:tcPr>
                  <w:tcW w:w="997" w:type="pct"/>
                  <w:gridSpan w:val="3"/>
                  <w:tcBorders>
                    <w:tl2br w:val="nil"/>
                    <w:tr2bl w:val="nil"/>
                  </w:tcBorders>
                  <w:noWrap w:val="0"/>
                  <w:vAlign w:val="center"/>
                </w:tcPr>
                <w:p w14:paraId="690E0EFE">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1.85</w:t>
                  </w:r>
                </w:p>
              </w:tc>
              <w:tc>
                <w:tcPr>
                  <w:tcW w:w="999" w:type="pct"/>
                  <w:gridSpan w:val="4"/>
                  <w:tcBorders>
                    <w:tl2br w:val="nil"/>
                    <w:tr2bl w:val="nil"/>
                  </w:tcBorders>
                  <w:noWrap w:val="0"/>
                  <w:vAlign w:val="center"/>
                </w:tcPr>
                <w:p w14:paraId="1E2D7025">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1.77</w:t>
                  </w:r>
                </w:p>
              </w:tc>
              <w:tc>
                <w:tcPr>
                  <w:tcW w:w="1005" w:type="pct"/>
                  <w:gridSpan w:val="3"/>
                  <w:tcBorders>
                    <w:tl2br w:val="nil"/>
                    <w:tr2bl w:val="nil"/>
                  </w:tcBorders>
                  <w:noWrap w:val="0"/>
                  <w:vAlign w:val="center"/>
                </w:tcPr>
                <w:p w14:paraId="62B94C95">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1.77</w:t>
                  </w:r>
                </w:p>
              </w:tc>
            </w:tr>
            <w:tr w14:paraId="10AE4D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5" w:type="pct"/>
                  <w:vMerge w:val="restart"/>
                  <w:tcBorders>
                    <w:tl2br w:val="nil"/>
                    <w:tr2bl w:val="nil"/>
                  </w:tcBorders>
                  <w:noWrap w:val="0"/>
                  <w:vAlign w:val="center"/>
                </w:tcPr>
                <w:p w14:paraId="346299D2">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D</w:t>
                  </w:r>
                </w:p>
              </w:tc>
              <w:tc>
                <w:tcPr>
                  <w:tcW w:w="1211" w:type="pct"/>
                  <w:tcBorders>
                    <w:tl2br w:val="nil"/>
                    <w:tr2bl w:val="nil"/>
                  </w:tcBorders>
                  <w:noWrap w:val="0"/>
                  <w:vAlign w:val="center"/>
                </w:tcPr>
                <w:p w14:paraId="4B7F23D9">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＜2</w:t>
                  </w:r>
                </w:p>
              </w:tc>
              <w:tc>
                <w:tcPr>
                  <w:tcW w:w="997" w:type="pct"/>
                  <w:gridSpan w:val="3"/>
                  <w:tcBorders>
                    <w:tl2br w:val="nil"/>
                    <w:tr2bl w:val="nil"/>
                  </w:tcBorders>
                  <w:noWrap w:val="0"/>
                  <w:vAlign w:val="center"/>
                </w:tcPr>
                <w:p w14:paraId="40E67C6F">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0.78</w:t>
                  </w:r>
                </w:p>
              </w:tc>
              <w:tc>
                <w:tcPr>
                  <w:tcW w:w="999" w:type="pct"/>
                  <w:gridSpan w:val="4"/>
                  <w:tcBorders>
                    <w:tl2br w:val="nil"/>
                    <w:tr2bl w:val="nil"/>
                  </w:tcBorders>
                  <w:noWrap w:val="0"/>
                  <w:vAlign w:val="center"/>
                </w:tcPr>
                <w:p w14:paraId="0F8BF92E">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0.78</w:t>
                  </w:r>
                </w:p>
              </w:tc>
              <w:tc>
                <w:tcPr>
                  <w:tcW w:w="1005" w:type="pct"/>
                  <w:gridSpan w:val="3"/>
                  <w:tcBorders>
                    <w:tl2br w:val="nil"/>
                    <w:tr2bl w:val="nil"/>
                  </w:tcBorders>
                  <w:noWrap w:val="0"/>
                  <w:vAlign w:val="center"/>
                </w:tcPr>
                <w:p w14:paraId="5862DA9D">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0.57</w:t>
                  </w:r>
                </w:p>
              </w:tc>
            </w:tr>
            <w:tr w14:paraId="73FFA7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5" w:type="pct"/>
                  <w:vMerge w:val="continue"/>
                  <w:tcBorders>
                    <w:tl2br w:val="nil"/>
                    <w:tr2bl w:val="nil"/>
                  </w:tcBorders>
                  <w:noWrap w:val="0"/>
                  <w:vAlign w:val="center"/>
                </w:tcPr>
                <w:p w14:paraId="75E4AF24">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p>
              </w:tc>
              <w:tc>
                <w:tcPr>
                  <w:tcW w:w="1211" w:type="pct"/>
                  <w:tcBorders>
                    <w:tl2br w:val="nil"/>
                    <w:tr2bl w:val="nil"/>
                  </w:tcBorders>
                  <w:noWrap w:val="0"/>
                  <w:vAlign w:val="center"/>
                </w:tcPr>
                <w:p w14:paraId="3B14C663">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＞2</w:t>
                  </w:r>
                </w:p>
              </w:tc>
              <w:tc>
                <w:tcPr>
                  <w:tcW w:w="997" w:type="pct"/>
                  <w:gridSpan w:val="3"/>
                  <w:tcBorders>
                    <w:tl2br w:val="nil"/>
                    <w:tr2bl w:val="nil"/>
                  </w:tcBorders>
                  <w:noWrap w:val="0"/>
                  <w:vAlign w:val="center"/>
                </w:tcPr>
                <w:p w14:paraId="5611C667">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0.84</w:t>
                  </w:r>
                </w:p>
              </w:tc>
              <w:tc>
                <w:tcPr>
                  <w:tcW w:w="999" w:type="pct"/>
                  <w:gridSpan w:val="4"/>
                  <w:tcBorders>
                    <w:tl2br w:val="nil"/>
                    <w:tr2bl w:val="nil"/>
                  </w:tcBorders>
                  <w:noWrap w:val="0"/>
                  <w:vAlign w:val="center"/>
                </w:tcPr>
                <w:p w14:paraId="1DC27B72">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0.84</w:t>
                  </w:r>
                </w:p>
              </w:tc>
              <w:tc>
                <w:tcPr>
                  <w:tcW w:w="1005" w:type="pct"/>
                  <w:gridSpan w:val="3"/>
                  <w:tcBorders>
                    <w:tl2br w:val="nil"/>
                    <w:tr2bl w:val="nil"/>
                  </w:tcBorders>
                  <w:noWrap w:val="0"/>
                  <w:vAlign w:val="center"/>
                </w:tcPr>
                <w:p w14:paraId="4BB376C6">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0.76</w:t>
                  </w:r>
                </w:p>
              </w:tc>
            </w:tr>
            <w:tr w14:paraId="27A67A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12"/>
                  <w:tcBorders>
                    <w:tl2br w:val="nil"/>
                    <w:tr2bl w:val="nil"/>
                  </w:tcBorders>
                  <w:noWrap w:val="0"/>
                  <w:vAlign w:val="center"/>
                </w:tcPr>
                <w:p w14:paraId="047315E3">
                  <w:pPr>
                    <w:pStyle w:val="26"/>
                    <w:keepNext w:val="0"/>
                    <w:keepLines w:val="0"/>
                    <w:widowControl w:val="0"/>
                    <w:suppressLineNumbers w:val="0"/>
                    <w:bidi w:val="0"/>
                    <w:spacing w:before="0" w:beforeAutospacing="0" w:after="0" w:afterAutospacing="0"/>
                    <w:ind w:right="0"/>
                    <w:jc w:val="left"/>
                    <w:rPr>
                      <w:rFonts w:hint="default" w:ascii="Times New Roman" w:hAnsi="Times New Roman" w:cs="Times New Roman"/>
                      <w:color w:val="000000" w:themeColor="text1"/>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bidi="ar-SA"/>
                      <w14:textFill>
                        <w14:solidFill>
                          <w14:schemeClr w14:val="tx1"/>
                        </w14:solidFill>
                      </w14:textFill>
                    </w:rPr>
                    <w:t>注：Ⅰ类：与无组织排放源共存的排放同种有害气体的排气筒的排放量，大于或等于标准规定的允许排放量的1/3者；</w:t>
                  </w:r>
                </w:p>
                <w:p w14:paraId="6D1974CF">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right="0" w:firstLine="360" w:firstLineChars="200"/>
                    <w:jc w:val="left"/>
                    <w:textAlignment w:val="auto"/>
                    <w:rPr>
                      <w:rFonts w:hint="default" w:ascii="Times New Roman" w:hAnsi="Times New Roman" w:cs="Times New Roman"/>
                      <w:color w:val="000000" w:themeColor="text1"/>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bidi="ar-SA"/>
                      <w14:textFill>
                        <w14:solidFill>
                          <w14:schemeClr w14:val="tx1"/>
                        </w14:solidFill>
                      </w14:textFill>
                    </w:rPr>
                    <w:t>Ⅱ类：与无组织排放源共存的排放同种有害气体的排气筒的排放量，小于标准规定的允许排放量的1/3，或虽无排放同种大气污染物之排气筒共存，但无组织排放的有害物质的容许浓度指标是按急性反应指标确定者；</w:t>
                  </w:r>
                </w:p>
                <w:p w14:paraId="5C206EF7">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right="0" w:firstLine="360" w:firstLineChars="200"/>
                    <w:jc w:val="left"/>
                    <w:textAlignment w:val="auto"/>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bidi="ar-SA"/>
                      <w14:textFill>
                        <w14:solidFill>
                          <w14:schemeClr w14:val="tx1"/>
                        </w14:solidFill>
                      </w14:textFill>
                    </w:rPr>
                    <w:t>Ⅲ类：无排放同种有害物质的排气筒与无组织排放源共存，且无组织排放的有害物质的容许浓度是按慢性反应指标确定者。</w:t>
                  </w:r>
                </w:p>
              </w:tc>
            </w:tr>
          </w:tbl>
          <w:p w14:paraId="2E988647">
            <w:pPr>
              <w:bidi w:val="0"/>
              <w:rPr>
                <w:rFonts w:hint="default"/>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根据本项目无组织排放源特点和</w:t>
            </w:r>
            <w:r>
              <w:rPr>
                <w:rFonts w:hint="eastAsia" w:ascii="Times New Roman" w:hAnsi="Times New Roman" w:cs="Times New Roman"/>
                <w:color w:val="000000" w:themeColor="text1"/>
                <w:highlight w:val="none"/>
                <w:lang w:val="en-US" w:eastAsia="zh-CN"/>
                <w14:textFill>
                  <w14:solidFill>
                    <w14:schemeClr w14:val="tx1"/>
                  </w14:solidFill>
                </w14:textFill>
              </w:rPr>
              <w:t>永安</w:t>
            </w:r>
            <w:r>
              <w:rPr>
                <w:rFonts w:hint="default" w:ascii="Times New Roman" w:hAnsi="Times New Roman" w:cs="Times New Roman"/>
                <w:color w:val="000000" w:themeColor="text1"/>
                <w:highlight w:val="none"/>
                <w:lang w:val="en-US" w:eastAsia="zh-CN"/>
                <w14:textFill>
                  <w14:solidFill>
                    <w14:schemeClr w14:val="tx1"/>
                  </w14:solidFill>
                </w14:textFill>
              </w:rPr>
              <w:t>市多年平均风速（1.5</w:t>
            </w:r>
            <w:r>
              <w:rPr>
                <w:rFonts w:hint="eastAsia" w:ascii="Times New Roman" w:hAnsi="Times New Roman" w:cs="Times New Roman"/>
                <w:color w:val="000000" w:themeColor="text1"/>
                <w:highlight w:val="none"/>
                <w:lang w:val="en-US" w:eastAsia="zh-CN"/>
                <w14:textFill>
                  <w14:solidFill>
                    <w14:schemeClr w14:val="tx1"/>
                  </w14:solidFill>
                </w14:textFill>
              </w:rPr>
              <w:t>9</w:t>
            </w:r>
            <w:r>
              <w:rPr>
                <w:rFonts w:hint="default" w:ascii="Times New Roman" w:hAnsi="Times New Roman" w:cs="Times New Roman"/>
                <w:color w:val="000000" w:themeColor="text1"/>
                <w:highlight w:val="none"/>
                <w:lang w:val="en-US" w:eastAsia="zh-CN"/>
                <w14:textFill>
                  <w14:solidFill>
                    <w14:schemeClr w14:val="tx1"/>
                  </w14:solidFill>
                </w14:textFill>
              </w:rPr>
              <w:t xml:space="preserve"> m/s），选取卫生防护距离参数进行计算，根据《大气有害物质无组织排放卫生防护距离推导技术导则》（GB/T39499-2020）中卫生防护距离计算及取整方法，本项目涉及的污染因子主要有</w:t>
            </w:r>
            <w:r>
              <w:rPr>
                <w:rFonts w:hint="eastAsia" w:ascii="Times New Roman" w:hAnsi="Times New Roman" w:cs="Times New Roman"/>
                <w:color w:val="000000" w:themeColor="text1"/>
                <w:highlight w:val="none"/>
                <w:lang w:val="en-US" w:eastAsia="zh-CN"/>
                <w14:textFill>
                  <w14:solidFill>
                    <w14:schemeClr w14:val="tx1"/>
                  </w14:solidFill>
                </w14:textFill>
              </w:rPr>
              <w:t>苯并[a]芘、非甲烷总烃、TSP（沥青烟无环境空气质量标准，不列入计算）</w:t>
            </w:r>
            <w:r>
              <w:rPr>
                <w:rFonts w:hint="default" w:ascii="Times New Roman" w:hAnsi="Times New Roman" w:cs="Times New Roman"/>
                <w:color w:val="000000" w:themeColor="text1"/>
                <w:highlight w:val="none"/>
                <w:lang w:val="en-US" w:eastAsia="zh-CN"/>
                <w14:textFill>
                  <w14:solidFill>
                    <w14:schemeClr w14:val="tx1"/>
                  </w14:solidFill>
                </w14:textFill>
              </w:rPr>
              <w:t>，各无组织面源两种因子的等标排放量见</w:t>
            </w:r>
            <w:r>
              <w:rPr>
                <w:rFonts w:hint="eastAsia" w:ascii="Times New Roman" w:hAnsi="Times New Roman" w:cs="Times New Roman"/>
                <w:color w:val="000000" w:themeColor="text1"/>
                <w:highlight w:val="none"/>
                <w:lang w:val="en-US" w:eastAsia="zh-CN"/>
                <w14:textFill>
                  <w14:solidFill>
                    <w14:schemeClr w14:val="tx1"/>
                  </w14:solidFill>
                </w14:textFill>
              </w:rPr>
              <w:fldChar w:fldCharType="begin"/>
            </w:r>
            <w:r>
              <w:rPr>
                <w:rFonts w:hint="eastAsia" w:ascii="Times New Roman" w:hAnsi="Times New Roman" w:cs="Times New Roman"/>
                <w:color w:val="000000" w:themeColor="text1"/>
                <w:highlight w:val="none"/>
                <w:lang w:val="en-US" w:eastAsia="zh-CN"/>
                <w14:textFill>
                  <w14:solidFill>
                    <w14:schemeClr w14:val="tx1"/>
                  </w14:solidFill>
                </w14:textFill>
              </w:rPr>
              <w:instrText xml:space="preserve"> REF _Ref17739 \n \h </w:instrText>
            </w:r>
            <w:r>
              <w:rPr>
                <w:rFonts w:hint="eastAsia" w:ascii="Times New Roman" w:hAnsi="Times New Roman" w:cs="Times New Roman"/>
                <w:color w:val="000000" w:themeColor="text1"/>
                <w:highlight w:val="none"/>
                <w:lang w:val="en-US" w:eastAsia="zh-CN"/>
                <w14:textFill>
                  <w14:solidFill>
                    <w14:schemeClr w14:val="tx1"/>
                  </w14:solidFill>
                </w14:textFill>
              </w:rPr>
              <w:fldChar w:fldCharType="separate"/>
            </w:r>
            <w:r>
              <w:rPr>
                <w:rFonts w:hint="eastAsia" w:ascii="Times New Roman" w:hAnsi="Times New Roman" w:cs="Times New Roman"/>
                <w:color w:val="000000" w:themeColor="text1"/>
                <w:highlight w:val="none"/>
                <w:lang w:val="en-US" w:eastAsia="zh-CN"/>
                <w14:textFill>
                  <w14:solidFill>
                    <w14:schemeClr w14:val="tx1"/>
                  </w14:solidFill>
                </w14:textFill>
              </w:rPr>
              <w:t>表4.1-23</w:t>
            </w:r>
            <w:r>
              <w:rPr>
                <w:rFonts w:hint="eastAsia" w:ascii="Times New Roman" w:hAnsi="Times New Roman" w:cs="Times New Roman"/>
                <w:color w:val="000000" w:themeColor="text1"/>
                <w:highlight w:val="none"/>
                <w:lang w:val="en-US" w:eastAsia="zh-CN"/>
                <w14:textFill>
                  <w14:solidFill>
                    <w14:schemeClr w14:val="tx1"/>
                  </w14:solidFill>
                </w14:textFill>
              </w:rPr>
              <w:fldChar w:fldCharType="end"/>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根据《大气有害物质无组织排放卫生防护距离推导技术导则》（GB/T39499-2020）第4条，“当目标企业无组织排放存在多种有毒有害污染物时，基于单个污染物的等标排放量计算结果，优先选择等标排放量最大的污染物为企业无组织排放的主要特征大气有害物质。当前两种污染物的等标排放量相差在10%以内时，需要同时选择这两种特征大气有害物质分别计算卫生防护距离初值。”本项目无组织排放面源源强计算</w:t>
            </w:r>
            <w:r>
              <w:rPr>
                <w:rFonts w:hint="eastAsia" w:ascii="Times New Roman" w:hAnsi="Times New Roman" w:cs="Times New Roman"/>
                <w:color w:val="000000" w:themeColor="text1"/>
                <w:highlight w:val="none"/>
                <w:lang w:val="en-US" w:eastAsia="zh-CN"/>
                <w14:textFill>
                  <w14:solidFill>
                    <w14:schemeClr w14:val="tx1"/>
                  </w14:solidFill>
                </w14:textFill>
              </w:rPr>
              <w:t>环境</w:t>
            </w:r>
            <w:r>
              <w:rPr>
                <w:rFonts w:hint="default" w:ascii="Times New Roman" w:hAnsi="Times New Roman" w:cs="Times New Roman"/>
                <w:color w:val="000000" w:themeColor="text1"/>
                <w:highlight w:val="none"/>
                <w:lang w:val="en-US" w:eastAsia="zh-CN"/>
                <w14:textFill>
                  <w14:solidFill>
                    <w14:schemeClr w14:val="tx1"/>
                  </w14:solidFill>
                </w14:textFill>
              </w:rPr>
              <w:t>防护距离</w:t>
            </w:r>
            <w:r>
              <w:rPr>
                <w:rFonts w:hint="eastAsia" w:ascii="Times New Roman" w:hAnsi="Times New Roman" w:cs="Times New Roman"/>
                <w:color w:val="000000" w:themeColor="text1"/>
                <w:highlight w:val="none"/>
                <w:lang w:val="en-US" w:eastAsia="zh-CN"/>
                <w14:textFill>
                  <w14:solidFill>
                    <w14:schemeClr w14:val="tx1"/>
                  </w14:solidFill>
                </w14:textFill>
              </w:rPr>
              <w:t>计算结果</w:t>
            </w:r>
            <w:r>
              <w:rPr>
                <w:rFonts w:hint="default" w:ascii="Times New Roman" w:hAnsi="Times New Roman" w:cs="Times New Roman"/>
                <w:color w:val="000000" w:themeColor="text1"/>
                <w:highlight w:val="none"/>
                <w:lang w:val="en-US" w:eastAsia="zh-CN"/>
                <w14:textFill>
                  <w14:solidFill>
                    <w14:schemeClr w14:val="tx1"/>
                  </w14:solidFill>
                </w14:textFill>
              </w:rPr>
              <w:t>见</w: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begin"/>
            </w:r>
            <w:r>
              <w:rPr>
                <w:rFonts w:hint="default" w:ascii="Times New Roman" w:hAnsi="Times New Roman" w:cs="Times New Roman"/>
                <w:color w:val="000000" w:themeColor="text1"/>
                <w:highlight w:val="none"/>
                <w:lang w:val="en-US" w:eastAsia="zh-CN"/>
                <w14:textFill>
                  <w14:solidFill>
                    <w14:schemeClr w14:val="tx1"/>
                  </w14:solidFill>
                </w14:textFill>
              </w:rPr>
              <w:instrText xml:space="preserve"> REF _Ref17739 \n \h </w:instrTex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separate"/>
            </w:r>
            <w:r>
              <w:rPr>
                <w:rFonts w:hint="default" w:ascii="Times New Roman" w:hAnsi="Times New Roman" w:cs="Times New Roman"/>
                <w:color w:val="000000" w:themeColor="text1"/>
                <w:highlight w:val="none"/>
                <w:lang w:val="en-US" w:eastAsia="zh-CN"/>
                <w14:textFill>
                  <w14:solidFill>
                    <w14:schemeClr w14:val="tx1"/>
                  </w14:solidFill>
                </w14:textFill>
              </w:rPr>
              <w:t>表4.1-23</w: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end"/>
            </w:r>
            <w:r>
              <w:rPr>
                <w:rFonts w:hint="default" w:ascii="Times New Roman" w:hAnsi="Times New Roman" w:cs="Times New Roman"/>
                <w:color w:val="000000" w:themeColor="text1"/>
                <w:highlight w:val="none"/>
                <w:lang w:val="en-US" w:eastAsia="zh-CN"/>
                <w14:textFill>
                  <w14:solidFill>
                    <w14:schemeClr w14:val="tx1"/>
                  </w14:solidFill>
                </w14:textFill>
              </w:rPr>
              <w:t>所示。</w:t>
            </w:r>
          </w:p>
          <w:p w14:paraId="4748795F">
            <w:pPr>
              <w:pStyle w:val="30"/>
              <w:bidi w:val="0"/>
              <w:rPr>
                <w:rFonts w:hint="default"/>
                <w:color w:val="000000" w:themeColor="text1"/>
                <w:highlight w:val="none"/>
                <w:lang w:eastAsia="zh-CN"/>
                <w14:textFill>
                  <w14:solidFill>
                    <w14:schemeClr w14:val="tx1"/>
                  </w14:solidFill>
                </w14:textFill>
              </w:rPr>
            </w:pPr>
            <w:bookmarkStart w:id="200" w:name="_Ref17739"/>
            <w:r>
              <w:rPr>
                <w:rFonts w:hint="default"/>
                <w:color w:val="000000" w:themeColor="text1"/>
                <w:highlight w:val="none"/>
                <w:lang w:val="en-US" w:eastAsia="zh-CN"/>
                <w14:textFill>
                  <w14:solidFill>
                    <w14:schemeClr w14:val="tx1"/>
                  </w14:solidFill>
                </w14:textFill>
              </w:rPr>
              <w:t>项目卫生防护距离计算结果</w:t>
            </w:r>
            <w:bookmarkEnd w:id="200"/>
          </w:p>
          <w:tbl>
            <w:tblPr>
              <w:tblStyle w:val="18"/>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7"/>
              <w:gridCol w:w="972"/>
              <w:gridCol w:w="1005"/>
              <w:gridCol w:w="1050"/>
              <w:gridCol w:w="1091"/>
              <w:gridCol w:w="822"/>
              <w:gridCol w:w="773"/>
              <w:gridCol w:w="836"/>
              <w:gridCol w:w="826"/>
            </w:tblGrid>
            <w:tr w14:paraId="4AA4CB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2" w:type="pct"/>
                  <w:tcBorders>
                    <w:tl2br w:val="nil"/>
                    <w:tr2bl w:val="nil"/>
                  </w:tcBorders>
                  <w:noWrap w:val="0"/>
                  <w:vAlign w:val="center"/>
                </w:tcPr>
                <w:p w14:paraId="2EB6B9E3">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面源</w:t>
                  </w:r>
                </w:p>
                <w:p w14:paraId="43F0FFBB">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名称</w:t>
                  </w:r>
                </w:p>
              </w:tc>
              <w:tc>
                <w:tcPr>
                  <w:tcW w:w="586" w:type="pct"/>
                  <w:tcBorders>
                    <w:tl2br w:val="nil"/>
                    <w:tr2bl w:val="nil"/>
                  </w:tcBorders>
                  <w:noWrap w:val="0"/>
                  <w:vAlign w:val="center"/>
                </w:tcPr>
                <w:p w14:paraId="57046459">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面源长×宽×高（m）</w:t>
                  </w:r>
                </w:p>
              </w:tc>
              <w:tc>
                <w:tcPr>
                  <w:tcW w:w="606" w:type="pct"/>
                  <w:tcBorders>
                    <w:tl2br w:val="nil"/>
                    <w:tr2bl w:val="nil"/>
                  </w:tcBorders>
                  <w:noWrap w:val="0"/>
                  <w:vAlign w:val="center"/>
                </w:tcPr>
                <w:p w14:paraId="4E05CA04">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污染物名称</w:t>
                  </w:r>
                </w:p>
              </w:tc>
              <w:tc>
                <w:tcPr>
                  <w:tcW w:w="633" w:type="pct"/>
                  <w:tcBorders>
                    <w:tl2br w:val="nil"/>
                    <w:tr2bl w:val="nil"/>
                  </w:tcBorders>
                  <w:noWrap w:val="0"/>
                  <w:vAlign w:val="center"/>
                </w:tcPr>
                <w:p w14:paraId="5591C088">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污染物排放速率Qc（kg/h）</w:t>
                  </w:r>
                </w:p>
              </w:tc>
              <w:tc>
                <w:tcPr>
                  <w:tcW w:w="657" w:type="pct"/>
                  <w:tcBorders>
                    <w:tl2br w:val="nil"/>
                    <w:tr2bl w:val="nil"/>
                  </w:tcBorders>
                  <w:noWrap w:val="0"/>
                  <w:vAlign w:val="center"/>
                </w:tcPr>
                <w:p w14:paraId="0CBCE6C6">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标准值Qm（mg/m</w:t>
                  </w:r>
                  <w:r>
                    <w:rPr>
                      <w:rFonts w:hint="default" w:ascii="Times New Roman" w:hAnsi="Times New Roman" w:cs="Times New Roman"/>
                      <w:color w:val="000000" w:themeColor="text1"/>
                      <w:szCs w:val="20"/>
                      <w:highlight w:val="none"/>
                      <w:vertAlign w:val="superscript"/>
                      <w:lang w:val="en-US" w:eastAsia="zh-CN" w:bidi="ar-SA"/>
                      <w14:textFill>
                        <w14:solidFill>
                          <w14:schemeClr w14:val="tx1"/>
                        </w14:solidFill>
                      </w14:textFill>
                    </w:rPr>
                    <w:t>3</w:t>
                  </w: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w:t>
                  </w:r>
                </w:p>
              </w:tc>
              <w:tc>
                <w:tcPr>
                  <w:tcW w:w="495" w:type="pct"/>
                  <w:tcBorders>
                    <w:tl2br w:val="nil"/>
                    <w:tr2bl w:val="nil"/>
                  </w:tcBorders>
                  <w:noWrap w:val="0"/>
                  <w:vAlign w:val="center"/>
                </w:tcPr>
                <w:p w14:paraId="3B236258">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等标排放量Qc/Qm</w:t>
                  </w:r>
                </w:p>
              </w:tc>
              <w:tc>
                <w:tcPr>
                  <w:tcW w:w="466" w:type="pct"/>
                  <w:tcBorders>
                    <w:tl2br w:val="nil"/>
                    <w:tr2bl w:val="nil"/>
                  </w:tcBorders>
                  <w:noWrap w:val="0"/>
                  <w:vAlign w:val="center"/>
                </w:tcPr>
                <w:p w14:paraId="635DD596">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eastAsia" w:cs="Times New Roman"/>
                      <w:color w:val="000000" w:themeColor="text1"/>
                      <w:szCs w:val="20"/>
                      <w:highlight w:val="none"/>
                      <w:lang w:val="en-US" w:eastAsia="zh-CN" w:bidi="ar-SA"/>
                      <w14:textFill>
                        <w14:solidFill>
                          <w14:schemeClr w14:val="tx1"/>
                        </w14:solidFill>
                      </w14:textFill>
                    </w:rPr>
                    <w:t>等标排放量差值（%）</w:t>
                  </w:r>
                </w:p>
              </w:tc>
              <w:tc>
                <w:tcPr>
                  <w:tcW w:w="504" w:type="pct"/>
                  <w:tcBorders>
                    <w:tl2br w:val="nil"/>
                    <w:tr2bl w:val="nil"/>
                  </w:tcBorders>
                  <w:noWrap w:val="0"/>
                  <w:vAlign w:val="center"/>
                </w:tcPr>
                <w:p w14:paraId="049FBE3C">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卫生防护距离初值L（m）</w:t>
                  </w:r>
                </w:p>
              </w:tc>
              <w:tc>
                <w:tcPr>
                  <w:tcW w:w="498" w:type="pct"/>
                  <w:tcBorders>
                    <w:tl2br w:val="nil"/>
                    <w:tr2bl w:val="nil"/>
                  </w:tcBorders>
                  <w:noWrap w:val="0"/>
                  <w:vAlign w:val="center"/>
                </w:tcPr>
                <w:p w14:paraId="2E34869E">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取整提级卫生防护距离（m）</w:t>
                  </w:r>
                </w:p>
              </w:tc>
            </w:tr>
            <w:tr w14:paraId="4C48C5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2" w:type="pct"/>
                  <w:vMerge w:val="restart"/>
                  <w:tcBorders>
                    <w:tl2br w:val="nil"/>
                    <w:tr2bl w:val="nil"/>
                  </w:tcBorders>
                  <w:noWrap w:val="0"/>
                  <w:vAlign w:val="center"/>
                </w:tcPr>
                <w:p w14:paraId="0DF12922">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eastAsia" w:ascii="Times New Roman" w:hAnsi="Times New Roman" w:cs="Times New Roman"/>
                      <w:color w:val="000000" w:themeColor="text1"/>
                      <w:szCs w:val="20"/>
                      <w:highlight w:val="none"/>
                      <w:lang w:val="en-US" w:eastAsia="zh-CN" w:bidi="ar-SA"/>
                      <w14:textFill>
                        <w14:solidFill>
                          <w14:schemeClr w14:val="tx1"/>
                        </w14:solidFill>
                      </w14:textFill>
                    </w:rPr>
                    <w:t>一期工程M1（3#车间）</w:t>
                  </w:r>
                </w:p>
              </w:tc>
              <w:tc>
                <w:tcPr>
                  <w:tcW w:w="586" w:type="pct"/>
                  <w:vMerge w:val="restart"/>
                  <w:tcBorders>
                    <w:tl2br w:val="nil"/>
                    <w:tr2bl w:val="nil"/>
                  </w:tcBorders>
                  <w:noWrap w:val="0"/>
                  <w:vAlign w:val="center"/>
                </w:tcPr>
                <w:p w14:paraId="1C0896DA">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eastAsia" w:ascii="Times New Roman" w:hAnsi="Times New Roman" w:cs="Times New Roman"/>
                      <w:color w:val="000000" w:themeColor="text1"/>
                      <w:szCs w:val="20"/>
                      <w:highlight w:val="none"/>
                      <w:lang w:val="en-US" w:eastAsia="zh-CN" w:bidi="ar-SA"/>
                      <w14:textFill>
                        <w14:solidFill>
                          <w14:schemeClr w14:val="tx1"/>
                        </w14:solidFill>
                      </w14:textFill>
                    </w:rPr>
                    <w:t>77.5</w:t>
                  </w: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w:t>
                  </w:r>
                  <w:r>
                    <w:rPr>
                      <w:rFonts w:hint="eastAsia" w:ascii="Times New Roman" w:hAnsi="Times New Roman" w:cs="Times New Roman"/>
                      <w:color w:val="000000" w:themeColor="text1"/>
                      <w:szCs w:val="20"/>
                      <w:highlight w:val="none"/>
                      <w:lang w:val="en-US" w:eastAsia="zh-CN" w:bidi="ar-SA"/>
                      <w14:textFill>
                        <w14:solidFill>
                          <w14:schemeClr w14:val="tx1"/>
                        </w14:solidFill>
                      </w14:textFill>
                    </w:rPr>
                    <w:t>20</w:t>
                  </w: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w:t>
                  </w:r>
                  <w:r>
                    <w:rPr>
                      <w:rFonts w:hint="eastAsia" w:ascii="Times New Roman" w:hAnsi="Times New Roman" w:cs="Times New Roman"/>
                      <w:color w:val="000000" w:themeColor="text1"/>
                      <w:szCs w:val="20"/>
                      <w:highlight w:val="none"/>
                      <w:lang w:val="en-US" w:eastAsia="zh-CN" w:bidi="ar-SA"/>
                      <w14:textFill>
                        <w14:solidFill>
                          <w14:schemeClr w14:val="tx1"/>
                        </w14:solidFill>
                      </w14:textFill>
                    </w:rPr>
                    <w:t>10</w:t>
                  </w:r>
                </w:p>
              </w:tc>
              <w:tc>
                <w:tcPr>
                  <w:tcW w:w="606" w:type="pct"/>
                  <w:tcBorders>
                    <w:tl2br w:val="nil"/>
                    <w:tr2bl w:val="nil"/>
                  </w:tcBorders>
                  <w:noWrap w:val="0"/>
                  <w:vAlign w:val="center"/>
                </w:tcPr>
                <w:p w14:paraId="3BD9392D">
                  <w:pPr>
                    <w:pStyle w:val="26"/>
                    <w:bidi w:val="0"/>
                    <w:ind w:firstLine="0" w:firstLineChars="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苯并[a]芘</w:t>
                  </w:r>
                </w:p>
              </w:tc>
              <w:tc>
                <w:tcPr>
                  <w:tcW w:w="633" w:type="pct"/>
                  <w:tcBorders>
                    <w:tl2br w:val="nil"/>
                    <w:tr2bl w:val="nil"/>
                  </w:tcBorders>
                  <w:noWrap w:val="0"/>
                  <w:vAlign w:val="center"/>
                </w:tcPr>
                <w:p w14:paraId="1C7E8487">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2.25E-07</w:t>
                  </w:r>
                </w:p>
              </w:tc>
              <w:tc>
                <w:tcPr>
                  <w:tcW w:w="657" w:type="pct"/>
                  <w:tcBorders>
                    <w:tl2br w:val="nil"/>
                    <w:tr2bl w:val="nil"/>
                  </w:tcBorders>
                  <w:noWrap w:val="0"/>
                  <w:vAlign w:val="center"/>
                </w:tcPr>
                <w:p w14:paraId="70A8EA6A">
                  <w:pPr>
                    <w:pStyle w:val="26"/>
                    <w:keepNext w:val="0"/>
                    <w:keepLines w:val="0"/>
                    <w:widowControl w:val="0"/>
                    <w:suppressLineNumbers w:val="0"/>
                    <w:bidi w:val="0"/>
                    <w:spacing w:before="0" w:beforeAutospacing="0" w:after="0" w:afterAutospacing="0"/>
                    <w:ind w:right="0" w:rightChars="0" w:firstLine="0" w:firstLineChars="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eastAsia" w:ascii="Times New Roman" w:hAnsi="Times New Roman" w:cs="Times New Roman"/>
                      <w:color w:val="000000" w:themeColor="text1"/>
                      <w:szCs w:val="20"/>
                      <w:highlight w:val="none"/>
                      <w:lang w:val="en-US" w:eastAsia="zh-CN" w:bidi="ar-SA"/>
                      <w14:textFill>
                        <w14:solidFill>
                          <w14:schemeClr w14:val="tx1"/>
                        </w14:solidFill>
                      </w14:textFill>
                    </w:rPr>
                    <w:t>0.0075×10</w:t>
                  </w:r>
                  <w:r>
                    <w:rPr>
                      <w:rFonts w:hint="eastAsia" w:ascii="Times New Roman" w:hAnsi="Times New Roman" w:cs="Times New Roman"/>
                      <w:color w:val="000000" w:themeColor="text1"/>
                      <w:szCs w:val="20"/>
                      <w:highlight w:val="none"/>
                      <w:vertAlign w:val="superscript"/>
                      <w:lang w:val="en-US" w:eastAsia="zh-CN" w:bidi="ar-SA"/>
                      <w14:textFill>
                        <w14:solidFill>
                          <w14:schemeClr w14:val="tx1"/>
                        </w14:solidFill>
                      </w14:textFill>
                    </w:rPr>
                    <w:t>-3</w:t>
                  </w:r>
                </w:p>
              </w:tc>
              <w:tc>
                <w:tcPr>
                  <w:tcW w:w="495" w:type="pct"/>
                  <w:tcBorders>
                    <w:tl2br w:val="nil"/>
                    <w:tr2bl w:val="nil"/>
                  </w:tcBorders>
                  <w:noWrap w:val="0"/>
                  <w:vAlign w:val="center"/>
                </w:tcPr>
                <w:p w14:paraId="7802182D">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0.0300</w:t>
                  </w:r>
                </w:p>
              </w:tc>
              <w:tc>
                <w:tcPr>
                  <w:tcW w:w="466" w:type="pct"/>
                  <w:tcBorders>
                    <w:tl2br w:val="nil"/>
                    <w:tr2bl w:val="nil"/>
                  </w:tcBorders>
                  <w:noWrap w:val="0"/>
                  <w:vAlign w:val="center"/>
                </w:tcPr>
                <w:p w14:paraId="57B6FDBD">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22.68</w:t>
                  </w:r>
                </w:p>
              </w:tc>
              <w:tc>
                <w:tcPr>
                  <w:tcW w:w="504" w:type="pct"/>
                  <w:tcBorders>
                    <w:tl2br w:val="nil"/>
                    <w:tr2bl w:val="nil"/>
                  </w:tcBorders>
                  <w:noWrap w:val="0"/>
                  <w:vAlign w:val="center"/>
                </w:tcPr>
                <w:p w14:paraId="120C4634">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eastAsia" w:ascii="Times New Roman" w:hAnsi="Times New Roman" w:cs="Times New Roman"/>
                      <w:color w:val="000000" w:themeColor="text1"/>
                      <w:szCs w:val="20"/>
                      <w:highlight w:val="none"/>
                      <w:lang w:val="en-US" w:eastAsia="zh-CN" w:bidi="ar-SA"/>
                      <w14:textFill>
                        <w14:solidFill>
                          <w14:schemeClr w14:val="tx1"/>
                        </w14:solidFill>
                      </w14:textFill>
                    </w:rPr>
                    <w:t>9.055</w:t>
                  </w:r>
                </w:p>
              </w:tc>
              <w:tc>
                <w:tcPr>
                  <w:tcW w:w="498" w:type="pct"/>
                  <w:vMerge w:val="restart"/>
                  <w:tcBorders>
                    <w:tl2br w:val="nil"/>
                    <w:tr2bl w:val="nil"/>
                  </w:tcBorders>
                  <w:noWrap w:val="0"/>
                  <w:vAlign w:val="center"/>
                </w:tcPr>
                <w:p w14:paraId="3FA6B688">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eastAsia" w:ascii="Times New Roman" w:hAnsi="Times New Roman" w:cs="Times New Roman"/>
                      <w:color w:val="000000" w:themeColor="text1"/>
                      <w:szCs w:val="20"/>
                      <w:highlight w:val="none"/>
                      <w:lang w:val="en-US" w:eastAsia="zh-CN" w:bidi="ar-SA"/>
                      <w14:textFill>
                        <w14:solidFill>
                          <w14:schemeClr w14:val="tx1"/>
                        </w14:solidFill>
                      </w14:textFill>
                    </w:rPr>
                    <w:t>50</w:t>
                  </w:r>
                </w:p>
              </w:tc>
            </w:tr>
            <w:tr w14:paraId="3C303B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2" w:type="pct"/>
                  <w:vMerge w:val="continue"/>
                  <w:tcBorders>
                    <w:tl2br w:val="nil"/>
                    <w:tr2bl w:val="nil"/>
                  </w:tcBorders>
                  <w:noWrap w:val="0"/>
                  <w:vAlign w:val="center"/>
                </w:tcPr>
                <w:p w14:paraId="0CF2ED23">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p>
              </w:tc>
              <w:tc>
                <w:tcPr>
                  <w:tcW w:w="586" w:type="pct"/>
                  <w:vMerge w:val="continue"/>
                  <w:tcBorders>
                    <w:tl2br w:val="nil"/>
                    <w:tr2bl w:val="nil"/>
                  </w:tcBorders>
                  <w:noWrap w:val="0"/>
                  <w:vAlign w:val="center"/>
                </w:tcPr>
                <w:p w14:paraId="03712BC7">
                  <w:pPr>
                    <w:pStyle w:val="26"/>
                    <w:keepNext w:val="0"/>
                    <w:keepLines w:val="0"/>
                    <w:widowControl w:val="0"/>
                    <w:suppressLineNumbers w:val="0"/>
                    <w:bidi w:val="0"/>
                    <w:spacing w:before="0" w:beforeAutospacing="0" w:after="0" w:afterAutospacing="0"/>
                    <w:ind w:right="0"/>
                    <w:jc w:val="center"/>
                    <w:rPr>
                      <w:rFonts w:hint="eastAsia" w:ascii="Times New Roman" w:hAnsi="Times New Roman" w:cs="Times New Roman"/>
                      <w:color w:val="000000" w:themeColor="text1"/>
                      <w:szCs w:val="20"/>
                      <w:highlight w:val="none"/>
                      <w:lang w:val="en-US" w:eastAsia="zh-CN" w:bidi="ar-SA"/>
                      <w14:textFill>
                        <w14:solidFill>
                          <w14:schemeClr w14:val="tx1"/>
                        </w14:solidFill>
                      </w14:textFill>
                    </w:rPr>
                  </w:pPr>
                </w:p>
              </w:tc>
              <w:tc>
                <w:tcPr>
                  <w:tcW w:w="606" w:type="pct"/>
                  <w:tcBorders>
                    <w:tl2br w:val="nil"/>
                    <w:tr2bl w:val="nil"/>
                  </w:tcBorders>
                  <w:noWrap w:val="0"/>
                  <w:vAlign w:val="center"/>
                </w:tcPr>
                <w:p w14:paraId="6D64F4A0">
                  <w:pPr>
                    <w:pStyle w:val="26"/>
                    <w:bidi w:val="0"/>
                    <w:ind w:firstLine="0" w:firstLineChars="0"/>
                    <w:jc w:val="center"/>
                    <w:rPr>
                      <w:rFonts w:hint="eastAsia" w:ascii="Times New Roman" w:hAnsi="Times New Roman" w:cs="Times New Roman"/>
                      <w:color w:val="000000" w:themeColor="text1"/>
                      <w:szCs w:val="20"/>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TSP</w:t>
                  </w:r>
                </w:p>
              </w:tc>
              <w:tc>
                <w:tcPr>
                  <w:tcW w:w="633" w:type="pct"/>
                  <w:tcBorders>
                    <w:tl2br w:val="nil"/>
                    <w:tr2bl w:val="nil"/>
                  </w:tcBorders>
                  <w:noWrap w:val="0"/>
                  <w:vAlign w:val="center"/>
                </w:tcPr>
                <w:p w14:paraId="7236723C">
                  <w:pPr>
                    <w:pStyle w:val="26"/>
                    <w:bidi w:val="0"/>
                    <w:ind w:firstLine="0" w:firstLineChars="0"/>
                    <w:jc w:val="center"/>
                    <w:rPr>
                      <w:rFonts w:hint="eastAsia"/>
                      <w:color w:val="000000" w:themeColor="text1"/>
                      <w:sz w:val="21"/>
                      <w:szCs w:val="22"/>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0.0127</w:t>
                  </w:r>
                </w:p>
              </w:tc>
              <w:tc>
                <w:tcPr>
                  <w:tcW w:w="657" w:type="pct"/>
                  <w:tcBorders>
                    <w:tl2br w:val="nil"/>
                    <w:tr2bl w:val="nil"/>
                  </w:tcBorders>
                  <w:noWrap w:val="0"/>
                  <w:vAlign w:val="center"/>
                </w:tcPr>
                <w:p w14:paraId="72ED779E">
                  <w:pPr>
                    <w:pStyle w:val="26"/>
                    <w:keepNext w:val="0"/>
                    <w:keepLines w:val="0"/>
                    <w:widowControl w:val="0"/>
                    <w:suppressLineNumbers w:val="0"/>
                    <w:bidi w:val="0"/>
                    <w:spacing w:before="0" w:beforeAutospacing="0" w:after="0" w:afterAutospacing="0"/>
                    <w:ind w:right="0" w:rightChars="0" w:firstLine="0" w:firstLineChars="0"/>
                    <w:jc w:val="center"/>
                    <w:rPr>
                      <w:rFonts w:hint="eastAsia" w:ascii="Times New Roman" w:hAnsi="Times New Roman" w:cs="Times New Roman"/>
                      <w:color w:val="000000" w:themeColor="text1"/>
                      <w:szCs w:val="20"/>
                      <w:highlight w:val="none"/>
                      <w:lang w:val="en-US" w:eastAsia="zh-CN" w:bidi="ar-SA"/>
                      <w14:textFill>
                        <w14:solidFill>
                          <w14:schemeClr w14:val="tx1"/>
                        </w14:solidFill>
                      </w14:textFill>
                    </w:rPr>
                  </w:pPr>
                  <w:r>
                    <w:rPr>
                      <w:rFonts w:hint="eastAsia" w:ascii="Times New Roman" w:hAnsi="Times New Roman" w:cs="Times New Roman"/>
                      <w:color w:val="000000" w:themeColor="text1"/>
                      <w:szCs w:val="20"/>
                      <w:highlight w:val="none"/>
                      <w:lang w:val="en-US" w:eastAsia="zh-CN" w:bidi="ar-SA"/>
                      <w14:textFill>
                        <w14:solidFill>
                          <w14:schemeClr w14:val="tx1"/>
                        </w14:solidFill>
                      </w14:textFill>
                    </w:rPr>
                    <w:t>0.9</w:t>
                  </w:r>
                </w:p>
              </w:tc>
              <w:tc>
                <w:tcPr>
                  <w:tcW w:w="495" w:type="pct"/>
                  <w:tcBorders>
                    <w:tl2br w:val="nil"/>
                    <w:tr2bl w:val="nil"/>
                  </w:tcBorders>
                  <w:noWrap w:val="0"/>
                  <w:vAlign w:val="center"/>
                </w:tcPr>
                <w:p w14:paraId="74B19FFD">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0.0141</w:t>
                  </w:r>
                </w:p>
              </w:tc>
              <w:tc>
                <w:tcPr>
                  <w:tcW w:w="466" w:type="pct"/>
                  <w:tcBorders>
                    <w:tl2br w:val="nil"/>
                    <w:tr2bl w:val="nil"/>
                  </w:tcBorders>
                  <w:noWrap w:val="0"/>
                  <w:vAlign w:val="center"/>
                </w:tcPr>
                <w:p w14:paraId="36F30791">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w:t>
                  </w:r>
                </w:p>
              </w:tc>
              <w:tc>
                <w:tcPr>
                  <w:tcW w:w="504" w:type="pct"/>
                  <w:tcBorders>
                    <w:tl2br w:val="nil"/>
                    <w:tr2bl w:val="nil"/>
                  </w:tcBorders>
                  <w:noWrap w:val="0"/>
                  <w:vAlign w:val="center"/>
                </w:tcPr>
                <w:p w14:paraId="7ADE6A44">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eastAsia" w:ascii="Times New Roman" w:hAnsi="Times New Roman" w:cs="Times New Roman"/>
                      <w:color w:val="000000" w:themeColor="text1"/>
                      <w:szCs w:val="20"/>
                      <w:highlight w:val="none"/>
                      <w:lang w:val="en-US" w:eastAsia="zh-CN" w:bidi="ar-SA"/>
                      <w14:textFill>
                        <w14:solidFill>
                          <w14:schemeClr w14:val="tx1"/>
                        </w14:solidFill>
                      </w14:textFill>
                    </w:rPr>
                    <w:t>/</w:t>
                  </w:r>
                </w:p>
              </w:tc>
              <w:tc>
                <w:tcPr>
                  <w:tcW w:w="498" w:type="pct"/>
                  <w:vMerge w:val="continue"/>
                  <w:tcBorders>
                    <w:tl2br w:val="nil"/>
                    <w:tr2bl w:val="nil"/>
                  </w:tcBorders>
                  <w:noWrap w:val="0"/>
                  <w:vAlign w:val="center"/>
                </w:tcPr>
                <w:p w14:paraId="1E8C7F6B">
                  <w:pPr>
                    <w:pStyle w:val="26"/>
                    <w:keepNext w:val="0"/>
                    <w:keepLines w:val="0"/>
                    <w:widowControl w:val="0"/>
                    <w:suppressLineNumbers w:val="0"/>
                    <w:bidi w:val="0"/>
                    <w:spacing w:before="0" w:beforeAutospacing="0" w:after="0" w:afterAutospacing="0"/>
                    <w:ind w:right="0"/>
                    <w:jc w:val="center"/>
                    <w:rPr>
                      <w:rFonts w:hint="eastAsia" w:ascii="Times New Roman" w:hAnsi="Times New Roman" w:cs="Times New Roman"/>
                      <w:color w:val="000000" w:themeColor="text1"/>
                      <w:szCs w:val="20"/>
                      <w:highlight w:val="none"/>
                      <w:lang w:val="en-US" w:eastAsia="zh-CN" w:bidi="ar-SA"/>
                      <w14:textFill>
                        <w14:solidFill>
                          <w14:schemeClr w14:val="tx1"/>
                        </w14:solidFill>
                      </w14:textFill>
                    </w:rPr>
                  </w:pPr>
                </w:p>
              </w:tc>
            </w:tr>
            <w:tr w14:paraId="6D10D1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2" w:type="pct"/>
                  <w:vMerge w:val="continue"/>
                  <w:tcBorders>
                    <w:tl2br w:val="nil"/>
                    <w:tr2bl w:val="nil"/>
                  </w:tcBorders>
                  <w:noWrap w:val="0"/>
                  <w:vAlign w:val="center"/>
                </w:tcPr>
                <w:p w14:paraId="12966B59">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p>
              </w:tc>
              <w:tc>
                <w:tcPr>
                  <w:tcW w:w="586" w:type="pct"/>
                  <w:vMerge w:val="continue"/>
                  <w:tcBorders>
                    <w:tl2br w:val="nil"/>
                    <w:tr2bl w:val="nil"/>
                  </w:tcBorders>
                  <w:noWrap w:val="0"/>
                  <w:vAlign w:val="center"/>
                </w:tcPr>
                <w:p w14:paraId="13757159">
                  <w:pPr>
                    <w:pStyle w:val="26"/>
                    <w:keepNext w:val="0"/>
                    <w:keepLines w:val="0"/>
                    <w:widowControl w:val="0"/>
                    <w:suppressLineNumbers w:val="0"/>
                    <w:bidi w:val="0"/>
                    <w:spacing w:before="0" w:beforeAutospacing="0" w:after="0" w:afterAutospacing="0"/>
                    <w:ind w:right="0"/>
                    <w:jc w:val="center"/>
                    <w:rPr>
                      <w:rFonts w:hint="eastAsia" w:ascii="Times New Roman" w:hAnsi="Times New Roman" w:cs="Times New Roman"/>
                      <w:color w:val="000000" w:themeColor="text1"/>
                      <w:szCs w:val="20"/>
                      <w:highlight w:val="none"/>
                      <w:lang w:val="en-US" w:eastAsia="zh-CN" w:bidi="ar-SA"/>
                      <w14:textFill>
                        <w14:solidFill>
                          <w14:schemeClr w14:val="tx1"/>
                        </w14:solidFill>
                      </w14:textFill>
                    </w:rPr>
                  </w:pPr>
                </w:p>
              </w:tc>
              <w:tc>
                <w:tcPr>
                  <w:tcW w:w="606" w:type="pct"/>
                  <w:tcBorders>
                    <w:tl2br w:val="nil"/>
                    <w:tr2bl w:val="nil"/>
                  </w:tcBorders>
                  <w:noWrap w:val="0"/>
                  <w:vAlign w:val="center"/>
                </w:tcPr>
                <w:p w14:paraId="5D5ABCF2">
                  <w:pPr>
                    <w:pStyle w:val="26"/>
                    <w:bidi w:val="0"/>
                    <w:ind w:firstLine="0" w:firstLineChars="0"/>
                    <w:jc w:val="center"/>
                    <w:rPr>
                      <w:rFonts w:hint="eastAsia" w:ascii="Times New Roman" w:hAnsi="Times New Roman" w:cs="Times New Roman"/>
                      <w:color w:val="000000" w:themeColor="text1"/>
                      <w:szCs w:val="20"/>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非甲烷总烃</w:t>
                  </w:r>
                </w:p>
              </w:tc>
              <w:tc>
                <w:tcPr>
                  <w:tcW w:w="633" w:type="pct"/>
                  <w:tcBorders>
                    <w:tl2br w:val="nil"/>
                    <w:tr2bl w:val="nil"/>
                  </w:tcBorders>
                  <w:noWrap w:val="0"/>
                  <w:vAlign w:val="center"/>
                </w:tcPr>
                <w:p w14:paraId="07830DD2">
                  <w:pPr>
                    <w:pStyle w:val="26"/>
                    <w:bidi w:val="0"/>
                    <w:ind w:firstLine="0" w:firstLineChars="0"/>
                    <w:jc w:val="center"/>
                    <w:rPr>
                      <w:rFonts w:hint="eastAsia"/>
                      <w:color w:val="000000" w:themeColor="text1"/>
                      <w:sz w:val="21"/>
                      <w:szCs w:val="22"/>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0.077</w:t>
                  </w:r>
                  <w:r>
                    <w:rPr>
                      <w:rFonts w:hint="eastAsia"/>
                      <w:color w:val="000000" w:themeColor="text1"/>
                      <w:highlight w:val="none"/>
                      <w:lang w:val="en-US" w:eastAsia="zh-CN" w:bidi="ar-SA"/>
                      <w14:textFill>
                        <w14:solidFill>
                          <w14:schemeClr w14:val="tx1"/>
                        </w14:solidFill>
                      </w14:textFill>
                    </w:rPr>
                    <w:t>6</w:t>
                  </w:r>
                </w:p>
              </w:tc>
              <w:tc>
                <w:tcPr>
                  <w:tcW w:w="657" w:type="pct"/>
                  <w:tcBorders>
                    <w:tl2br w:val="nil"/>
                    <w:tr2bl w:val="nil"/>
                  </w:tcBorders>
                  <w:noWrap w:val="0"/>
                  <w:vAlign w:val="center"/>
                </w:tcPr>
                <w:p w14:paraId="2C4AB0F0">
                  <w:pPr>
                    <w:pStyle w:val="26"/>
                    <w:keepNext w:val="0"/>
                    <w:keepLines w:val="0"/>
                    <w:widowControl w:val="0"/>
                    <w:suppressLineNumbers w:val="0"/>
                    <w:bidi w:val="0"/>
                    <w:spacing w:before="0" w:beforeAutospacing="0" w:after="0" w:afterAutospacing="0"/>
                    <w:ind w:right="0" w:rightChars="0" w:firstLine="0" w:firstLineChars="0"/>
                    <w:jc w:val="center"/>
                    <w:rPr>
                      <w:rFonts w:hint="eastAsia" w:ascii="Times New Roman" w:hAnsi="Times New Roman" w:cs="Times New Roman"/>
                      <w:color w:val="000000" w:themeColor="text1"/>
                      <w:szCs w:val="20"/>
                      <w:highlight w:val="none"/>
                      <w:lang w:val="en-US" w:eastAsia="zh-CN" w:bidi="ar-SA"/>
                      <w14:textFill>
                        <w14:solidFill>
                          <w14:schemeClr w14:val="tx1"/>
                        </w14:solidFill>
                      </w14:textFill>
                    </w:rPr>
                  </w:pPr>
                  <w:r>
                    <w:rPr>
                      <w:rFonts w:hint="eastAsia" w:ascii="Times New Roman" w:hAnsi="Times New Roman" w:cs="Times New Roman"/>
                      <w:color w:val="000000" w:themeColor="text1"/>
                      <w:szCs w:val="20"/>
                      <w:highlight w:val="none"/>
                      <w:lang w:val="en-US" w:eastAsia="zh-CN" w:bidi="ar-SA"/>
                      <w14:textFill>
                        <w14:solidFill>
                          <w14:schemeClr w14:val="tx1"/>
                        </w14:solidFill>
                      </w14:textFill>
                    </w:rPr>
                    <w:t>2.0</w:t>
                  </w:r>
                </w:p>
              </w:tc>
              <w:tc>
                <w:tcPr>
                  <w:tcW w:w="495" w:type="pct"/>
                  <w:tcBorders>
                    <w:tl2br w:val="nil"/>
                    <w:tr2bl w:val="nil"/>
                  </w:tcBorders>
                  <w:noWrap w:val="0"/>
                  <w:vAlign w:val="center"/>
                </w:tcPr>
                <w:p w14:paraId="42DC6114">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0.0388</w:t>
                  </w:r>
                </w:p>
              </w:tc>
              <w:tc>
                <w:tcPr>
                  <w:tcW w:w="466" w:type="pct"/>
                  <w:tcBorders>
                    <w:tl2br w:val="nil"/>
                    <w:tr2bl w:val="nil"/>
                  </w:tcBorders>
                  <w:noWrap w:val="0"/>
                  <w:vAlign w:val="center"/>
                </w:tcPr>
                <w:p w14:paraId="7079C00F">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22.68</w:t>
                  </w:r>
                </w:p>
              </w:tc>
              <w:tc>
                <w:tcPr>
                  <w:tcW w:w="504" w:type="pct"/>
                  <w:tcBorders>
                    <w:tl2br w:val="nil"/>
                    <w:tr2bl w:val="nil"/>
                  </w:tcBorders>
                  <w:noWrap w:val="0"/>
                  <w:vAlign w:val="center"/>
                </w:tcPr>
                <w:p w14:paraId="3E20855B">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eastAsia" w:ascii="Times New Roman" w:hAnsi="Times New Roman" w:cs="Times New Roman"/>
                      <w:color w:val="000000" w:themeColor="text1"/>
                      <w:szCs w:val="20"/>
                      <w:highlight w:val="none"/>
                      <w:lang w:val="en-US" w:eastAsia="zh-CN" w:bidi="ar-SA"/>
                      <w14:textFill>
                        <w14:solidFill>
                          <w14:schemeClr w14:val="tx1"/>
                        </w14:solidFill>
                      </w14:textFill>
                    </w:rPr>
                    <w:t>/</w:t>
                  </w:r>
                </w:p>
              </w:tc>
              <w:tc>
                <w:tcPr>
                  <w:tcW w:w="498" w:type="pct"/>
                  <w:vMerge w:val="continue"/>
                  <w:tcBorders>
                    <w:tl2br w:val="nil"/>
                    <w:tr2bl w:val="nil"/>
                  </w:tcBorders>
                  <w:noWrap w:val="0"/>
                  <w:vAlign w:val="center"/>
                </w:tcPr>
                <w:p w14:paraId="3D5791D4">
                  <w:pPr>
                    <w:pStyle w:val="26"/>
                    <w:keepNext w:val="0"/>
                    <w:keepLines w:val="0"/>
                    <w:widowControl w:val="0"/>
                    <w:suppressLineNumbers w:val="0"/>
                    <w:bidi w:val="0"/>
                    <w:spacing w:before="0" w:beforeAutospacing="0" w:after="0" w:afterAutospacing="0"/>
                    <w:ind w:right="0"/>
                    <w:jc w:val="center"/>
                    <w:rPr>
                      <w:rFonts w:hint="eastAsia" w:ascii="Times New Roman" w:hAnsi="Times New Roman" w:cs="Times New Roman"/>
                      <w:color w:val="000000" w:themeColor="text1"/>
                      <w:szCs w:val="20"/>
                      <w:highlight w:val="none"/>
                      <w:lang w:val="en-US" w:eastAsia="zh-CN" w:bidi="ar-SA"/>
                      <w14:textFill>
                        <w14:solidFill>
                          <w14:schemeClr w14:val="tx1"/>
                        </w14:solidFill>
                      </w14:textFill>
                    </w:rPr>
                  </w:pPr>
                </w:p>
              </w:tc>
            </w:tr>
            <w:tr w14:paraId="200BEB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2" w:type="pct"/>
                  <w:vMerge w:val="restart"/>
                  <w:tcBorders>
                    <w:tl2br w:val="nil"/>
                    <w:tr2bl w:val="nil"/>
                  </w:tcBorders>
                  <w:noWrap w:val="0"/>
                  <w:vAlign w:val="center"/>
                </w:tcPr>
                <w:p w14:paraId="47959F14">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eastAsia" w:ascii="Times New Roman" w:hAnsi="Times New Roman" w:cs="Times New Roman"/>
                      <w:color w:val="000000" w:themeColor="text1"/>
                      <w:szCs w:val="20"/>
                      <w:highlight w:val="none"/>
                      <w:lang w:val="en-US" w:eastAsia="zh-CN" w:bidi="ar-SA"/>
                      <w14:textFill>
                        <w14:solidFill>
                          <w14:schemeClr w14:val="tx1"/>
                        </w14:solidFill>
                      </w14:textFill>
                    </w:rPr>
                    <w:t>二期工程</w:t>
                  </w: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M</w:t>
                  </w:r>
                  <w:r>
                    <w:rPr>
                      <w:rFonts w:hint="eastAsia" w:ascii="Times New Roman" w:hAnsi="Times New Roman" w:cs="Times New Roman"/>
                      <w:color w:val="000000" w:themeColor="text1"/>
                      <w:szCs w:val="20"/>
                      <w:highlight w:val="none"/>
                      <w:lang w:val="en-US" w:eastAsia="zh-CN" w:bidi="ar-SA"/>
                      <w14:textFill>
                        <w14:solidFill>
                          <w14:schemeClr w14:val="tx1"/>
                        </w14:solidFill>
                      </w14:textFill>
                    </w:rPr>
                    <w:t>2（</w:t>
                  </w:r>
                  <w:r>
                    <w:rPr>
                      <w:rFonts w:hint="eastAsia" w:ascii="Times New Roman" w:hAnsi="Times New Roman" w:cs="Times New Roman"/>
                      <w:color w:val="000000" w:themeColor="text1"/>
                      <w:sz w:val="21"/>
                      <w:szCs w:val="22"/>
                      <w:highlight w:val="none"/>
                      <w:lang w:val="en-US" w:eastAsia="zh-CN" w:bidi="ar-SA"/>
                      <w14:textFill>
                        <w14:solidFill>
                          <w14:schemeClr w14:val="tx1"/>
                        </w14:solidFill>
                      </w14:textFill>
                    </w:rPr>
                    <w:t>1#车间</w:t>
                  </w:r>
                  <w:r>
                    <w:rPr>
                      <w:rFonts w:hint="eastAsia" w:ascii="Times New Roman" w:hAnsi="Times New Roman" w:cs="Times New Roman"/>
                      <w:color w:val="000000" w:themeColor="text1"/>
                      <w:szCs w:val="20"/>
                      <w:highlight w:val="none"/>
                      <w:lang w:val="en-US" w:eastAsia="zh-CN" w:bidi="ar-SA"/>
                      <w14:textFill>
                        <w14:solidFill>
                          <w14:schemeClr w14:val="tx1"/>
                        </w14:solidFill>
                      </w14:textFill>
                    </w:rPr>
                    <w:t>）</w:t>
                  </w:r>
                </w:p>
              </w:tc>
              <w:tc>
                <w:tcPr>
                  <w:tcW w:w="586" w:type="pct"/>
                  <w:vMerge w:val="restart"/>
                  <w:tcBorders>
                    <w:tl2br w:val="nil"/>
                    <w:tr2bl w:val="nil"/>
                  </w:tcBorders>
                  <w:noWrap w:val="0"/>
                  <w:vAlign w:val="center"/>
                </w:tcPr>
                <w:p w14:paraId="0A4B902F">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eastAsia" w:ascii="Times New Roman" w:hAnsi="Times New Roman" w:cs="Times New Roman"/>
                      <w:color w:val="000000" w:themeColor="text1"/>
                      <w:szCs w:val="20"/>
                      <w:highlight w:val="none"/>
                      <w:lang w:val="en-US" w:eastAsia="zh-CN" w:bidi="ar-SA"/>
                      <w14:textFill>
                        <w14:solidFill>
                          <w14:schemeClr w14:val="tx1"/>
                        </w14:solidFill>
                      </w14:textFill>
                    </w:rPr>
                    <w:t>77.5</w:t>
                  </w: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×4</w:t>
                  </w:r>
                  <w:r>
                    <w:rPr>
                      <w:rFonts w:hint="eastAsia" w:ascii="Times New Roman" w:hAnsi="Times New Roman" w:cs="Times New Roman"/>
                      <w:color w:val="000000" w:themeColor="text1"/>
                      <w:szCs w:val="20"/>
                      <w:highlight w:val="none"/>
                      <w:lang w:val="en-US" w:eastAsia="zh-CN" w:bidi="ar-SA"/>
                      <w14:textFill>
                        <w14:solidFill>
                          <w14:schemeClr w14:val="tx1"/>
                        </w14:solidFill>
                      </w14:textFill>
                    </w:rPr>
                    <w:t>0</w:t>
                  </w:r>
                  <w:r>
                    <w:rPr>
                      <w:rFonts w:hint="default" w:ascii="Times New Roman" w:hAnsi="Times New Roman" w:cs="Times New Roman"/>
                      <w:color w:val="000000" w:themeColor="text1"/>
                      <w:szCs w:val="20"/>
                      <w:highlight w:val="none"/>
                      <w:lang w:val="en-US" w:eastAsia="zh-CN" w:bidi="ar-SA"/>
                      <w14:textFill>
                        <w14:solidFill>
                          <w14:schemeClr w14:val="tx1"/>
                        </w14:solidFill>
                      </w14:textFill>
                    </w:rPr>
                    <w:t>×</w:t>
                  </w:r>
                  <w:r>
                    <w:rPr>
                      <w:rFonts w:hint="eastAsia" w:ascii="Times New Roman" w:hAnsi="Times New Roman" w:cs="Times New Roman"/>
                      <w:color w:val="000000" w:themeColor="text1"/>
                      <w:szCs w:val="20"/>
                      <w:highlight w:val="none"/>
                      <w:lang w:val="en-US" w:eastAsia="zh-CN" w:bidi="ar-SA"/>
                      <w14:textFill>
                        <w14:solidFill>
                          <w14:schemeClr w14:val="tx1"/>
                        </w14:solidFill>
                      </w14:textFill>
                    </w:rPr>
                    <w:t>10</w:t>
                  </w:r>
                </w:p>
              </w:tc>
              <w:tc>
                <w:tcPr>
                  <w:tcW w:w="606" w:type="pct"/>
                  <w:tcBorders>
                    <w:tl2br w:val="nil"/>
                    <w:tr2bl w:val="nil"/>
                  </w:tcBorders>
                  <w:noWrap w:val="0"/>
                  <w:vAlign w:val="center"/>
                </w:tcPr>
                <w:p w14:paraId="26034AE5">
                  <w:pPr>
                    <w:pStyle w:val="26"/>
                    <w:bidi w:val="0"/>
                    <w:ind w:firstLine="0" w:firstLineChars="0"/>
                    <w:jc w:val="center"/>
                    <w:rPr>
                      <w:rFonts w:hint="default"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苯并[a]芘</w:t>
                  </w:r>
                </w:p>
              </w:tc>
              <w:tc>
                <w:tcPr>
                  <w:tcW w:w="633" w:type="pct"/>
                  <w:tcBorders>
                    <w:tl2br w:val="nil"/>
                    <w:tr2bl w:val="nil"/>
                  </w:tcBorders>
                  <w:noWrap w:val="0"/>
                  <w:vAlign w:val="center"/>
                </w:tcPr>
                <w:p w14:paraId="244BCF60">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5.25E-07</w:t>
                  </w:r>
                </w:p>
              </w:tc>
              <w:tc>
                <w:tcPr>
                  <w:tcW w:w="657" w:type="pct"/>
                  <w:tcBorders>
                    <w:tl2br w:val="nil"/>
                    <w:tr2bl w:val="nil"/>
                  </w:tcBorders>
                  <w:noWrap w:val="0"/>
                  <w:vAlign w:val="center"/>
                </w:tcPr>
                <w:p w14:paraId="0FEF88B1">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eastAsia" w:ascii="Times New Roman" w:hAnsi="Times New Roman" w:cs="Times New Roman"/>
                      <w:color w:val="000000" w:themeColor="text1"/>
                      <w:szCs w:val="20"/>
                      <w:highlight w:val="none"/>
                      <w:lang w:val="en-US" w:eastAsia="zh-CN" w:bidi="ar-SA"/>
                      <w14:textFill>
                        <w14:solidFill>
                          <w14:schemeClr w14:val="tx1"/>
                        </w14:solidFill>
                      </w14:textFill>
                    </w:rPr>
                    <w:t>0.0075×10</w:t>
                  </w:r>
                  <w:r>
                    <w:rPr>
                      <w:rFonts w:hint="eastAsia" w:ascii="Times New Roman" w:hAnsi="Times New Roman" w:cs="Times New Roman"/>
                      <w:color w:val="000000" w:themeColor="text1"/>
                      <w:szCs w:val="20"/>
                      <w:highlight w:val="none"/>
                      <w:vertAlign w:val="superscript"/>
                      <w:lang w:val="en-US" w:eastAsia="zh-CN" w:bidi="ar-SA"/>
                      <w14:textFill>
                        <w14:solidFill>
                          <w14:schemeClr w14:val="tx1"/>
                        </w14:solidFill>
                      </w14:textFill>
                    </w:rPr>
                    <w:t>-3</w:t>
                  </w:r>
                </w:p>
              </w:tc>
              <w:tc>
                <w:tcPr>
                  <w:tcW w:w="495" w:type="pct"/>
                  <w:tcBorders>
                    <w:tl2br w:val="nil"/>
                    <w:tr2bl w:val="nil"/>
                  </w:tcBorders>
                  <w:noWrap w:val="0"/>
                  <w:vAlign w:val="center"/>
                </w:tcPr>
                <w:p w14:paraId="6FA2389B">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0.0700</w:t>
                  </w:r>
                </w:p>
              </w:tc>
              <w:tc>
                <w:tcPr>
                  <w:tcW w:w="466" w:type="pct"/>
                  <w:tcBorders>
                    <w:tl2br w:val="nil"/>
                    <w:tr2bl w:val="nil"/>
                  </w:tcBorders>
                  <w:noWrap w:val="0"/>
                  <w:vAlign w:val="center"/>
                </w:tcPr>
                <w:p w14:paraId="1FCB91BD">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22.57</w:t>
                  </w:r>
                </w:p>
              </w:tc>
              <w:tc>
                <w:tcPr>
                  <w:tcW w:w="504" w:type="pct"/>
                  <w:tcBorders>
                    <w:tl2br w:val="nil"/>
                    <w:tr2bl w:val="nil"/>
                  </w:tcBorders>
                  <w:noWrap w:val="0"/>
                  <w:vAlign w:val="center"/>
                </w:tcPr>
                <w:p w14:paraId="14657486">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eastAsia" w:ascii="Times New Roman" w:hAnsi="Times New Roman" w:cs="Times New Roman"/>
                      <w:color w:val="000000" w:themeColor="text1"/>
                      <w:szCs w:val="20"/>
                      <w:highlight w:val="none"/>
                      <w:lang w:val="en-US" w:eastAsia="zh-CN" w:bidi="ar-SA"/>
                      <w14:textFill>
                        <w14:solidFill>
                          <w14:schemeClr w14:val="tx1"/>
                        </w14:solidFill>
                      </w14:textFill>
                    </w:rPr>
                    <w:t>/</w:t>
                  </w:r>
                </w:p>
              </w:tc>
              <w:tc>
                <w:tcPr>
                  <w:tcW w:w="498" w:type="pct"/>
                  <w:vMerge w:val="restart"/>
                  <w:tcBorders>
                    <w:tl2br w:val="nil"/>
                    <w:tr2bl w:val="nil"/>
                  </w:tcBorders>
                  <w:noWrap w:val="0"/>
                  <w:vAlign w:val="center"/>
                </w:tcPr>
                <w:p w14:paraId="6BC06939">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eastAsia" w:ascii="Times New Roman" w:hAnsi="Times New Roman" w:cs="Times New Roman"/>
                      <w:color w:val="000000" w:themeColor="text1"/>
                      <w:szCs w:val="20"/>
                      <w:highlight w:val="none"/>
                      <w:lang w:val="en-US" w:eastAsia="zh-CN" w:bidi="ar-SA"/>
                      <w14:textFill>
                        <w14:solidFill>
                          <w14:schemeClr w14:val="tx1"/>
                        </w14:solidFill>
                      </w14:textFill>
                    </w:rPr>
                    <w:t>50</w:t>
                  </w:r>
                </w:p>
              </w:tc>
            </w:tr>
            <w:tr w14:paraId="2CD492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2" w:type="pct"/>
                  <w:vMerge w:val="continue"/>
                  <w:tcBorders>
                    <w:tl2br w:val="nil"/>
                    <w:tr2bl w:val="nil"/>
                  </w:tcBorders>
                  <w:noWrap w:val="0"/>
                  <w:vAlign w:val="center"/>
                </w:tcPr>
                <w:p w14:paraId="297BB2EF">
                  <w:pPr>
                    <w:pStyle w:val="26"/>
                    <w:keepNext w:val="0"/>
                    <w:keepLines w:val="0"/>
                    <w:widowControl w:val="0"/>
                    <w:suppressLineNumbers w:val="0"/>
                    <w:bidi w:val="0"/>
                    <w:spacing w:before="0" w:beforeAutospacing="0" w:after="0" w:afterAutospacing="0"/>
                    <w:ind w:right="0"/>
                    <w:jc w:val="center"/>
                    <w:rPr>
                      <w:rFonts w:hint="eastAsia" w:ascii="Times New Roman" w:hAnsi="Times New Roman" w:cs="Times New Roman"/>
                      <w:color w:val="000000" w:themeColor="text1"/>
                      <w:szCs w:val="20"/>
                      <w:highlight w:val="none"/>
                      <w:lang w:val="en-US" w:eastAsia="zh-CN" w:bidi="ar-SA"/>
                      <w14:textFill>
                        <w14:solidFill>
                          <w14:schemeClr w14:val="tx1"/>
                        </w14:solidFill>
                      </w14:textFill>
                    </w:rPr>
                  </w:pPr>
                </w:p>
              </w:tc>
              <w:tc>
                <w:tcPr>
                  <w:tcW w:w="586" w:type="pct"/>
                  <w:vMerge w:val="continue"/>
                  <w:tcBorders>
                    <w:tl2br w:val="nil"/>
                    <w:tr2bl w:val="nil"/>
                  </w:tcBorders>
                  <w:noWrap w:val="0"/>
                  <w:vAlign w:val="center"/>
                </w:tcPr>
                <w:p w14:paraId="582604F4">
                  <w:pPr>
                    <w:pStyle w:val="26"/>
                    <w:keepNext w:val="0"/>
                    <w:keepLines w:val="0"/>
                    <w:widowControl w:val="0"/>
                    <w:suppressLineNumbers w:val="0"/>
                    <w:bidi w:val="0"/>
                    <w:spacing w:before="0" w:beforeAutospacing="0" w:after="0" w:afterAutospacing="0"/>
                    <w:ind w:right="0"/>
                    <w:jc w:val="center"/>
                    <w:rPr>
                      <w:rFonts w:hint="eastAsia" w:ascii="Times New Roman" w:hAnsi="Times New Roman" w:cs="Times New Roman"/>
                      <w:color w:val="000000" w:themeColor="text1"/>
                      <w:szCs w:val="20"/>
                      <w:highlight w:val="none"/>
                      <w:lang w:val="en-US" w:eastAsia="zh-CN" w:bidi="ar-SA"/>
                      <w14:textFill>
                        <w14:solidFill>
                          <w14:schemeClr w14:val="tx1"/>
                        </w14:solidFill>
                      </w14:textFill>
                    </w:rPr>
                  </w:pPr>
                </w:p>
              </w:tc>
              <w:tc>
                <w:tcPr>
                  <w:tcW w:w="606" w:type="pct"/>
                  <w:tcBorders>
                    <w:tl2br w:val="nil"/>
                    <w:tr2bl w:val="nil"/>
                  </w:tcBorders>
                  <w:noWrap w:val="0"/>
                  <w:vAlign w:val="center"/>
                </w:tcPr>
                <w:p w14:paraId="62E78AAE">
                  <w:pPr>
                    <w:pStyle w:val="26"/>
                    <w:bidi w:val="0"/>
                    <w:ind w:firstLine="0" w:firstLineChars="0"/>
                    <w:jc w:val="center"/>
                    <w:rPr>
                      <w:rFonts w:hint="default"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TSP</w:t>
                  </w:r>
                </w:p>
              </w:tc>
              <w:tc>
                <w:tcPr>
                  <w:tcW w:w="633" w:type="pct"/>
                  <w:tcBorders>
                    <w:tl2br w:val="nil"/>
                    <w:tr2bl w:val="nil"/>
                  </w:tcBorders>
                  <w:noWrap w:val="0"/>
                  <w:vAlign w:val="center"/>
                </w:tcPr>
                <w:p w14:paraId="07202941">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0.0300</w:t>
                  </w:r>
                </w:p>
              </w:tc>
              <w:tc>
                <w:tcPr>
                  <w:tcW w:w="657" w:type="pct"/>
                  <w:tcBorders>
                    <w:tl2br w:val="nil"/>
                    <w:tr2bl w:val="nil"/>
                  </w:tcBorders>
                  <w:noWrap w:val="0"/>
                  <w:vAlign w:val="center"/>
                </w:tcPr>
                <w:p w14:paraId="2BE24FA6">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eastAsia" w:ascii="Times New Roman" w:hAnsi="Times New Roman" w:cs="Times New Roman"/>
                      <w:color w:val="000000" w:themeColor="text1"/>
                      <w:szCs w:val="20"/>
                      <w:highlight w:val="none"/>
                      <w:lang w:val="en-US" w:eastAsia="zh-CN" w:bidi="ar-SA"/>
                      <w14:textFill>
                        <w14:solidFill>
                          <w14:schemeClr w14:val="tx1"/>
                        </w14:solidFill>
                      </w14:textFill>
                    </w:rPr>
                    <w:t>0.9</w:t>
                  </w:r>
                </w:p>
              </w:tc>
              <w:tc>
                <w:tcPr>
                  <w:tcW w:w="495" w:type="pct"/>
                  <w:tcBorders>
                    <w:tl2br w:val="nil"/>
                    <w:tr2bl w:val="nil"/>
                  </w:tcBorders>
                  <w:noWrap w:val="0"/>
                  <w:vAlign w:val="center"/>
                </w:tcPr>
                <w:p w14:paraId="3512513D">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0.0333</w:t>
                  </w:r>
                </w:p>
              </w:tc>
              <w:tc>
                <w:tcPr>
                  <w:tcW w:w="466" w:type="pct"/>
                  <w:tcBorders>
                    <w:tl2br w:val="nil"/>
                    <w:tr2bl w:val="nil"/>
                  </w:tcBorders>
                  <w:noWrap w:val="0"/>
                  <w:vAlign w:val="center"/>
                </w:tcPr>
                <w:p w14:paraId="0FFB789F">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w:t>
                  </w:r>
                </w:p>
              </w:tc>
              <w:tc>
                <w:tcPr>
                  <w:tcW w:w="504" w:type="pct"/>
                  <w:tcBorders>
                    <w:tl2br w:val="nil"/>
                    <w:tr2bl w:val="nil"/>
                  </w:tcBorders>
                  <w:noWrap w:val="0"/>
                  <w:vAlign w:val="center"/>
                </w:tcPr>
                <w:p w14:paraId="1913E615">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eastAsia" w:ascii="Times New Roman" w:hAnsi="Times New Roman" w:cs="Times New Roman"/>
                      <w:color w:val="000000" w:themeColor="text1"/>
                      <w:szCs w:val="20"/>
                      <w:highlight w:val="none"/>
                      <w:lang w:val="en-US" w:eastAsia="zh-CN" w:bidi="ar-SA"/>
                      <w14:textFill>
                        <w14:solidFill>
                          <w14:schemeClr w14:val="tx1"/>
                        </w14:solidFill>
                      </w14:textFill>
                    </w:rPr>
                    <w:t>/</w:t>
                  </w:r>
                </w:p>
              </w:tc>
              <w:tc>
                <w:tcPr>
                  <w:tcW w:w="498" w:type="pct"/>
                  <w:vMerge w:val="continue"/>
                  <w:tcBorders>
                    <w:tl2br w:val="nil"/>
                    <w:tr2bl w:val="nil"/>
                  </w:tcBorders>
                  <w:noWrap w:val="0"/>
                  <w:vAlign w:val="center"/>
                </w:tcPr>
                <w:p w14:paraId="1593265E">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p>
              </w:tc>
            </w:tr>
            <w:tr w14:paraId="2A960F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2" w:type="pct"/>
                  <w:vMerge w:val="continue"/>
                  <w:tcBorders>
                    <w:tl2br w:val="nil"/>
                    <w:tr2bl w:val="nil"/>
                  </w:tcBorders>
                  <w:noWrap w:val="0"/>
                  <w:vAlign w:val="center"/>
                </w:tcPr>
                <w:p w14:paraId="3FD644DD">
                  <w:pPr>
                    <w:pStyle w:val="26"/>
                    <w:keepNext w:val="0"/>
                    <w:keepLines w:val="0"/>
                    <w:widowControl w:val="0"/>
                    <w:suppressLineNumbers w:val="0"/>
                    <w:bidi w:val="0"/>
                    <w:spacing w:before="0" w:beforeAutospacing="0" w:after="0" w:afterAutospacing="0"/>
                    <w:ind w:right="0"/>
                    <w:jc w:val="center"/>
                    <w:rPr>
                      <w:rFonts w:hint="eastAsia" w:ascii="Times New Roman" w:hAnsi="Times New Roman" w:cs="Times New Roman"/>
                      <w:color w:val="000000" w:themeColor="text1"/>
                      <w:szCs w:val="20"/>
                      <w:highlight w:val="none"/>
                      <w:lang w:val="en-US" w:eastAsia="zh-CN" w:bidi="ar-SA"/>
                      <w14:textFill>
                        <w14:solidFill>
                          <w14:schemeClr w14:val="tx1"/>
                        </w14:solidFill>
                      </w14:textFill>
                    </w:rPr>
                  </w:pPr>
                </w:p>
              </w:tc>
              <w:tc>
                <w:tcPr>
                  <w:tcW w:w="586" w:type="pct"/>
                  <w:vMerge w:val="continue"/>
                  <w:tcBorders>
                    <w:tl2br w:val="nil"/>
                    <w:tr2bl w:val="nil"/>
                  </w:tcBorders>
                  <w:noWrap w:val="0"/>
                  <w:vAlign w:val="center"/>
                </w:tcPr>
                <w:p w14:paraId="75F48074">
                  <w:pPr>
                    <w:pStyle w:val="26"/>
                    <w:keepNext w:val="0"/>
                    <w:keepLines w:val="0"/>
                    <w:widowControl w:val="0"/>
                    <w:suppressLineNumbers w:val="0"/>
                    <w:bidi w:val="0"/>
                    <w:spacing w:before="0" w:beforeAutospacing="0" w:after="0" w:afterAutospacing="0"/>
                    <w:ind w:right="0"/>
                    <w:jc w:val="center"/>
                    <w:rPr>
                      <w:rFonts w:hint="eastAsia" w:ascii="Times New Roman" w:hAnsi="Times New Roman" w:cs="Times New Roman"/>
                      <w:color w:val="000000" w:themeColor="text1"/>
                      <w:szCs w:val="20"/>
                      <w:highlight w:val="none"/>
                      <w:lang w:val="en-US" w:eastAsia="zh-CN" w:bidi="ar-SA"/>
                      <w14:textFill>
                        <w14:solidFill>
                          <w14:schemeClr w14:val="tx1"/>
                        </w14:solidFill>
                      </w14:textFill>
                    </w:rPr>
                  </w:pPr>
                </w:p>
              </w:tc>
              <w:tc>
                <w:tcPr>
                  <w:tcW w:w="606" w:type="pct"/>
                  <w:tcBorders>
                    <w:tl2br w:val="nil"/>
                    <w:tr2bl w:val="nil"/>
                  </w:tcBorders>
                  <w:noWrap w:val="0"/>
                  <w:vAlign w:val="center"/>
                </w:tcPr>
                <w:p w14:paraId="29827D08">
                  <w:pPr>
                    <w:pStyle w:val="26"/>
                    <w:bidi w:val="0"/>
                    <w:ind w:firstLine="0" w:firstLineChars="0"/>
                    <w:jc w:val="center"/>
                    <w:rPr>
                      <w:rFonts w:hint="default"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非甲烷总烃</w:t>
                  </w:r>
                </w:p>
              </w:tc>
              <w:tc>
                <w:tcPr>
                  <w:tcW w:w="633" w:type="pct"/>
                  <w:tcBorders>
                    <w:tl2br w:val="nil"/>
                    <w:tr2bl w:val="nil"/>
                  </w:tcBorders>
                  <w:noWrap w:val="0"/>
                  <w:vAlign w:val="center"/>
                </w:tcPr>
                <w:p w14:paraId="0882124A">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0.180</w:t>
                  </w:r>
                  <w:r>
                    <w:rPr>
                      <w:rFonts w:hint="eastAsia"/>
                      <w:color w:val="000000" w:themeColor="text1"/>
                      <w:highlight w:val="none"/>
                      <w:lang w:val="en-US" w:eastAsia="zh-CN" w:bidi="ar-SA"/>
                      <w14:textFill>
                        <w14:solidFill>
                          <w14:schemeClr w14:val="tx1"/>
                        </w14:solidFill>
                      </w14:textFill>
                    </w:rPr>
                    <w:t>7</w:t>
                  </w:r>
                </w:p>
              </w:tc>
              <w:tc>
                <w:tcPr>
                  <w:tcW w:w="657" w:type="pct"/>
                  <w:tcBorders>
                    <w:tl2br w:val="nil"/>
                    <w:tr2bl w:val="nil"/>
                  </w:tcBorders>
                  <w:noWrap w:val="0"/>
                  <w:vAlign w:val="center"/>
                </w:tcPr>
                <w:p w14:paraId="156A9FC0">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eastAsia" w:ascii="Times New Roman" w:hAnsi="Times New Roman" w:cs="Times New Roman"/>
                      <w:color w:val="000000" w:themeColor="text1"/>
                      <w:szCs w:val="20"/>
                      <w:highlight w:val="none"/>
                      <w:lang w:val="en-US" w:eastAsia="zh-CN" w:bidi="ar-SA"/>
                      <w14:textFill>
                        <w14:solidFill>
                          <w14:schemeClr w14:val="tx1"/>
                        </w14:solidFill>
                      </w14:textFill>
                    </w:rPr>
                    <w:t>2.0</w:t>
                  </w:r>
                </w:p>
              </w:tc>
              <w:tc>
                <w:tcPr>
                  <w:tcW w:w="495" w:type="pct"/>
                  <w:tcBorders>
                    <w:tl2br w:val="nil"/>
                    <w:tr2bl w:val="nil"/>
                  </w:tcBorders>
                  <w:noWrap w:val="0"/>
                  <w:vAlign w:val="center"/>
                </w:tcPr>
                <w:p w14:paraId="6129BAC5">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0.0904</w:t>
                  </w:r>
                </w:p>
              </w:tc>
              <w:tc>
                <w:tcPr>
                  <w:tcW w:w="466" w:type="pct"/>
                  <w:tcBorders>
                    <w:tl2br w:val="nil"/>
                    <w:tr2bl w:val="nil"/>
                  </w:tcBorders>
                  <w:noWrap w:val="0"/>
                  <w:vAlign w:val="center"/>
                </w:tcPr>
                <w:p w14:paraId="4349F294">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22.57</w:t>
                  </w:r>
                </w:p>
              </w:tc>
              <w:tc>
                <w:tcPr>
                  <w:tcW w:w="504" w:type="pct"/>
                  <w:tcBorders>
                    <w:tl2br w:val="nil"/>
                    <w:tr2bl w:val="nil"/>
                  </w:tcBorders>
                  <w:noWrap w:val="0"/>
                  <w:vAlign w:val="center"/>
                </w:tcPr>
                <w:p w14:paraId="5E0D3BBD">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eastAsia" w:ascii="Times New Roman" w:hAnsi="Times New Roman" w:cs="Times New Roman"/>
                      <w:color w:val="000000" w:themeColor="text1"/>
                      <w:szCs w:val="20"/>
                      <w:highlight w:val="none"/>
                      <w:lang w:val="en-US" w:eastAsia="zh-CN" w:bidi="ar-SA"/>
                      <w14:textFill>
                        <w14:solidFill>
                          <w14:schemeClr w14:val="tx1"/>
                        </w14:solidFill>
                      </w14:textFill>
                    </w:rPr>
                    <w:t>17.128</w:t>
                  </w:r>
                </w:p>
              </w:tc>
              <w:tc>
                <w:tcPr>
                  <w:tcW w:w="498" w:type="pct"/>
                  <w:vMerge w:val="continue"/>
                  <w:tcBorders>
                    <w:tl2br w:val="nil"/>
                    <w:tr2bl w:val="nil"/>
                  </w:tcBorders>
                  <w:noWrap w:val="0"/>
                  <w:vAlign w:val="center"/>
                </w:tcPr>
                <w:p w14:paraId="44E852C2">
                  <w:pPr>
                    <w:pStyle w:val="26"/>
                    <w:keepNext w:val="0"/>
                    <w:keepLines w:val="0"/>
                    <w:widowControl w:val="0"/>
                    <w:suppressLineNumbers w:val="0"/>
                    <w:bidi w:val="0"/>
                    <w:spacing w:before="0" w:beforeAutospacing="0" w:after="0" w:afterAutospacing="0"/>
                    <w:ind w:right="0"/>
                    <w:jc w:val="center"/>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p>
              </w:tc>
            </w:tr>
            <w:tr w14:paraId="0BD13F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9"/>
                  <w:tcBorders>
                    <w:tl2br w:val="nil"/>
                    <w:tr2bl w:val="nil"/>
                  </w:tcBorders>
                  <w:noWrap w:val="0"/>
                  <w:vAlign w:val="center"/>
                </w:tcPr>
                <w:p w14:paraId="7539C062">
                  <w:pPr>
                    <w:pStyle w:val="26"/>
                    <w:keepNext w:val="0"/>
                    <w:keepLines w:val="0"/>
                    <w:widowControl w:val="0"/>
                    <w:suppressLineNumbers w:val="0"/>
                    <w:bidi w:val="0"/>
                    <w:spacing w:before="0" w:beforeAutospacing="0" w:after="0" w:afterAutospacing="0"/>
                    <w:ind w:right="0"/>
                    <w:jc w:val="left"/>
                    <w:rPr>
                      <w:rFonts w:hint="eastAsia" w:ascii="Times New Roman" w:hAnsi="Times New Roman" w:cs="Times New Roman"/>
                      <w:color w:val="000000" w:themeColor="text1"/>
                      <w:szCs w:val="20"/>
                      <w:highlight w:val="none"/>
                      <w:lang w:val="en-US" w:eastAsia="zh-CN" w:bidi="ar-SA"/>
                      <w14:textFill>
                        <w14:solidFill>
                          <w14:schemeClr w14:val="tx1"/>
                        </w14:solidFill>
                      </w14:textFill>
                    </w:rPr>
                  </w:pPr>
                  <w:r>
                    <w:rPr>
                      <w:rFonts w:hint="eastAsia" w:ascii="Times New Roman" w:hAnsi="Times New Roman" w:cs="Times New Roman"/>
                      <w:color w:val="000000" w:themeColor="text1"/>
                      <w:szCs w:val="20"/>
                      <w:highlight w:val="none"/>
                      <w:lang w:val="en-US" w:eastAsia="zh-CN" w:bidi="ar-SA"/>
                      <w14:textFill>
                        <w14:solidFill>
                          <w14:schemeClr w14:val="tx1"/>
                        </w14:solidFill>
                      </w14:textFill>
                    </w:rPr>
                    <w:t>注：乙醇储罐分别按工程分析计算过程，纳入3#车间和1#车间内统一计算；沥青烟无环境质量标准，不列入计算。</w:t>
                  </w:r>
                </w:p>
              </w:tc>
            </w:tr>
          </w:tbl>
          <w:p w14:paraId="1DEEA253">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根据计算结果，项目全厂</w:t>
            </w:r>
            <w:r>
              <w:rPr>
                <w:rFonts w:hint="default"/>
                <w:color w:val="000000" w:themeColor="text1"/>
                <w:highlight w:val="none"/>
                <w:lang w:val="en-US" w:eastAsia="zh-CN"/>
                <w14:textFill>
                  <w14:solidFill>
                    <w14:schemeClr w14:val="tx1"/>
                  </w14:solidFill>
                </w14:textFill>
              </w:rPr>
              <w:t>卫生防护距离为</w:t>
            </w:r>
            <w:r>
              <w:rPr>
                <w:rFonts w:hint="eastAsia"/>
                <w:color w:val="000000" w:themeColor="text1"/>
                <w:highlight w:val="none"/>
                <w:lang w:val="en-US" w:eastAsia="zh-CN"/>
                <w14:textFill>
                  <w14:solidFill>
                    <w14:schemeClr w14:val="tx1"/>
                  </w14:solidFill>
                </w14:textFill>
              </w:rPr>
              <w:t>1#生产车间、</w:t>
            </w:r>
            <w:r>
              <w:rPr>
                <w:rFonts w:hint="default"/>
                <w:color w:val="000000" w:themeColor="text1"/>
                <w:highlight w:val="none"/>
                <w:lang w:val="en-US" w:eastAsia="zh-CN"/>
                <w14:textFill>
                  <w14:solidFill>
                    <w14:schemeClr w14:val="tx1"/>
                  </w14:solidFill>
                </w14:textFill>
              </w:rPr>
              <w:t>3#生产车间</w:t>
            </w:r>
            <w:r>
              <w:rPr>
                <w:rFonts w:hint="eastAsia"/>
                <w:color w:val="000000" w:themeColor="text1"/>
                <w:highlight w:val="none"/>
                <w:lang w:val="en-US" w:eastAsia="zh-CN"/>
                <w14:textFill>
                  <w14:solidFill>
                    <w14:schemeClr w14:val="tx1"/>
                  </w14:solidFill>
                </w14:textFill>
              </w:rPr>
              <w:t>各</w:t>
            </w:r>
            <w:r>
              <w:rPr>
                <w:rFonts w:hint="default"/>
                <w:color w:val="000000" w:themeColor="text1"/>
                <w:highlight w:val="none"/>
                <w:lang w:val="en-US" w:eastAsia="zh-CN"/>
                <w14:textFill>
                  <w14:solidFill>
                    <w14:schemeClr w14:val="tx1"/>
                  </w14:solidFill>
                </w14:textFill>
              </w:rPr>
              <w:t>向外延伸形成50 m包络线区域，</w:t>
            </w:r>
            <w:r>
              <w:rPr>
                <w:rFonts w:hint="default" w:ascii="Times New Roman" w:hAnsi="Times New Roman" w:eastAsia="宋体" w:cs="Times New Roman"/>
                <w:color w:val="000000" w:themeColor="text1"/>
                <w:highlight w:val="none"/>
                <w:lang w:val="en-US" w:eastAsia="zh-CN"/>
                <w14:textFill>
                  <w14:solidFill>
                    <w14:schemeClr w14:val="tx1"/>
                  </w14:solidFill>
                </w14:textFill>
              </w:rPr>
              <w:t>因此本评价建议将卫生防护距离包络线的厂界外部分作为本项目环境防护距离，</w:t>
            </w:r>
            <w:r>
              <w:rPr>
                <w:rFonts w:hint="default"/>
                <w:color w:val="000000" w:themeColor="text1"/>
                <w:highlight w:val="none"/>
                <w:lang w:val="en-US" w:eastAsia="zh-CN"/>
                <w14:textFill>
                  <w14:solidFill>
                    <w14:schemeClr w14:val="tx1"/>
                  </w14:solidFill>
                </w14:textFill>
              </w:rPr>
              <w:t>详见</w:t>
            </w:r>
            <w:r>
              <w:rPr>
                <w:rFonts w:hint="eastAsia"/>
                <w:color w:val="000000" w:themeColor="text1"/>
                <w:highlight w:val="none"/>
                <w:lang w:val="en-US" w:eastAsia="zh-CN"/>
                <w14:textFill>
                  <w14:solidFill>
                    <w14:schemeClr w14:val="tx1"/>
                  </w14:solidFill>
                </w14:textFill>
              </w:rPr>
              <w:t>附图9。根据现场勘察，</w:t>
            </w:r>
            <w:r>
              <w:rPr>
                <w:rFonts w:hint="default"/>
                <w:color w:val="000000" w:themeColor="text1"/>
                <w:highlight w:val="none"/>
                <w:lang w:val="en-US" w:eastAsia="zh-CN"/>
                <w14:textFill>
                  <w14:solidFill>
                    <w14:schemeClr w14:val="tx1"/>
                  </w14:solidFill>
                </w14:textFill>
              </w:rPr>
              <w:t>目前本项目卫生防护距离内无敏感目标，本评价</w:t>
            </w:r>
            <w:r>
              <w:rPr>
                <w:rFonts w:hint="eastAsia"/>
                <w:color w:val="000000" w:themeColor="text1"/>
                <w:highlight w:val="none"/>
                <w:lang w:val="en-US" w:eastAsia="zh-CN"/>
                <w14:textFill>
                  <w14:solidFill>
                    <w14:schemeClr w14:val="tx1"/>
                  </w14:solidFill>
                </w14:textFill>
              </w:rPr>
              <w:t>建议</w:t>
            </w:r>
            <w:r>
              <w:rPr>
                <w:rFonts w:hint="default"/>
                <w:color w:val="000000" w:themeColor="text1"/>
                <w:highlight w:val="none"/>
                <w:lang w:val="en-US" w:eastAsia="zh-CN"/>
                <w14:textFill>
                  <w14:solidFill>
                    <w14:schemeClr w14:val="tx1"/>
                  </w14:solidFill>
                </w14:textFill>
              </w:rPr>
              <w:t>今后该保护距离内不得建设居住区、医院、学校等大气敏感目标。</w:t>
            </w:r>
          </w:p>
          <w:p w14:paraId="723109C6">
            <w:pPr>
              <w:pStyle w:val="2"/>
              <w:numPr>
                <w:ilvl w:val="1"/>
                <w:numId w:val="4"/>
              </w:numPr>
              <w:tabs>
                <w:tab w:val="left" w:pos="420"/>
              </w:tabs>
              <w:bidi w:val="0"/>
              <w:rPr>
                <w:rFonts w:hint="default" w:ascii="Times New Roman" w:hAnsi="Times New Roman" w:cs="Times New Roman"/>
                <w:color w:val="000000" w:themeColor="text1"/>
                <w:highlight w:val="none"/>
                <w:lang w:val="en-US" w:eastAsia="zh-CN"/>
                <w14:textFill>
                  <w14:solidFill>
                    <w14:schemeClr w14:val="tx1"/>
                  </w14:solidFill>
                </w14:textFill>
              </w:rPr>
            </w:pPr>
            <w:bookmarkStart w:id="201" w:name="_Toc1909"/>
            <w:r>
              <w:rPr>
                <w:rFonts w:hint="default" w:ascii="Times New Roman" w:hAnsi="Times New Roman" w:cs="Times New Roman"/>
                <w:color w:val="000000" w:themeColor="text1"/>
                <w:highlight w:val="none"/>
                <w:lang w:val="en-US" w:eastAsia="zh-CN"/>
                <w14:textFill>
                  <w14:solidFill>
                    <w14:schemeClr w14:val="tx1"/>
                  </w14:solidFill>
                </w14:textFill>
              </w:rPr>
              <w:t>废水</w:t>
            </w:r>
            <w:bookmarkEnd w:id="190"/>
            <w:bookmarkEnd w:id="191"/>
            <w:bookmarkEnd w:id="192"/>
            <w:bookmarkEnd w:id="193"/>
            <w:bookmarkEnd w:id="194"/>
            <w:bookmarkEnd w:id="201"/>
          </w:p>
          <w:p w14:paraId="0F882B01">
            <w:pPr>
              <w:pStyle w:val="3"/>
              <w:numPr>
                <w:ilvl w:val="2"/>
                <w:numId w:val="4"/>
              </w:numPr>
              <w:bidi w:val="0"/>
              <w:rPr>
                <w:rFonts w:hint="default" w:ascii="Times New Roman" w:hAnsi="Times New Roman" w:cs="Times New Roman"/>
                <w:color w:val="000000" w:themeColor="text1"/>
                <w:highlight w:val="none"/>
                <w:lang w:val="en-US" w:eastAsia="zh-CN"/>
                <w14:textFill>
                  <w14:solidFill>
                    <w14:schemeClr w14:val="tx1"/>
                  </w14:solidFill>
                </w14:textFill>
              </w:rPr>
            </w:pPr>
            <w:bookmarkStart w:id="202" w:name="_Toc11829"/>
            <w:bookmarkStart w:id="203" w:name="_Toc31686"/>
            <w:bookmarkStart w:id="204" w:name="_Toc11778"/>
            <w:r>
              <w:rPr>
                <w:rFonts w:hint="default" w:ascii="Times New Roman" w:hAnsi="Times New Roman" w:cs="Times New Roman"/>
                <w:color w:val="000000" w:themeColor="text1"/>
                <w:highlight w:val="none"/>
                <w:lang w:val="en-US" w:eastAsia="zh-CN"/>
                <w14:textFill>
                  <w14:solidFill>
                    <w14:schemeClr w14:val="tx1"/>
                  </w14:solidFill>
                </w14:textFill>
              </w:rPr>
              <w:t>废水源强产生和排放情况</w:t>
            </w:r>
            <w:bookmarkEnd w:id="202"/>
            <w:bookmarkEnd w:id="203"/>
            <w:bookmarkEnd w:id="204"/>
          </w:p>
          <w:p w14:paraId="4EE13C24">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项目全厂建成后</w:t>
            </w:r>
            <w:r>
              <w:rPr>
                <w:color w:val="000000" w:themeColor="text1"/>
                <w:highlight w:val="none"/>
                <w14:textFill>
                  <w14:solidFill>
                    <w14:schemeClr w14:val="tx1"/>
                  </w14:solidFill>
                </w14:textFill>
              </w:rPr>
              <w:t>废水污染源强</w:t>
            </w:r>
            <w:r>
              <w:rPr>
                <w:rFonts w:hint="default" w:ascii="Times New Roman" w:hAnsi="Times New Roman" w:cs="Times New Roman"/>
                <w:color w:val="000000" w:themeColor="text1"/>
                <w:highlight w:val="none"/>
                <w:lang w:val="en-US" w:eastAsia="zh-CN"/>
                <w14:textFill>
                  <w14:solidFill>
                    <w14:schemeClr w14:val="tx1"/>
                  </w14:solidFill>
                </w14:textFill>
              </w:rPr>
              <w:t>详见</w: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begin"/>
            </w:r>
            <w:r>
              <w:rPr>
                <w:rFonts w:hint="default" w:ascii="Times New Roman" w:hAnsi="Times New Roman" w:cs="Times New Roman"/>
                <w:color w:val="000000" w:themeColor="text1"/>
                <w:highlight w:val="none"/>
                <w:lang w:val="en-US" w:eastAsia="zh-CN"/>
                <w14:textFill>
                  <w14:solidFill>
                    <w14:schemeClr w14:val="tx1"/>
                  </w14:solidFill>
                </w14:textFill>
              </w:rPr>
              <w:instrText xml:space="preserve"> REF _Ref8927 \n \h </w:instrTex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separate"/>
            </w:r>
            <w:r>
              <w:rPr>
                <w:rFonts w:hint="default" w:ascii="Times New Roman" w:hAnsi="Times New Roman" w:cs="Times New Roman"/>
                <w:color w:val="000000" w:themeColor="text1"/>
                <w:highlight w:val="none"/>
                <w:lang w:val="en-US" w:eastAsia="zh-CN"/>
                <w14:textFill>
                  <w14:solidFill>
                    <w14:schemeClr w14:val="tx1"/>
                  </w14:solidFill>
                </w14:textFill>
              </w:rPr>
              <w:t>表4.2-1</w: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end"/>
            </w:r>
            <w:r>
              <w:rPr>
                <w:rFonts w:hint="default" w:ascii="Times New Roman" w:hAnsi="Times New Roman" w:cs="Times New Roman"/>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治理设施情况</w:t>
            </w:r>
            <w:r>
              <w:rPr>
                <w:rFonts w:hint="default" w:ascii="Times New Roman" w:hAnsi="Times New Roman" w:cs="Times New Roman"/>
                <w:color w:val="000000" w:themeColor="text1"/>
                <w:highlight w:val="none"/>
                <w:lang w:val="en-US" w:eastAsia="zh-CN"/>
                <w14:textFill>
                  <w14:solidFill>
                    <w14:schemeClr w14:val="tx1"/>
                  </w14:solidFill>
                </w14:textFill>
              </w:rPr>
              <w:t>详见</w: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begin"/>
            </w:r>
            <w:r>
              <w:rPr>
                <w:rFonts w:hint="default" w:ascii="Times New Roman" w:hAnsi="Times New Roman" w:cs="Times New Roman"/>
                <w:color w:val="000000" w:themeColor="text1"/>
                <w:highlight w:val="none"/>
                <w:lang w:val="en-US" w:eastAsia="zh-CN"/>
                <w14:textFill>
                  <w14:solidFill>
                    <w14:schemeClr w14:val="tx1"/>
                  </w14:solidFill>
                </w14:textFill>
              </w:rPr>
              <w:instrText xml:space="preserve"> REF _Ref15995 \n \h </w:instrTex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separate"/>
            </w:r>
            <w:r>
              <w:rPr>
                <w:rFonts w:hint="default" w:ascii="Times New Roman" w:hAnsi="Times New Roman" w:cs="Times New Roman"/>
                <w:color w:val="000000" w:themeColor="text1"/>
                <w:highlight w:val="none"/>
                <w:lang w:val="en-US" w:eastAsia="zh-CN"/>
                <w14:textFill>
                  <w14:solidFill>
                    <w14:schemeClr w14:val="tx1"/>
                  </w14:solidFill>
                </w14:textFill>
              </w:rPr>
              <w:t>表4.2-2</w: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end"/>
            </w:r>
            <w:r>
              <w:rPr>
                <w:rFonts w:hint="eastAsia" w:cs="Times New Roman"/>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排放口</w:t>
            </w:r>
            <w:r>
              <w:rPr>
                <w:rFonts w:hint="eastAsia"/>
                <w:color w:val="000000" w:themeColor="text1"/>
                <w:highlight w:val="none"/>
                <w14:textFill>
                  <w14:solidFill>
                    <w14:schemeClr w14:val="tx1"/>
                  </w14:solidFill>
                </w14:textFill>
              </w:rPr>
              <w:t>基本</w:t>
            </w:r>
            <w:r>
              <w:rPr>
                <w:color w:val="000000" w:themeColor="text1"/>
                <w:highlight w:val="none"/>
                <w14:textFill>
                  <w14:solidFill>
                    <w14:schemeClr w14:val="tx1"/>
                  </w14:solidFill>
                </w14:textFill>
              </w:rPr>
              <w:t>情况</w: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begin"/>
            </w:r>
            <w:r>
              <w:rPr>
                <w:rFonts w:hint="default" w:ascii="Times New Roman" w:hAnsi="Times New Roman" w:cs="Times New Roman"/>
                <w:color w:val="000000" w:themeColor="text1"/>
                <w:highlight w:val="none"/>
                <w:lang w:val="en-US" w:eastAsia="zh-CN"/>
                <w14:textFill>
                  <w14:solidFill>
                    <w14:schemeClr w14:val="tx1"/>
                  </w14:solidFill>
                </w14:textFill>
              </w:rPr>
              <w:instrText xml:space="preserve"> REF _Ref15026 \n \h </w:instrTex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separate"/>
            </w:r>
            <w:r>
              <w:rPr>
                <w:rFonts w:hint="default" w:ascii="Times New Roman" w:hAnsi="Times New Roman" w:cs="Times New Roman"/>
                <w:color w:val="000000" w:themeColor="text1"/>
                <w:highlight w:val="none"/>
                <w:lang w:val="en-US" w:eastAsia="zh-CN"/>
                <w14:textFill>
                  <w14:solidFill>
                    <w14:schemeClr w14:val="tx1"/>
                  </w14:solidFill>
                </w14:textFill>
              </w:rPr>
              <w:t>表4.2-3</w: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end"/>
            </w:r>
            <w:r>
              <w:rPr>
                <w:rFonts w:hint="default" w:ascii="Times New Roman" w:hAnsi="Times New Roman" w:cs="Times New Roman"/>
                <w:color w:val="000000" w:themeColor="text1"/>
                <w:highlight w:val="none"/>
                <w:lang w:val="en-US" w:eastAsia="zh-CN"/>
                <w14:textFill>
                  <w14:solidFill>
                    <w14:schemeClr w14:val="tx1"/>
                  </w14:solidFill>
                </w14:textFill>
              </w:rPr>
              <w:t>。</w:t>
            </w:r>
          </w:p>
          <w:p w14:paraId="21C61CED">
            <w:pPr>
              <w:pStyle w:val="30"/>
              <w:numPr>
                <w:ilvl w:val="4"/>
                <w:numId w:val="4"/>
              </w:numPr>
              <w:tabs>
                <w:tab w:val="left" w:pos="0"/>
              </w:tabs>
              <w:bidi w:val="0"/>
              <w:rPr>
                <w:rFonts w:hint="default" w:ascii="Times New Roman" w:hAnsi="Times New Roman" w:cs="Times New Roman"/>
                <w:color w:val="000000" w:themeColor="text1"/>
                <w:highlight w:val="none"/>
                <w:lang w:val="en-US" w:eastAsia="zh-CN"/>
                <w14:textFill>
                  <w14:solidFill>
                    <w14:schemeClr w14:val="tx1"/>
                  </w14:solidFill>
                </w14:textFill>
              </w:rPr>
            </w:pPr>
            <w:bookmarkStart w:id="205" w:name="_Ref8927"/>
            <w:r>
              <w:rPr>
                <w:rFonts w:hint="default" w:ascii="Times New Roman" w:hAnsi="Times New Roman" w:cs="Times New Roman"/>
                <w:color w:val="000000" w:themeColor="text1"/>
                <w:highlight w:val="none"/>
                <w:lang w:val="en-US" w:eastAsia="zh-CN"/>
                <w14:textFill>
                  <w14:solidFill>
                    <w14:schemeClr w14:val="tx1"/>
                  </w14:solidFill>
                </w14:textFill>
              </w:rPr>
              <w:t>废水治理设施一览表</w:t>
            </w:r>
            <w:bookmarkEnd w:id="205"/>
          </w:p>
          <w:tbl>
            <w:tblPr>
              <w:tblStyle w:val="1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1"/>
              <w:gridCol w:w="1439"/>
              <w:gridCol w:w="1645"/>
              <w:gridCol w:w="1256"/>
              <w:gridCol w:w="1459"/>
              <w:gridCol w:w="1156"/>
            </w:tblGrid>
            <w:tr w14:paraId="38316D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8" w:type="pct"/>
                  <w:vMerge w:val="restart"/>
                  <w:tcBorders>
                    <w:tl2br w:val="nil"/>
                    <w:tr2bl w:val="nil"/>
                  </w:tcBorders>
                  <w:noWrap w:val="0"/>
                  <w:vAlign w:val="center"/>
                </w:tcPr>
                <w:p w14:paraId="4DCF28B2">
                  <w:pPr>
                    <w:pStyle w:val="26"/>
                    <w:bidi w:val="0"/>
                    <w:ind w:firstLine="0" w:firstLineChars="0"/>
                    <w:jc w:val="center"/>
                    <w:rPr>
                      <w:rFonts w:hint="default"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废水类别</w:t>
                  </w:r>
                </w:p>
              </w:tc>
              <w:tc>
                <w:tcPr>
                  <w:tcW w:w="867" w:type="pct"/>
                  <w:vMerge w:val="restart"/>
                  <w:tcBorders>
                    <w:tl2br w:val="nil"/>
                    <w:tr2bl w:val="nil"/>
                  </w:tcBorders>
                  <w:noWrap w:val="0"/>
                  <w:vAlign w:val="center"/>
                </w:tcPr>
                <w:p w14:paraId="5C3D0BC0">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污染因子</w:t>
                  </w:r>
                </w:p>
              </w:tc>
              <w:tc>
                <w:tcPr>
                  <w:tcW w:w="2627" w:type="pct"/>
                  <w:gridSpan w:val="3"/>
                  <w:tcBorders>
                    <w:tl2br w:val="nil"/>
                    <w:tr2bl w:val="nil"/>
                  </w:tcBorders>
                  <w:noWrap w:val="0"/>
                  <w:vAlign w:val="center"/>
                </w:tcPr>
                <w:p w14:paraId="2BB3FC74">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治理设施</w:t>
                  </w:r>
                </w:p>
              </w:tc>
              <w:tc>
                <w:tcPr>
                  <w:tcW w:w="696" w:type="pct"/>
                  <w:vMerge w:val="restart"/>
                  <w:tcBorders>
                    <w:tl2br w:val="nil"/>
                    <w:tr2bl w:val="nil"/>
                  </w:tcBorders>
                  <w:noWrap w:val="0"/>
                  <w:vAlign w:val="center"/>
                </w:tcPr>
                <w:p w14:paraId="3B1282CC">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是否为可行技术</w:t>
                  </w:r>
                </w:p>
              </w:tc>
            </w:tr>
            <w:tr w14:paraId="5637C0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8" w:type="pct"/>
                  <w:vMerge w:val="continue"/>
                  <w:tcBorders>
                    <w:tl2br w:val="nil"/>
                    <w:tr2bl w:val="nil"/>
                  </w:tcBorders>
                  <w:noWrap w:val="0"/>
                  <w:vAlign w:val="center"/>
                </w:tcPr>
                <w:p w14:paraId="74E76125">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867" w:type="pct"/>
                  <w:vMerge w:val="continue"/>
                  <w:tcBorders>
                    <w:tl2br w:val="nil"/>
                    <w:tr2bl w:val="nil"/>
                  </w:tcBorders>
                  <w:noWrap w:val="0"/>
                  <w:vAlign w:val="center"/>
                </w:tcPr>
                <w:p w14:paraId="2B2EE374">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991" w:type="pct"/>
                  <w:tcBorders>
                    <w:tl2br w:val="nil"/>
                    <w:tr2bl w:val="nil"/>
                  </w:tcBorders>
                  <w:noWrap w:val="0"/>
                  <w:vAlign w:val="center"/>
                </w:tcPr>
                <w:p w14:paraId="6D5D3FC9">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治理工艺</w:t>
                  </w:r>
                </w:p>
              </w:tc>
              <w:tc>
                <w:tcPr>
                  <w:tcW w:w="757" w:type="pct"/>
                  <w:tcBorders>
                    <w:tl2br w:val="nil"/>
                    <w:tr2bl w:val="nil"/>
                  </w:tcBorders>
                  <w:noWrap w:val="0"/>
                  <w:vAlign w:val="center"/>
                </w:tcPr>
                <w:p w14:paraId="7A472EB1">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处理能力</w:t>
                  </w:r>
                </w:p>
              </w:tc>
              <w:tc>
                <w:tcPr>
                  <w:tcW w:w="879" w:type="pct"/>
                  <w:tcBorders>
                    <w:tl2br w:val="nil"/>
                    <w:tr2bl w:val="nil"/>
                  </w:tcBorders>
                  <w:noWrap w:val="0"/>
                  <w:vAlign w:val="center"/>
                </w:tcPr>
                <w:p w14:paraId="06565D8E">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处理效率%</w:t>
                  </w:r>
                </w:p>
              </w:tc>
              <w:tc>
                <w:tcPr>
                  <w:tcW w:w="696" w:type="pct"/>
                  <w:vMerge w:val="continue"/>
                  <w:tcBorders>
                    <w:tl2br w:val="nil"/>
                    <w:tr2bl w:val="nil"/>
                  </w:tcBorders>
                  <w:noWrap w:val="0"/>
                  <w:vAlign w:val="center"/>
                </w:tcPr>
                <w:p w14:paraId="52507AD1">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r>
            <w:tr w14:paraId="0049BD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8" w:type="pct"/>
                  <w:vMerge w:val="restart"/>
                  <w:tcBorders>
                    <w:tl2br w:val="nil"/>
                    <w:tr2bl w:val="nil"/>
                  </w:tcBorders>
                  <w:noWrap w:val="0"/>
                  <w:vAlign w:val="center"/>
                </w:tcPr>
                <w:p w14:paraId="0CFB20AA">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cs="Times New Roman"/>
                      <w:color w:val="000000" w:themeColor="text1"/>
                      <w:highlight w:val="none"/>
                      <w:lang w:val="en-US" w:eastAsia="zh-CN" w:bidi="ar-SA"/>
                      <w14:textFill>
                        <w14:solidFill>
                          <w14:schemeClr w14:val="tx1"/>
                        </w14:solidFill>
                      </w14:textFill>
                    </w:rPr>
                    <w:t>生活污水</w:t>
                  </w:r>
                </w:p>
              </w:tc>
              <w:tc>
                <w:tcPr>
                  <w:tcW w:w="867" w:type="pct"/>
                  <w:tcBorders>
                    <w:tl2br w:val="nil"/>
                    <w:tr2bl w:val="nil"/>
                  </w:tcBorders>
                  <w:noWrap w:val="0"/>
                  <w:vAlign w:val="center"/>
                </w:tcPr>
                <w:p w14:paraId="1B91FE40">
                  <w:pPr>
                    <w:pStyle w:val="26"/>
                    <w:bidi w:val="0"/>
                    <w:ind w:firstLine="0" w:firstLineChars="0"/>
                    <w:rPr>
                      <w:rFonts w:hint="default" w:ascii="Times New Roman" w:hAnsi="Times New Roman" w:eastAsia="宋体" w:cs="Times New Roman"/>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COD</w:t>
                  </w:r>
                </w:p>
              </w:tc>
              <w:tc>
                <w:tcPr>
                  <w:tcW w:w="991" w:type="pct"/>
                  <w:vMerge w:val="restart"/>
                  <w:tcBorders>
                    <w:tl2br w:val="nil"/>
                    <w:tr2bl w:val="nil"/>
                  </w:tcBorders>
                  <w:noWrap w:val="0"/>
                  <w:vAlign w:val="center"/>
                </w:tcPr>
                <w:p w14:paraId="6CAE2D61">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厌氧发酵-沉淀</w:t>
                  </w:r>
                </w:p>
              </w:tc>
              <w:tc>
                <w:tcPr>
                  <w:tcW w:w="757" w:type="pct"/>
                  <w:vMerge w:val="restart"/>
                  <w:tcBorders>
                    <w:tl2br w:val="nil"/>
                    <w:tr2bl w:val="nil"/>
                  </w:tcBorders>
                  <w:noWrap w:val="0"/>
                  <w:vAlign w:val="center"/>
                </w:tcPr>
                <w:p w14:paraId="0F32344A">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12</w:t>
                  </w:r>
                  <w:r>
                    <w:rPr>
                      <w:rFonts w:hint="default" w:ascii="Times New Roman" w:hAnsi="Times New Roman" w:cs="Times New Roman"/>
                      <w:color w:val="000000" w:themeColor="text1"/>
                      <w:highlight w:val="none"/>
                      <w:lang w:val="en-US" w:eastAsia="zh-CN" w:bidi="ar-SA"/>
                      <w14:textFill>
                        <w14:solidFill>
                          <w14:schemeClr w14:val="tx1"/>
                        </w14:solidFill>
                      </w14:textFill>
                    </w:rPr>
                    <w:t xml:space="preserve"> t/d</w:t>
                  </w:r>
                </w:p>
              </w:tc>
              <w:tc>
                <w:tcPr>
                  <w:tcW w:w="879" w:type="pct"/>
                  <w:tcBorders>
                    <w:tl2br w:val="nil"/>
                    <w:tr2bl w:val="nil"/>
                  </w:tcBorders>
                  <w:noWrap w:val="0"/>
                  <w:vAlign w:val="center"/>
                </w:tcPr>
                <w:p w14:paraId="489BA697">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15%</w:t>
                  </w:r>
                </w:p>
              </w:tc>
              <w:tc>
                <w:tcPr>
                  <w:tcW w:w="696" w:type="pct"/>
                  <w:vMerge w:val="restart"/>
                  <w:tcBorders>
                    <w:tl2br w:val="nil"/>
                    <w:tr2bl w:val="nil"/>
                  </w:tcBorders>
                  <w:noWrap w:val="0"/>
                  <w:vAlign w:val="center"/>
                </w:tcPr>
                <w:p w14:paraId="7FDE8CCB">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cs="Times New Roman"/>
                      <w:color w:val="000000" w:themeColor="text1"/>
                      <w:highlight w:val="none"/>
                      <w:lang w:val="en-US" w:eastAsia="zh-CN" w:bidi="ar-SA"/>
                      <w14:textFill>
                        <w14:solidFill>
                          <w14:schemeClr w14:val="tx1"/>
                        </w14:solidFill>
                      </w14:textFill>
                    </w:rPr>
                    <w:t>是</w:t>
                  </w:r>
                </w:p>
              </w:tc>
            </w:tr>
            <w:tr w14:paraId="74DFA6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8" w:type="pct"/>
                  <w:vMerge w:val="continue"/>
                  <w:tcBorders>
                    <w:tl2br w:val="nil"/>
                    <w:tr2bl w:val="nil"/>
                  </w:tcBorders>
                  <w:noWrap w:val="0"/>
                  <w:vAlign w:val="center"/>
                </w:tcPr>
                <w:p w14:paraId="6620E679">
                  <w:pPr>
                    <w:pStyle w:val="26"/>
                    <w:bidi w:val="0"/>
                    <w:jc w:val="center"/>
                    <w:rPr>
                      <w:rFonts w:hint="eastAsia" w:cs="Times New Roman"/>
                      <w:color w:val="000000" w:themeColor="text1"/>
                      <w:highlight w:val="none"/>
                      <w:lang w:val="en-US" w:eastAsia="zh-CN" w:bidi="ar-SA"/>
                      <w14:textFill>
                        <w14:solidFill>
                          <w14:schemeClr w14:val="tx1"/>
                        </w14:solidFill>
                      </w14:textFill>
                    </w:rPr>
                  </w:pPr>
                </w:p>
              </w:tc>
              <w:tc>
                <w:tcPr>
                  <w:tcW w:w="867" w:type="pct"/>
                  <w:tcBorders>
                    <w:tl2br w:val="nil"/>
                    <w:tr2bl w:val="nil"/>
                  </w:tcBorders>
                  <w:noWrap w:val="0"/>
                  <w:vAlign w:val="center"/>
                </w:tcPr>
                <w:p w14:paraId="0E01F8A8">
                  <w:pPr>
                    <w:pStyle w:val="26"/>
                    <w:bidi w:val="0"/>
                    <w:ind w:firstLine="0" w:firstLineChars="0"/>
                    <w:rPr>
                      <w:rFonts w:hint="default" w:ascii="Times New Roman" w:hAnsi="Times New Roman" w:eastAsia="宋体" w:cs="Times New Roman"/>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BOD</w:t>
                  </w:r>
                  <w:r>
                    <w:rPr>
                      <w:rFonts w:hint="eastAsia"/>
                      <w:color w:val="000000" w:themeColor="text1"/>
                      <w:highlight w:val="none"/>
                      <w:vertAlign w:val="subscript"/>
                      <w:lang w:val="en-US" w:eastAsia="zh-CN" w:bidi="ar-SA"/>
                      <w14:textFill>
                        <w14:solidFill>
                          <w14:schemeClr w14:val="tx1"/>
                        </w14:solidFill>
                      </w14:textFill>
                    </w:rPr>
                    <w:t>5</w:t>
                  </w:r>
                </w:p>
              </w:tc>
              <w:tc>
                <w:tcPr>
                  <w:tcW w:w="991" w:type="pct"/>
                  <w:vMerge w:val="continue"/>
                  <w:tcBorders>
                    <w:tl2br w:val="nil"/>
                    <w:tr2bl w:val="nil"/>
                  </w:tcBorders>
                  <w:noWrap w:val="0"/>
                  <w:vAlign w:val="center"/>
                </w:tcPr>
                <w:p w14:paraId="0C7C13A6">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757" w:type="pct"/>
                  <w:vMerge w:val="continue"/>
                  <w:tcBorders>
                    <w:tl2br w:val="nil"/>
                    <w:tr2bl w:val="nil"/>
                  </w:tcBorders>
                  <w:noWrap w:val="0"/>
                  <w:vAlign w:val="center"/>
                </w:tcPr>
                <w:p w14:paraId="59CC8572">
                  <w:pPr>
                    <w:pStyle w:val="26"/>
                    <w:bidi w:val="0"/>
                    <w:jc w:val="center"/>
                    <w:rPr>
                      <w:rFonts w:hint="eastAsia" w:ascii="Times New Roman" w:hAnsi="Times New Roman" w:cs="Times New Roman"/>
                      <w:color w:val="000000" w:themeColor="text1"/>
                      <w:highlight w:val="none"/>
                      <w:lang w:val="en-US" w:eastAsia="zh-CN" w:bidi="ar-SA"/>
                      <w14:textFill>
                        <w14:solidFill>
                          <w14:schemeClr w14:val="tx1"/>
                        </w14:solidFill>
                      </w14:textFill>
                    </w:rPr>
                  </w:pPr>
                </w:p>
              </w:tc>
              <w:tc>
                <w:tcPr>
                  <w:tcW w:w="879" w:type="pct"/>
                  <w:tcBorders>
                    <w:tl2br w:val="nil"/>
                    <w:tr2bl w:val="nil"/>
                  </w:tcBorders>
                  <w:noWrap w:val="0"/>
                  <w:vAlign w:val="center"/>
                </w:tcPr>
                <w:p w14:paraId="6CDCF9AF">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9%</w:t>
                  </w:r>
                </w:p>
              </w:tc>
              <w:tc>
                <w:tcPr>
                  <w:tcW w:w="696" w:type="pct"/>
                  <w:vMerge w:val="continue"/>
                  <w:tcBorders>
                    <w:tl2br w:val="nil"/>
                    <w:tr2bl w:val="nil"/>
                  </w:tcBorders>
                  <w:noWrap w:val="0"/>
                  <w:vAlign w:val="center"/>
                </w:tcPr>
                <w:p w14:paraId="08B30864">
                  <w:pPr>
                    <w:pStyle w:val="26"/>
                    <w:bidi w:val="0"/>
                    <w:jc w:val="center"/>
                    <w:rPr>
                      <w:rFonts w:hint="eastAsia" w:cs="Times New Roman"/>
                      <w:color w:val="000000" w:themeColor="text1"/>
                      <w:highlight w:val="none"/>
                      <w:lang w:val="en-US" w:eastAsia="zh-CN" w:bidi="ar-SA"/>
                      <w14:textFill>
                        <w14:solidFill>
                          <w14:schemeClr w14:val="tx1"/>
                        </w14:solidFill>
                      </w14:textFill>
                    </w:rPr>
                  </w:pPr>
                </w:p>
              </w:tc>
            </w:tr>
            <w:tr w14:paraId="4A509A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8" w:type="pct"/>
                  <w:vMerge w:val="continue"/>
                  <w:tcBorders>
                    <w:tl2br w:val="nil"/>
                    <w:tr2bl w:val="nil"/>
                  </w:tcBorders>
                  <w:noWrap w:val="0"/>
                  <w:vAlign w:val="center"/>
                </w:tcPr>
                <w:p w14:paraId="462441B5">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867" w:type="pct"/>
                  <w:tcBorders>
                    <w:tl2br w:val="nil"/>
                    <w:tr2bl w:val="nil"/>
                  </w:tcBorders>
                  <w:noWrap w:val="0"/>
                  <w:vAlign w:val="center"/>
                </w:tcPr>
                <w:p w14:paraId="61E16825">
                  <w:pPr>
                    <w:pStyle w:val="26"/>
                    <w:bidi w:val="0"/>
                    <w:ind w:firstLine="0" w:firstLineChars="0"/>
                    <w:rPr>
                      <w:rFonts w:hint="default"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t>SS</w:t>
                  </w:r>
                </w:p>
              </w:tc>
              <w:tc>
                <w:tcPr>
                  <w:tcW w:w="991" w:type="pct"/>
                  <w:vMerge w:val="continue"/>
                  <w:tcBorders>
                    <w:tl2br w:val="nil"/>
                    <w:tr2bl w:val="nil"/>
                  </w:tcBorders>
                  <w:noWrap w:val="0"/>
                  <w:vAlign w:val="center"/>
                </w:tcPr>
                <w:p w14:paraId="572E5B10">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757" w:type="pct"/>
                  <w:vMerge w:val="continue"/>
                  <w:tcBorders>
                    <w:tl2br w:val="nil"/>
                    <w:tr2bl w:val="nil"/>
                  </w:tcBorders>
                  <w:noWrap w:val="0"/>
                  <w:vAlign w:val="center"/>
                </w:tcPr>
                <w:p w14:paraId="62257775">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879" w:type="pct"/>
                  <w:tcBorders>
                    <w:tl2br w:val="nil"/>
                    <w:tr2bl w:val="nil"/>
                  </w:tcBorders>
                  <w:noWrap w:val="0"/>
                  <w:vAlign w:val="center"/>
                </w:tcPr>
                <w:p w14:paraId="4A1BB4B4">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30%</w:t>
                  </w:r>
                </w:p>
              </w:tc>
              <w:tc>
                <w:tcPr>
                  <w:tcW w:w="696" w:type="pct"/>
                  <w:vMerge w:val="continue"/>
                  <w:tcBorders>
                    <w:tl2br w:val="nil"/>
                    <w:tr2bl w:val="nil"/>
                  </w:tcBorders>
                  <w:noWrap w:val="0"/>
                  <w:vAlign w:val="center"/>
                </w:tcPr>
                <w:p w14:paraId="2C9483F9">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r>
            <w:tr w14:paraId="4641E9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8" w:type="pct"/>
                  <w:vMerge w:val="continue"/>
                  <w:tcBorders>
                    <w:tl2br w:val="nil"/>
                    <w:tr2bl w:val="nil"/>
                  </w:tcBorders>
                  <w:noWrap w:val="0"/>
                  <w:vAlign w:val="center"/>
                </w:tcPr>
                <w:p w14:paraId="273EE559">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867" w:type="pct"/>
                  <w:tcBorders>
                    <w:tl2br w:val="nil"/>
                    <w:tr2bl w:val="nil"/>
                  </w:tcBorders>
                  <w:noWrap w:val="0"/>
                  <w:vAlign w:val="center"/>
                </w:tcPr>
                <w:p w14:paraId="6B5A7E24">
                  <w:pPr>
                    <w:pStyle w:val="26"/>
                    <w:bidi w:val="0"/>
                    <w:ind w:firstLine="0" w:firstLineChars="0"/>
                    <w:rPr>
                      <w:rFonts w:hint="default"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t>NH</w:t>
                  </w:r>
                  <w:r>
                    <w:rPr>
                      <w:rFonts w:hint="eastAsia" w:ascii="Times New Roman" w:hAnsi="Times New Roman" w:eastAsia="宋体" w:cs="Times New Roman"/>
                      <w:color w:val="000000" w:themeColor="text1"/>
                      <w:kern w:val="2"/>
                      <w:sz w:val="21"/>
                      <w:szCs w:val="22"/>
                      <w:highlight w:val="none"/>
                      <w:vertAlign w:val="sub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t>-N</w:t>
                  </w:r>
                </w:p>
              </w:tc>
              <w:tc>
                <w:tcPr>
                  <w:tcW w:w="991" w:type="pct"/>
                  <w:vMerge w:val="continue"/>
                  <w:tcBorders>
                    <w:tl2br w:val="nil"/>
                    <w:tr2bl w:val="nil"/>
                  </w:tcBorders>
                  <w:noWrap w:val="0"/>
                  <w:vAlign w:val="center"/>
                </w:tcPr>
                <w:p w14:paraId="68DE1DF6">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757" w:type="pct"/>
                  <w:vMerge w:val="continue"/>
                  <w:tcBorders>
                    <w:tl2br w:val="nil"/>
                    <w:tr2bl w:val="nil"/>
                  </w:tcBorders>
                  <w:noWrap w:val="0"/>
                  <w:vAlign w:val="center"/>
                </w:tcPr>
                <w:p w14:paraId="5A9A507C">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879" w:type="pct"/>
                  <w:tcBorders>
                    <w:tl2br w:val="nil"/>
                    <w:tr2bl w:val="nil"/>
                  </w:tcBorders>
                  <w:noWrap w:val="0"/>
                  <w:vAlign w:val="center"/>
                </w:tcPr>
                <w:p w14:paraId="7F7ADAB2">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w:t>
                  </w:r>
                </w:p>
              </w:tc>
              <w:tc>
                <w:tcPr>
                  <w:tcW w:w="696" w:type="pct"/>
                  <w:vMerge w:val="continue"/>
                  <w:tcBorders>
                    <w:tl2br w:val="nil"/>
                    <w:tr2bl w:val="nil"/>
                  </w:tcBorders>
                  <w:noWrap w:val="0"/>
                  <w:vAlign w:val="center"/>
                </w:tcPr>
                <w:p w14:paraId="7014B745">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r>
          </w:tbl>
          <w:p w14:paraId="1B1EA811">
            <w:pPr>
              <w:pStyle w:val="30"/>
              <w:numPr>
                <w:ilvl w:val="4"/>
                <w:numId w:val="4"/>
              </w:numPr>
              <w:tabs>
                <w:tab w:val="left" w:pos="0"/>
              </w:tabs>
              <w:bidi w:val="0"/>
              <w:rPr>
                <w:rFonts w:hint="default" w:ascii="Times New Roman" w:hAnsi="Times New Roman" w:cs="Times New Roman"/>
                <w:color w:val="000000" w:themeColor="text1"/>
                <w:highlight w:val="none"/>
                <w:lang w:val="en-US" w:eastAsia="zh-CN"/>
                <w14:textFill>
                  <w14:solidFill>
                    <w14:schemeClr w14:val="tx1"/>
                  </w14:solidFill>
                </w14:textFill>
              </w:rPr>
            </w:pPr>
            <w:bookmarkStart w:id="206" w:name="_Ref15995"/>
            <w:bookmarkStart w:id="207" w:name="_Ref1761"/>
            <w:r>
              <w:rPr>
                <w:rFonts w:hint="default" w:ascii="Times New Roman" w:hAnsi="Times New Roman" w:cs="Times New Roman"/>
                <w:color w:val="000000" w:themeColor="text1"/>
                <w:highlight w:val="none"/>
                <w:lang w:val="en-US" w:eastAsia="zh-CN"/>
                <w14:textFill>
                  <w14:solidFill>
                    <w14:schemeClr w14:val="tx1"/>
                  </w14:solidFill>
                </w14:textFill>
              </w:rPr>
              <w:t>废水污染源强产排情况一览表</w:t>
            </w:r>
            <w:bookmarkEnd w:id="206"/>
            <w:bookmarkEnd w:id="207"/>
          </w:p>
          <w:tbl>
            <w:tblPr>
              <w:tblStyle w:val="18"/>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8"/>
              <w:gridCol w:w="848"/>
              <w:gridCol w:w="1064"/>
              <w:gridCol w:w="1148"/>
              <w:gridCol w:w="914"/>
              <w:gridCol w:w="811"/>
              <w:gridCol w:w="898"/>
              <w:gridCol w:w="1132"/>
              <w:gridCol w:w="768"/>
            </w:tblGrid>
            <w:tr w14:paraId="594F84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7" w:type="pct"/>
                  <w:vMerge w:val="restart"/>
                  <w:tcBorders>
                    <w:tl2br w:val="nil"/>
                    <w:tr2bl w:val="nil"/>
                  </w:tcBorders>
                  <w:noWrap w:val="0"/>
                  <w:vAlign w:val="center"/>
                </w:tcPr>
                <w:p w14:paraId="0D12A9DB">
                  <w:pPr>
                    <w:pStyle w:val="26"/>
                    <w:bidi w:val="0"/>
                    <w:jc w:val="center"/>
                    <w:rPr>
                      <w:rFonts w:hint="default" w:ascii="Times New Roman" w:hAnsi="Times New Roman" w:eastAsia="宋体"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类别</w:t>
                  </w:r>
                </w:p>
              </w:tc>
              <w:tc>
                <w:tcPr>
                  <w:tcW w:w="511" w:type="pct"/>
                  <w:vMerge w:val="restart"/>
                  <w:tcBorders>
                    <w:tl2br w:val="nil"/>
                    <w:tr2bl w:val="nil"/>
                  </w:tcBorders>
                  <w:noWrap w:val="0"/>
                  <w:vAlign w:val="center"/>
                </w:tcPr>
                <w:p w14:paraId="19AC7B35">
                  <w:pPr>
                    <w:pStyle w:val="26"/>
                    <w:bidi w:val="0"/>
                    <w:jc w:val="center"/>
                    <w:rPr>
                      <w:rFonts w:hint="default" w:ascii="Times New Roman" w:hAnsi="Times New Roman" w:eastAsia="宋体"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污染因子</w:t>
                  </w:r>
                </w:p>
              </w:tc>
              <w:tc>
                <w:tcPr>
                  <w:tcW w:w="1333" w:type="pct"/>
                  <w:gridSpan w:val="2"/>
                  <w:tcBorders>
                    <w:tl2br w:val="nil"/>
                    <w:tr2bl w:val="nil"/>
                  </w:tcBorders>
                  <w:noWrap w:val="0"/>
                  <w:vAlign w:val="center"/>
                </w:tcPr>
                <w:p w14:paraId="4D183ADC">
                  <w:pPr>
                    <w:pStyle w:val="26"/>
                    <w:bidi w:val="0"/>
                    <w:jc w:val="center"/>
                    <w:rPr>
                      <w:rFonts w:hint="default" w:ascii="Times New Roman" w:hAnsi="Times New Roman" w:eastAsia="宋体" w:cs="Times New Roman"/>
                      <w:color w:val="000000" w:themeColor="text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SA"/>
                      <w14:textFill>
                        <w14:solidFill>
                          <w14:schemeClr w14:val="tx1"/>
                        </w14:solidFill>
                      </w14:textFill>
                    </w:rPr>
                    <w:t>污水处理站进口</w:t>
                  </w:r>
                </w:p>
              </w:tc>
              <w:tc>
                <w:tcPr>
                  <w:tcW w:w="551" w:type="pct"/>
                  <w:vMerge w:val="restart"/>
                  <w:tcBorders>
                    <w:tl2br w:val="nil"/>
                    <w:tr2bl w:val="nil"/>
                  </w:tcBorders>
                  <w:noWrap w:val="0"/>
                  <w:vAlign w:val="center"/>
                </w:tcPr>
                <w:p w14:paraId="38E94D5C">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处理</w:t>
                  </w:r>
                </w:p>
                <w:p w14:paraId="736D28BD">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设施</w:t>
                  </w:r>
                </w:p>
              </w:tc>
              <w:tc>
                <w:tcPr>
                  <w:tcW w:w="489" w:type="pct"/>
                  <w:vMerge w:val="restart"/>
                  <w:tcBorders>
                    <w:tl2br w:val="nil"/>
                    <w:tr2bl w:val="nil"/>
                  </w:tcBorders>
                  <w:noWrap w:val="0"/>
                  <w:vAlign w:val="center"/>
                </w:tcPr>
                <w:p w14:paraId="4F8931B6">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去除效率（%）</w:t>
                  </w:r>
                </w:p>
              </w:tc>
              <w:tc>
                <w:tcPr>
                  <w:tcW w:w="1223" w:type="pct"/>
                  <w:gridSpan w:val="2"/>
                  <w:tcBorders>
                    <w:tl2br w:val="nil"/>
                    <w:tr2bl w:val="nil"/>
                  </w:tcBorders>
                  <w:noWrap w:val="0"/>
                  <w:vAlign w:val="center"/>
                </w:tcPr>
                <w:p w14:paraId="23CED88E">
                  <w:pPr>
                    <w:pStyle w:val="26"/>
                    <w:bidi w:val="0"/>
                    <w:jc w:val="center"/>
                    <w:rPr>
                      <w:rFonts w:hint="default" w:ascii="Times New Roman" w:hAnsi="Times New Roman" w:eastAsia="宋体"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污水处理站出口</w:t>
                  </w:r>
                </w:p>
              </w:tc>
              <w:tc>
                <w:tcPr>
                  <w:tcW w:w="463" w:type="pct"/>
                  <w:vMerge w:val="restart"/>
                  <w:tcBorders>
                    <w:tl2br w:val="nil"/>
                    <w:tr2bl w:val="nil"/>
                  </w:tcBorders>
                  <w:noWrap w:val="0"/>
                  <w:vAlign w:val="center"/>
                </w:tcPr>
                <w:p w14:paraId="369679F3">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接管标准</w:t>
                  </w:r>
                </w:p>
                <w:p w14:paraId="748C5008">
                  <w:pPr>
                    <w:pStyle w:val="26"/>
                    <w:bidi w:val="0"/>
                    <w:ind w:firstLine="0" w:firstLineChars="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mg/L</w:t>
                  </w:r>
                </w:p>
              </w:tc>
            </w:tr>
            <w:tr w14:paraId="250AB7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7" w:type="pct"/>
                  <w:vMerge w:val="continue"/>
                  <w:tcBorders>
                    <w:tl2br w:val="nil"/>
                    <w:tr2bl w:val="nil"/>
                  </w:tcBorders>
                  <w:noWrap w:val="0"/>
                  <w:vAlign w:val="center"/>
                </w:tcPr>
                <w:p w14:paraId="097773D2">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511" w:type="pct"/>
                  <w:vMerge w:val="continue"/>
                  <w:tcBorders>
                    <w:tl2br w:val="nil"/>
                    <w:tr2bl w:val="nil"/>
                  </w:tcBorders>
                  <w:noWrap w:val="0"/>
                  <w:vAlign w:val="center"/>
                </w:tcPr>
                <w:p w14:paraId="3BDB8418">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641" w:type="pct"/>
                  <w:tcBorders>
                    <w:tl2br w:val="nil"/>
                    <w:tr2bl w:val="nil"/>
                  </w:tcBorders>
                  <w:noWrap w:val="0"/>
                  <w:vAlign w:val="center"/>
                </w:tcPr>
                <w:p w14:paraId="1759B65A">
                  <w:pPr>
                    <w:pStyle w:val="26"/>
                    <w:bidi w:val="0"/>
                    <w:ind w:firstLine="0" w:firstLineChars="0"/>
                    <w:jc w:val="center"/>
                    <w:rPr>
                      <w:rFonts w:hint="default"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浓度mg/L</w:t>
                  </w:r>
                </w:p>
              </w:tc>
              <w:tc>
                <w:tcPr>
                  <w:tcW w:w="692" w:type="pct"/>
                  <w:tcBorders>
                    <w:tl2br w:val="nil"/>
                    <w:tr2bl w:val="nil"/>
                  </w:tcBorders>
                  <w:noWrap w:val="0"/>
                  <w:vAlign w:val="center"/>
                </w:tcPr>
                <w:p w14:paraId="4129F347">
                  <w:pPr>
                    <w:pStyle w:val="26"/>
                    <w:bidi w:val="0"/>
                    <w:ind w:firstLine="0" w:firstLineChars="0"/>
                    <w:jc w:val="center"/>
                    <w:rPr>
                      <w:rFonts w:hint="default"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排放量t/a</w:t>
                  </w:r>
                </w:p>
              </w:tc>
              <w:tc>
                <w:tcPr>
                  <w:tcW w:w="551" w:type="pct"/>
                  <w:vMerge w:val="continue"/>
                  <w:tcBorders>
                    <w:tl2br w:val="nil"/>
                    <w:tr2bl w:val="nil"/>
                  </w:tcBorders>
                  <w:noWrap w:val="0"/>
                  <w:vAlign w:val="center"/>
                </w:tcPr>
                <w:p w14:paraId="69559DD7">
                  <w:pPr>
                    <w:pStyle w:val="26"/>
                    <w:bidi w:val="0"/>
                    <w:ind w:firstLine="0" w:firstLineChars="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489" w:type="pct"/>
                  <w:vMerge w:val="continue"/>
                  <w:tcBorders>
                    <w:tl2br w:val="nil"/>
                    <w:tr2bl w:val="nil"/>
                  </w:tcBorders>
                  <w:noWrap w:val="0"/>
                  <w:vAlign w:val="center"/>
                </w:tcPr>
                <w:p w14:paraId="3B946DDD">
                  <w:pPr>
                    <w:pStyle w:val="26"/>
                    <w:bidi w:val="0"/>
                    <w:ind w:firstLine="0" w:firstLineChars="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541" w:type="pct"/>
                  <w:tcBorders>
                    <w:tl2br w:val="nil"/>
                    <w:tr2bl w:val="nil"/>
                  </w:tcBorders>
                  <w:noWrap w:val="0"/>
                  <w:vAlign w:val="center"/>
                </w:tcPr>
                <w:p w14:paraId="6F97EC80">
                  <w:pPr>
                    <w:pStyle w:val="26"/>
                    <w:bidi w:val="0"/>
                    <w:ind w:firstLine="0" w:firstLineChars="0"/>
                    <w:jc w:val="center"/>
                    <w:rPr>
                      <w:rFonts w:hint="default"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浓度mg/L</w:t>
                  </w:r>
                </w:p>
              </w:tc>
              <w:tc>
                <w:tcPr>
                  <w:tcW w:w="682" w:type="pct"/>
                  <w:tcBorders>
                    <w:tl2br w:val="nil"/>
                    <w:tr2bl w:val="nil"/>
                  </w:tcBorders>
                  <w:noWrap w:val="0"/>
                  <w:vAlign w:val="center"/>
                </w:tcPr>
                <w:p w14:paraId="77B32420">
                  <w:pPr>
                    <w:pStyle w:val="26"/>
                    <w:bidi w:val="0"/>
                    <w:ind w:firstLine="0" w:firstLineChars="0"/>
                    <w:jc w:val="center"/>
                    <w:rPr>
                      <w:rFonts w:hint="default"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排放量t/a</w:t>
                  </w:r>
                </w:p>
              </w:tc>
              <w:tc>
                <w:tcPr>
                  <w:tcW w:w="463" w:type="pct"/>
                  <w:vMerge w:val="continue"/>
                  <w:tcBorders>
                    <w:tl2br w:val="nil"/>
                    <w:tr2bl w:val="nil"/>
                  </w:tcBorders>
                  <w:noWrap w:val="0"/>
                  <w:vAlign w:val="center"/>
                </w:tcPr>
                <w:p w14:paraId="3B2AE090">
                  <w:pPr>
                    <w:pStyle w:val="26"/>
                    <w:bidi w:val="0"/>
                    <w:ind w:firstLine="0" w:firstLineChars="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r>
            <w:tr w14:paraId="271AE6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7" w:type="pct"/>
                  <w:vMerge w:val="restart"/>
                  <w:tcBorders>
                    <w:tl2br w:val="nil"/>
                    <w:tr2bl w:val="nil"/>
                  </w:tcBorders>
                  <w:noWrap w:val="0"/>
                  <w:vAlign w:val="center"/>
                </w:tcPr>
                <w:p w14:paraId="1043813D">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一期生活污水</w:t>
                  </w:r>
                </w:p>
              </w:tc>
              <w:tc>
                <w:tcPr>
                  <w:tcW w:w="511" w:type="pct"/>
                  <w:tcBorders>
                    <w:tl2br w:val="nil"/>
                    <w:tr2bl w:val="nil"/>
                  </w:tcBorders>
                  <w:noWrap w:val="0"/>
                  <w:vAlign w:val="center"/>
                </w:tcPr>
                <w:p w14:paraId="70AA6E8F">
                  <w:pPr>
                    <w:pStyle w:val="26"/>
                    <w:bidi w:val="0"/>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废水量</w:t>
                  </w:r>
                </w:p>
              </w:tc>
              <w:tc>
                <w:tcPr>
                  <w:tcW w:w="1065" w:type="dxa"/>
                  <w:tcBorders>
                    <w:tl2br w:val="nil"/>
                    <w:tr2bl w:val="nil"/>
                  </w:tcBorders>
                  <w:noWrap w:val="0"/>
                  <w:vAlign w:val="center"/>
                </w:tcPr>
                <w:p w14:paraId="6743681C">
                  <w:pPr>
                    <w:pStyle w:val="26"/>
                    <w:bidi w:val="0"/>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1149" w:type="dxa"/>
                  <w:tcBorders>
                    <w:tl2br w:val="nil"/>
                    <w:tr2bl w:val="nil"/>
                  </w:tcBorders>
                  <w:noWrap w:val="0"/>
                  <w:vAlign w:val="center"/>
                </w:tcPr>
                <w:p w14:paraId="76EAFDFB">
                  <w:pPr>
                    <w:pStyle w:val="26"/>
                    <w:bidi w:val="0"/>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132</w:t>
                  </w:r>
                </w:p>
              </w:tc>
              <w:tc>
                <w:tcPr>
                  <w:tcW w:w="551" w:type="pct"/>
                  <w:vMerge w:val="restart"/>
                  <w:tcBorders>
                    <w:tl2br w:val="nil"/>
                    <w:tr2bl w:val="nil"/>
                  </w:tcBorders>
                  <w:noWrap w:val="0"/>
                  <w:vAlign w:val="center"/>
                </w:tcPr>
                <w:p w14:paraId="5B98C4ED">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三级化粪池</w:t>
                  </w:r>
                </w:p>
              </w:tc>
              <w:tc>
                <w:tcPr>
                  <w:tcW w:w="489" w:type="pct"/>
                  <w:tcBorders>
                    <w:tl2br w:val="nil"/>
                    <w:tr2bl w:val="nil"/>
                  </w:tcBorders>
                  <w:noWrap w:val="0"/>
                  <w:vAlign w:val="center"/>
                </w:tcPr>
                <w:p w14:paraId="1B4E5D56">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898" w:type="dxa"/>
                  <w:tcBorders>
                    <w:tl2br w:val="nil"/>
                    <w:tr2bl w:val="nil"/>
                  </w:tcBorders>
                  <w:noWrap w:val="0"/>
                  <w:vAlign w:val="center"/>
                </w:tcPr>
                <w:p w14:paraId="2FD4D7CB">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1133" w:type="dxa"/>
                  <w:tcBorders>
                    <w:tl2br w:val="nil"/>
                    <w:tr2bl w:val="nil"/>
                  </w:tcBorders>
                  <w:noWrap w:val="0"/>
                  <w:vAlign w:val="center"/>
                </w:tcPr>
                <w:p w14:paraId="3B754192">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132</w:t>
                  </w:r>
                </w:p>
              </w:tc>
              <w:tc>
                <w:tcPr>
                  <w:tcW w:w="769" w:type="dxa"/>
                  <w:tcBorders>
                    <w:tl2br w:val="nil"/>
                    <w:tr2bl w:val="nil"/>
                  </w:tcBorders>
                  <w:noWrap w:val="0"/>
                  <w:vAlign w:val="center"/>
                </w:tcPr>
                <w:p w14:paraId="4AE1C276">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r>
            <w:tr w14:paraId="27C906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7" w:type="pct"/>
                  <w:vMerge w:val="continue"/>
                  <w:tcBorders>
                    <w:tl2br w:val="nil"/>
                    <w:tr2bl w:val="nil"/>
                  </w:tcBorders>
                  <w:noWrap w:val="0"/>
                  <w:vAlign w:val="center"/>
                </w:tcPr>
                <w:p w14:paraId="1B58844F">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511" w:type="pct"/>
                  <w:tcBorders>
                    <w:tl2br w:val="nil"/>
                    <w:tr2bl w:val="nil"/>
                  </w:tcBorders>
                  <w:noWrap w:val="0"/>
                  <w:vAlign w:val="center"/>
                </w:tcPr>
                <w:p w14:paraId="354C6E1D">
                  <w:pPr>
                    <w:pStyle w:val="26"/>
                    <w:bidi w:val="0"/>
                    <w:ind w:firstLine="0" w:firstLineChars="0"/>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COD</w:t>
                  </w:r>
                </w:p>
              </w:tc>
              <w:tc>
                <w:tcPr>
                  <w:tcW w:w="1065" w:type="dxa"/>
                  <w:tcBorders>
                    <w:tl2br w:val="nil"/>
                    <w:tr2bl w:val="nil"/>
                  </w:tcBorders>
                  <w:noWrap w:val="0"/>
                  <w:vAlign w:val="center"/>
                </w:tcPr>
                <w:p w14:paraId="04247666">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400</w:t>
                  </w:r>
                </w:p>
              </w:tc>
              <w:tc>
                <w:tcPr>
                  <w:tcW w:w="1149" w:type="dxa"/>
                  <w:tcBorders>
                    <w:tl2br w:val="nil"/>
                    <w:tr2bl w:val="nil"/>
                  </w:tcBorders>
                  <w:noWrap w:val="0"/>
                  <w:vAlign w:val="center"/>
                </w:tcPr>
                <w:p w14:paraId="6846C116">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0.0528</w:t>
                  </w:r>
                </w:p>
              </w:tc>
              <w:tc>
                <w:tcPr>
                  <w:tcW w:w="551" w:type="pct"/>
                  <w:vMerge w:val="continue"/>
                  <w:tcBorders>
                    <w:tl2br w:val="nil"/>
                    <w:tr2bl w:val="nil"/>
                  </w:tcBorders>
                  <w:noWrap w:val="0"/>
                  <w:vAlign w:val="center"/>
                </w:tcPr>
                <w:p w14:paraId="3441A7C6">
                  <w:pPr>
                    <w:pStyle w:val="26"/>
                    <w:bidi w:val="0"/>
                    <w:jc w:val="center"/>
                    <w:rPr>
                      <w:rFonts w:hint="default"/>
                      <w:color w:val="000000" w:themeColor="text1"/>
                      <w:highlight w:val="none"/>
                      <w:lang w:val="en-US" w:eastAsia="zh-CN" w:bidi="ar-SA"/>
                      <w14:textFill>
                        <w14:solidFill>
                          <w14:schemeClr w14:val="tx1"/>
                        </w14:solidFill>
                      </w14:textFill>
                    </w:rPr>
                  </w:pPr>
                </w:p>
              </w:tc>
              <w:tc>
                <w:tcPr>
                  <w:tcW w:w="489" w:type="pct"/>
                  <w:tcBorders>
                    <w:tl2br w:val="nil"/>
                    <w:tr2bl w:val="nil"/>
                  </w:tcBorders>
                  <w:noWrap w:val="0"/>
                  <w:vAlign w:val="center"/>
                </w:tcPr>
                <w:p w14:paraId="108EB202">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15%</w:t>
                  </w:r>
                </w:p>
              </w:tc>
              <w:tc>
                <w:tcPr>
                  <w:tcW w:w="898" w:type="dxa"/>
                  <w:tcBorders>
                    <w:tl2br w:val="nil"/>
                    <w:tr2bl w:val="nil"/>
                  </w:tcBorders>
                  <w:noWrap w:val="0"/>
                  <w:vAlign w:val="center"/>
                </w:tcPr>
                <w:p w14:paraId="5DF93E52">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340</w:t>
                  </w:r>
                </w:p>
              </w:tc>
              <w:tc>
                <w:tcPr>
                  <w:tcW w:w="1133" w:type="dxa"/>
                  <w:tcBorders>
                    <w:tl2br w:val="nil"/>
                    <w:tr2bl w:val="nil"/>
                  </w:tcBorders>
                  <w:noWrap w:val="0"/>
                  <w:vAlign w:val="center"/>
                </w:tcPr>
                <w:p w14:paraId="65936FFE">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0.0449</w:t>
                  </w:r>
                </w:p>
              </w:tc>
              <w:tc>
                <w:tcPr>
                  <w:tcW w:w="769" w:type="dxa"/>
                  <w:tcBorders>
                    <w:tl2br w:val="nil"/>
                    <w:tr2bl w:val="nil"/>
                  </w:tcBorders>
                  <w:noWrap w:val="0"/>
                  <w:vAlign w:val="center"/>
                </w:tcPr>
                <w:p w14:paraId="30A00826">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500</w:t>
                  </w:r>
                </w:p>
              </w:tc>
            </w:tr>
            <w:tr w14:paraId="61F702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7" w:type="pct"/>
                  <w:vMerge w:val="continue"/>
                  <w:tcBorders>
                    <w:tl2br w:val="nil"/>
                    <w:tr2bl w:val="nil"/>
                  </w:tcBorders>
                  <w:noWrap w:val="0"/>
                  <w:vAlign w:val="center"/>
                </w:tcPr>
                <w:p w14:paraId="088427F8">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511" w:type="pct"/>
                  <w:tcBorders>
                    <w:tl2br w:val="nil"/>
                    <w:tr2bl w:val="nil"/>
                  </w:tcBorders>
                  <w:noWrap w:val="0"/>
                  <w:vAlign w:val="center"/>
                </w:tcPr>
                <w:p w14:paraId="3C542D4D">
                  <w:pPr>
                    <w:pStyle w:val="26"/>
                    <w:bidi w:val="0"/>
                    <w:ind w:firstLine="0" w:firstLineChars="0"/>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BOD</w:t>
                  </w:r>
                  <w:r>
                    <w:rPr>
                      <w:rFonts w:hint="eastAsia"/>
                      <w:color w:val="000000" w:themeColor="text1"/>
                      <w:highlight w:val="none"/>
                      <w:vertAlign w:val="subscript"/>
                      <w:lang w:val="en-US" w:eastAsia="zh-CN" w:bidi="ar-SA"/>
                      <w14:textFill>
                        <w14:solidFill>
                          <w14:schemeClr w14:val="tx1"/>
                        </w14:solidFill>
                      </w14:textFill>
                    </w:rPr>
                    <w:t>5</w:t>
                  </w:r>
                </w:p>
              </w:tc>
              <w:tc>
                <w:tcPr>
                  <w:tcW w:w="1065" w:type="dxa"/>
                  <w:tcBorders>
                    <w:tl2br w:val="nil"/>
                    <w:tr2bl w:val="nil"/>
                  </w:tcBorders>
                  <w:noWrap w:val="0"/>
                  <w:vAlign w:val="center"/>
                </w:tcPr>
                <w:p w14:paraId="7B910B3E">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220</w:t>
                  </w:r>
                </w:p>
              </w:tc>
              <w:tc>
                <w:tcPr>
                  <w:tcW w:w="1149" w:type="dxa"/>
                  <w:tcBorders>
                    <w:tl2br w:val="nil"/>
                    <w:tr2bl w:val="nil"/>
                  </w:tcBorders>
                  <w:noWrap w:val="0"/>
                  <w:vAlign w:val="center"/>
                </w:tcPr>
                <w:p w14:paraId="1C7DC3DF">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0.0290</w:t>
                  </w:r>
                </w:p>
              </w:tc>
              <w:tc>
                <w:tcPr>
                  <w:tcW w:w="551" w:type="pct"/>
                  <w:vMerge w:val="continue"/>
                  <w:tcBorders>
                    <w:tl2br w:val="nil"/>
                    <w:tr2bl w:val="nil"/>
                  </w:tcBorders>
                  <w:noWrap w:val="0"/>
                  <w:vAlign w:val="center"/>
                </w:tcPr>
                <w:p w14:paraId="1B9D1C69">
                  <w:pPr>
                    <w:pStyle w:val="26"/>
                    <w:bidi w:val="0"/>
                    <w:jc w:val="center"/>
                    <w:rPr>
                      <w:rFonts w:hint="default"/>
                      <w:color w:val="000000" w:themeColor="text1"/>
                      <w:highlight w:val="none"/>
                      <w:lang w:val="en-US" w:eastAsia="zh-CN" w:bidi="ar-SA"/>
                      <w14:textFill>
                        <w14:solidFill>
                          <w14:schemeClr w14:val="tx1"/>
                        </w14:solidFill>
                      </w14:textFill>
                    </w:rPr>
                  </w:pPr>
                </w:p>
              </w:tc>
              <w:tc>
                <w:tcPr>
                  <w:tcW w:w="489" w:type="pct"/>
                  <w:tcBorders>
                    <w:tl2br w:val="nil"/>
                    <w:tr2bl w:val="nil"/>
                  </w:tcBorders>
                  <w:noWrap w:val="0"/>
                  <w:vAlign w:val="center"/>
                </w:tcPr>
                <w:p w14:paraId="7017E144">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9%</w:t>
                  </w:r>
                </w:p>
              </w:tc>
              <w:tc>
                <w:tcPr>
                  <w:tcW w:w="898" w:type="dxa"/>
                  <w:tcBorders>
                    <w:tl2br w:val="nil"/>
                    <w:tr2bl w:val="nil"/>
                  </w:tcBorders>
                  <w:noWrap w:val="0"/>
                  <w:vAlign w:val="center"/>
                </w:tcPr>
                <w:p w14:paraId="143B4640">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200.2</w:t>
                  </w:r>
                </w:p>
              </w:tc>
              <w:tc>
                <w:tcPr>
                  <w:tcW w:w="1133" w:type="dxa"/>
                  <w:tcBorders>
                    <w:tl2br w:val="nil"/>
                    <w:tr2bl w:val="nil"/>
                  </w:tcBorders>
                  <w:noWrap w:val="0"/>
                  <w:vAlign w:val="center"/>
                </w:tcPr>
                <w:p w14:paraId="704934A2">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0.0264</w:t>
                  </w:r>
                </w:p>
              </w:tc>
              <w:tc>
                <w:tcPr>
                  <w:tcW w:w="769" w:type="dxa"/>
                  <w:tcBorders>
                    <w:tl2br w:val="nil"/>
                    <w:tr2bl w:val="nil"/>
                  </w:tcBorders>
                  <w:noWrap w:val="0"/>
                  <w:vAlign w:val="center"/>
                </w:tcPr>
                <w:p w14:paraId="2E850962">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300</w:t>
                  </w:r>
                </w:p>
              </w:tc>
            </w:tr>
            <w:tr w14:paraId="4D55AF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7" w:type="pct"/>
                  <w:vMerge w:val="continue"/>
                  <w:tcBorders>
                    <w:tl2br w:val="nil"/>
                    <w:tr2bl w:val="nil"/>
                  </w:tcBorders>
                  <w:noWrap w:val="0"/>
                  <w:vAlign w:val="center"/>
                </w:tcPr>
                <w:p w14:paraId="303F99A8">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511" w:type="pct"/>
                  <w:tcBorders>
                    <w:tl2br w:val="nil"/>
                    <w:tr2bl w:val="nil"/>
                  </w:tcBorders>
                  <w:noWrap w:val="0"/>
                  <w:vAlign w:val="center"/>
                </w:tcPr>
                <w:p w14:paraId="10445BE5">
                  <w:pPr>
                    <w:pStyle w:val="26"/>
                    <w:bidi w:val="0"/>
                    <w:ind w:firstLine="0" w:firstLineChars="0"/>
                    <w:rPr>
                      <w:rFonts w:hint="default"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t>SS</w:t>
                  </w:r>
                </w:p>
              </w:tc>
              <w:tc>
                <w:tcPr>
                  <w:tcW w:w="1065" w:type="dxa"/>
                  <w:tcBorders>
                    <w:tl2br w:val="nil"/>
                    <w:tr2bl w:val="nil"/>
                  </w:tcBorders>
                  <w:noWrap w:val="0"/>
                  <w:vAlign w:val="center"/>
                </w:tcPr>
                <w:p w14:paraId="3A392501">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200</w:t>
                  </w:r>
                </w:p>
              </w:tc>
              <w:tc>
                <w:tcPr>
                  <w:tcW w:w="1149" w:type="dxa"/>
                  <w:tcBorders>
                    <w:tl2br w:val="nil"/>
                    <w:tr2bl w:val="nil"/>
                  </w:tcBorders>
                  <w:noWrap w:val="0"/>
                  <w:vAlign w:val="center"/>
                </w:tcPr>
                <w:p w14:paraId="7927C7F2">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0.0264</w:t>
                  </w:r>
                </w:p>
              </w:tc>
              <w:tc>
                <w:tcPr>
                  <w:tcW w:w="551" w:type="pct"/>
                  <w:vMerge w:val="continue"/>
                  <w:tcBorders>
                    <w:tl2br w:val="nil"/>
                    <w:tr2bl w:val="nil"/>
                  </w:tcBorders>
                  <w:noWrap w:val="0"/>
                  <w:vAlign w:val="center"/>
                </w:tcPr>
                <w:p w14:paraId="08CFEE3B">
                  <w:pPr>
                    <w:pStyle w:val="26"/>
                    <w:bidi w:val="0"/>
                    <w:jc w:val="center"/>
                    <w:rPr>
                      <w:rFonts w:hint="default"/>
                      <w:color w:val="000000" w:themeColor="text1"/>
                      <w:highlight w:val="none"/>
                      <w:lang w:val="en-US" w:eastAsia="zh-CN" w:bidi="ar-SA"/>
                      <w14:textFill>
                        <w14:solidFill>
                          <w14:schemeClr w14:val="tx1"/>
                        </w14:solidFill>
                      </w14:textFill>
                    </w:rPr>
                  </w:pPr>
                </w:p>
              </w:tc>
              <w:tc>
                <w:tcPr>
                  <w:tcW w:w="489" w:type="pct"/>
                  <w:tcBorders>
                    <w:tl2br w:val="nil"/>
                    <w:tr2bl w:val="nil"/>
                  </w:tcBorders>
                  <w:noWrap w:val="0"/>
                  <w:vAlign w:val="center"/>
                </w:tcPr>
                <w:p w14:paraId="36D7119C">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30%</w:t>
                  </w:r>
                </w:p>
              </w:tc>
              <w:tc>
                <w:tcPr>
                  <w:tcW w:w="898" w:type="dxa"/>
                  <w:tcBorders>
                    <w:tl2br w:val="nil"/>
                    <w:tr2bl w:val="nil"/>
                  </w:tcBorders>
                  <w:noWrap w:val="0"/>
                  <w:vAlign w:val="center"/>
                </w:tcPr>
                <w:p w14:paraId="1811548A">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140</w:t>
                  </w:r>
                </w:p>
              </w:tc>
              <w:tc>
                <w:tcPr>
                  <w:tcW w:w="1133" w:type="dxa"/>
                  <w:tcBorders>
                    <w:tl2br w:val="nil"/>
                    <w:tr2bl w:val="nil"/>
                  </w:tcBorders>
                  <w:noWrap w:val="0"/>
                  <w:vAlign w:val="center"/>
                </w:tcPr>
                <w:p w14:paraId="29A99583">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0.0185</w:t>
                  </w:r>
                </w:p>
              </w:tc>
              <w:tc>
                <w:tcPr>
                  <w:tcW w:w="769" w:type="dxa"/>
                  <w:tcBorders>
                    <w:tl2br w:val="nil"/>
                    <w:tr2bl w:val="nil"/>
                  </w:tcBorders>
                  <w:noWrap w:val="0"/>
                  <w:vAlign w:val="center"/>
                </w:tcPr>
                <w:p w14:paraId="659146B9">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400</w:t>
                  </w:r>
                </w:p>
              </w:tc>
            </w:tr>
            <w:tr w14:paraId="181BCB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7" w:type="pct"/>
                  <w:vMerge w:val="continue"/>
                  <w:tcBorders>
                    <w:tl2br w:val="nil"/>
                    <w:tr2bl w:val="nil"/>
                  </w:tcBorders>
                  <w:noWrap w:val="0"/>
                  <w:vAlign w:val="center"/>
                </w:tcPr>
                <w:p w14:paraId="4E8BD0D7">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511" w:type="pct"/>
                  <w:tcBorders>
                    <w:tl2br w:val="nil"/>
                    <w:tr2bl w:val="nil"/>
                  </w:tcBorders>
                  <w:noWrap w:val="0"/>
                  <w:vAlign w:val="center"/>
                </w:tcPr>
                <w:p w14:paraId="2497EA3B">
                  <w:pPr>
                    <w:pStyle w:val="26"/>
                    <w:bidi w:val="0"/>
                    <w:ind w:firstLine="0" w:firstLineChars="0"/>
                    <w:rPr>
                      <w:rFonts w:hint="default"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t>NH</w:t>
                  </w:r>
                  <w:r>
                    <w:rPr>
                      <w:rFonts w:hint="eastAsia" w:ascii="Times New Roman" w:hAnsi="Times New Roman" w:eastAsia="宋体" w:cs="Times New Roman"/>
                      <w:color w:val="000000" w:themeColor="text1"/>
                      <w:kern w:val="2"/>
                      <w:sz w:val="21"/>
                      <w:szCs w:val="22"/>
                      <w:highlight w:val="none"/>
                      <w:vertAlign w:val="sub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t>-N</w:t>
                  </w:r>
                </w:p>
              </w:tc>
              <w:tc>
                <w:tcPr>
                  <w:tcW w:w="1065" w:type="dxa"/>
                  <w:tcBorders>
                    <w:tl2br w:val="nil"/>
                    <w:tr2bl w:val="nil"/>
                  </w:tcBorders>
                  <w:noWrap w:val="0"/>
                  <w:vAlign w:val="center"/>
                </w:tcPr>
                <w:p w14:paraId="611F6394">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35</w:t>
                  </w:r>
                </w:p>
              </w:tc>
              <w:tc>
                <w:tcPr>
                  <w:tcW w:w="1149" w:type="dxa"/>
                  <w:tcBorders>
                    <w:tl2br w:val="nil"/>
                    <w:tr2bl w:val="nil"/>
                  </w:tcBorders>
                  <w:noWrap w:val="0"/>
                  <w:vAlign w:val="center"/>
                </w:tcPr>
                <w:p w14:paraId="12DDC4E4">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0.0046</w:t>
                  </w:r>
                </w:p>
              </w:tc>
              <w:tc>
                <w:tcPr>
                  <w:tcW w:w="551" w:type="pct"/>
                  <w:vMerge w:val="continue"/>
                  <w:tcBorders>
                    <w:tl2br w:val="nil"/>
                    <w:tr2bl w:val="nil"/>
                  </w:tcBorders>
                  <w:noWrap w:val="0"/>
                  <w:vAlign w:val="center"/>
                </w:tcPr>
                <w:p w14:paraId="7D6D70B0">
                  <w:pPr>
                    <w:pStyle w:val="26"/>
                    <w:bidi w:val="0"/>
                    <w:jc w:val="center"/>
                    <w:rPr>
                      <w:rFonts w:hint="default"/>
                      <w:color w:val="000000" w:themeColor="text1"/>
                      <w:highlight w:val="none"/>
                      <w:lang w:val="en-US" w:eastAsia="zh-CN" w:bidi="ar-SA"/>
                      <w14:textFill>
                        <w14:solidFill>
                          <w14:schemeClr w14:val="tx1"/>
                        </w14:solidFill>
                      </w14:textFill>
                    </w:rPr>
                  </w:pPr>
                </w:p>
              </w:tc>
              <w:tc>
                <w:tcPr>
                  <w:tcW w:w="489" w:type="pct"/>
                  <w:tcBorders>
                    <w:tl2br w:val="nil"/>
                    <w:tr2bl w:val="nil"/>
                  </w:tcBorders>
                  <w:noWrap w:val="0"/>
                  <w:vAlign w:val="center"/>
                </w:tcPr>
                <w:p w14:paraId="02D4089B">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w:t>
                  </w:r>
                </w:p>
              </w:tc>
              <w:tc>
                <w:tcPr>
                  <w:tcW w:w="898" w:type="dxa"/>
                  <w:tcBorders>
                    <w:tl2br w:val="nil"/>
                    <w:tr2bl w:val="nil"/>
                  </w:tcBorders>
                  <w:noWrap w:val="0"/>
                  <w:vAlign w:val="center"/>
                </w:tcPr>
                <w:p w14:paraId="2D7A3328">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33.95</w:t>
                  </w:r>
                </w:p>
              </w:tc>
              <w:tc>
                <w:tcPr>
                  <w:tcW w:w="1133" w:type="dxa"/>
                  <w:tcBorders>
                    <w:tl2br w:val="nil"/>
                    <w:tr2bl w:val="nil"/>
                  </w:tcBorders>
                  <w:noWrap w:val="0"/>
                  <w:vAlign w:val="center"/>
                </w:tcPr>
                <w:p w14:paraId="37410A04">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0.0045</w:t>
                  </w:r>
                </w:p>
              </w:tc>
              <w:tc>
                <w:tcPr>
                  <w:tcW w:w="769" w:type="dxa"/>
                  <w:tcBorders>
                    <w:tl2br w:val="nil"/>
                    <w:tr2bl w:val="nil"/>
                  </w:tcBorders>
                  <w:noWrap w:val="0"/>
                  <w:vAlign w:val="center"/>
                </w:tcPr>
                <w:p w14:paraId="6FC0CCBD">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45</w:t>
                  </w:r>
                </w:p>
              </w:tc>
            </w:tr>
            <w:tr w14:paraId="2DDD38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7" w:type="pct"/>
                  <w:vMerge w:val="restart"/>
                  <w:tcBorders>
                    <w:tl2br w:val="nil"/>
                    <w:tr2bl w:val="nil"/>
                  </w:tcBorders>
                  <w:noWrap w:val="0"/>
                  <w:vAlign w:val="center"/>
                </w:tcPr>
                <w:p w14:paraId="429E6210">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二期生活污水</w:t>
                  </w:r>
                </w:p>
              </w:tc>
              <w:tc>
                <w:tcPr>
                  <w:tcW w:w="511" w:type="pct"/>
                  <w:tcBorders>
                    <w:tl2br w:val="nil"/>
                    <w:tr2bl w:val="nil"/>
                  </w:tcBorders>
                  <w:noWrap w:val="0"/>
                  <w:vAlign w:val="center"/>
                </w:tcPr>
                <w:p w14:paraId="5BD602C6">
                  <w:pPr>
                    <w:pStyle w:val="26"/>
                    <w:bidi w:val="0"/>
                    <w:ind w:firstLine="0" w:firstLineChars="0"/>
                    <w:rPr>
                      <w:rFonts w:hint="eastAsia"/>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废水量</w:t>
                  </w:r>
                </w:p>
              </w:tc>
              <w:tc>
                <w:tcPr>
                  <w:tcW w:w="1065" w:type="dxa"/>
                  <w:tcBorders>
                    <w:tl2br w:val="nil"/>
                    <w:tr2bl w:val="nil"/>
                  </w:tcBorders>
                  <w:noWrap w:val="0"/>
                  <w:vAlign w:val="center"/>
                </w:tcPr>
                <w:p w14:paraId="408B624E">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1149" w:type="dxa"/>
                  <w:tcBorders>
                    <w:tl2br w:val="nil"/>
                    <w:tr2bl w:val="nil"/>
                  </w:tcBorders>
                  <w:noWrap w:val="0"/>
                  <w:vAlign w:val="center"/>
                </w:tcPr>
                <w:p w14:paraId="239FEE19">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240</w:t>
                  </w:r>
                </w:p>
              </w:tc>
              <w:tc>
                <w:tcPr>
                  <w:tcW w:w="551" w:type="pct"/>
                  <w:vMerge w:val="restart"/>
                  <w:tcBorders>
                    <w:tl2br w:val="nil"/>
                    <w:tr2bl w:val="nil"/>
                  </w:tcBorders>
                  <w:noWrap w:val="0"/>
                  <w:vAlign w:val="center"/>
                </w:tcPr>
                <w:p w14:paraId="5785CBDC">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三级化粪池</w:t>
                  </w:r>
                </w:p>
              </w:tc>
              <w:tc>
                <w:tcPr>
                  <w:tcW w:w="489" w:type="pct"/>
                  <w:tcBorders>
                    <w:tl2br w:val="nil"/>
                    <w:tr2bl w:val="nil"/>
                  </w:tcBorders>
                  <w:noWrap w:val="0"/>
                  <w:vAlign w:val="center"/>
                </w:tcPr>
                <w:p w14:paraId="660F1776">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898" w:type="dxa"/>
                  <w:tcBorders>
                    <w:tl2br w:val="nil"/>
                    <w:tr2bl w:val="nil"/>
                  </w:tcBorders>
                  <w:noWrap w:val="0"/>
                  <w:vAlign w:val="center"/>
                </w:tcPr>
                <w:p w14:paraId="52799D12">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1133" w:type="dxa"/>
                  <w:tcBorders>
                    <w:tl2br w:val="nil"/>
                    <w:tr2bl w:val="nil"/>
                  </w:tcBorders>
                  <w:noWrap w:val="0"/>
                  <w:vAlign w:val="center"/>
                </w:tcPr>
                <w:p w14:paraId="25E2F7EF">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240</w:t>
                  </w:r>
                </w:p>
              </w:tc>
              <w:tc>
                <w:tcPr>
                  <w:tcW w:w="769" w:type="dxa"/>
                  <w:tcBorders>
                    <w:tl2br w:val="nil"/>
                    <w:tr2bl w:val="nil"/>
                  </w:tcBorders>
                  <w:noWrap w:val="0"/>
                  <w:vAlign w:val="center"/>
                </w:tcPr>
                <w:p w14:paraId="7EAAB6B8">
                  <w:pPr>
                    <w:pStyle w:val="26"/>
                    <w:bidi w:val="0"/>
                    <w:jc w:val="center"/>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w:t>
                  </w:r>
                </w:p>
              </w:tc>
            </w:tr>
            <w:tr w14:paraId="1C5397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7" w:type="pct"/>
                  <w:vMerge w:val="continue"/>
                  <w:tcBorders>
                    <w:tl2br w:val="nil"/>
                    <w:tr2bl w:val="nil"/>
                  </w:tcBorders>
                  <w:noWrap w:val="0"/>
                  <w:vAlign w:val="center"/>
                </w:tcPr>
                <w:p w14:paraId="3354716F">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511" w:type="pct"/>
                  <w:tcBorders>
                    <w:tl2br w:val="nil"/>
                    <w:tr2bl w:val="nil"/>
                  </w:tcBorders>
                  <w:noWrap w:val="0"/>
                  <w:vAlign w:val="center"/>
                </w:tcPr>
                <w:p w14:paraId="11C3AD05">
                  <w:pPr>
                    <w:pStyle w:val="26"/>
                    <w:bidi w:val="0"/>
                    <w:ind w:firstLine="0" w:firstLineChars="0"/>
                    <w:rPr>
                      <w:rFonts w:hint="eastAsia"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COD</w:t>
                  </w:r>
                </w:p>
              </w:tc>
              <w:tc>
                <w:tcPr>
                  <w:tcW w:w="1065" w:type="dxa"/>
                  <w:tcBorders>
                    <w:tl2br w:val="nil"/>
                    <w:tr2bl w:val="nil"/>
                  </w:tcBorders>
                  <w:noWrap w:val="0"/>
                  <w:vAlign w:val="center"/>
                </w:tcPr>
                <w:p w14:paraId="4EA08147">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400</w:t>
                  </w:r>
                </w:p>
              </w:tc>
              <w:tc>
                <w:tcPr>
                  <w:tcW w:w="1149" w:type="dxa"/>
                  <w:tcBorders>
                    <w:tl2br w:val="nil"/>
                    <w:tr2bl w:val="nil"/>
                  </w:tcBorders>
                  <w:noWrap w:val="0"/>
                  <w:vAlign w:val="center"/>
                </w:tcPr>
                <w:p w14:paraId="453D515E">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0.0960</w:t>
                  </w:r>
                </w:p>
              </w:tc>
              <w:tc>
                <w:tcPr>
                  <w:tcW w:w="551" w:type="pct"/>
                  <w:vMerge w:val="continue"/>
                  <w:tcBorders>
                    <w:tl2br w:val="nil"/>
                    <w:tr2bl w:val="nil"/>
                  </w:tcBorders>
                  <w:noWrap w:val="0"/>
                  <w:vAlign w:val="center"/>
                </w:tcPr>
                <w:p w14:paraId="2ADF3A9D">
                  <w:pPr>
                    <w:pStyle w:val="26"/>
                    <w:bidi w:val="0"/>
                    <w:jc w:val="center"/>
                    <w:rPr>
                      <w:rFonts w:hint="default"/>
                      <w:color w:val="000000" w:themeColor="text1"/>
                      <w:highlight w:val="none"/>
                      <w:lang w:val="en-US" w:eastAsia="zh-CN" w:bidi="ar-SA"/>
                      <w14:textFill>
                        <w14:solidFill>
                          <w14:schemeClr w14:val="tx1"/>
                        </w14:solidFill>
                      </w14:textFill>
                    </w:rPr>
                  </w:pPr>
                </w:p>
              </w:tc>
              <w:tc>
                <w:tcPr>
                  <w:tcW w:w="489" w:type="pct"/>
                  <w:tcBorders>
                    <w:tl2br w:val="nil"/>
                    <w:tr2bl w:val="nil"/>
                  </w:tcBorders>
                  <w:noWrap w:val="0"/>
                  <w:vAlign w:val="center"/>
                </w:tcPr>
                <w:p w14:paraId="27F8D5EE">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15%</w:t>
                  </w:r>
                </w:p>
              </w:tc>
              <w:tc>
                <w:tcPr>
                  <w:tcW w:w="898" w:type="dxa"/>
                  <w:tcBorders>
                    <w:tl2br w:val="nil"/>
                    <w:tr2bl w:val="nil"/>
                  </w:tcBorders>
                  <w:noWrap w:val="0"/>
                  <w:vAlign w:val="center"/>
                </w:tcPr>
                <w:p w14:paraId="4F16E38D">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340</w:t>
                  </w:r>
                </w:p>
              </w:tc>
              <w:tc>
                <w:tcPr>
                  <w:tcW w:w="1133" w:type="dxa"/>
                  <w:tcBorders>
                    <w:tl2br w:val="nil"/>
                    <w:tr2bl w:val="nil"/>
                  </w:tcBorders>
                  <w:noWrap w:val="0"/>
                  <w:vAlign w:val="center"/>
                </w:tcPr>
                <w:p w14:paraId="68A62968">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0.0816</w:t>
                  </w:r>
                </w:p>
              </w:tc>
              <w:tc>
                <w:tcPr>
                  <w:tcW w:w="769" w:type="dxa"/>
                  <w:tcBorders>
                    <w:tl2br w:val="nil"/>
                    <w:tr2bl w:val="nil"/>
                  </w:tcBorders>
                  <w:noWrap w:val="0"/>
                  <w:vAlign w:val="center"/>
                </w:tcPr>
                <w:p w14:paraId="6244B6F8">
                  <w:pPr>
                    <w:pStyle w:val="26"/>
                    <w:bidi w:val="0"/>
                    <w:jc w:val="center"/>
                    <w:rPr>
                      <w:rFonts w:hint="eastAsia"/>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500</w:t>
                  </w:r>
                </w:p>
              </w:tc>
            </w:tr>
            <w:tr w14:paraId="1FF65C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7" w:type="pct"/>
                  <w:vMerge w:val="continue"/>
                  <w:tcBorders>
                    <w:tl2br w:val="nil"/>
                    <w:tr2bl w:val="nil"/>
                  </w:tcBorders>
                  <w:noWrap w:val="0"/>
                  <w:vAlign w:val="center"/>
                </w:tcPr>
                <w:p w14:paraId="041675EB">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511" w:type="pct"/>
                  <w:tcBorders>
                    <w:tl2br w:val="nil"/>
                    <w:tr2bl w:val="nil"/>
                  </w:tcBorders>
                  <w:noWrap w:val="0"/>
                  <w:vAlign w:val="center"/>
                </w:tcPr>
                <w:p w14:paraId="22A409BB">
                  <w:pPr>
                    <w:pStyle w:val="26"/>
                    <w:bidi w:val="0"/>
                    <w:ind w:firstLine="0" w:firstLineChars="0"/>
                    <w:rPr>
                      <w:rFonts w:hint="eastAsia"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BOD</w:t>
                  </w:r>
                  <w:r>
                    <w:rPr>
                      <w:rFonts w:hint="eastAsia"/>
                      <w:color w:val="000000" w:themeColor="text1"/>
                      <w:highlight w:val="none"/>
                      <w:vertAlign w:val="subscript"/>
                      <w:lang w:val="en-US" w:eastAsia="zh-CN" w:bidi="ar-SA"/>
                      <w14:textFill>
                        <w14:solidFill>
                          <w14:schemeClr w14:val="tx1"/>
                        </w14:solidFill>
                      </w14:textFill>
                    </w:rPr>
                    <w:t>5</w:t>
                  </w:r>
                </w:p>
              </w:tc>
              <w:tc>
                <w:tcPr>
                  <w:tcW w:w="1065" w:type="dxa"/>
                  <w:tcBorders>
                    <w:tl2br w:val="nil"/>
                    <w:tr2bl w:val="nil"/>
                  </w:tcBorders>
                  <w:noWrap w:val="0"/>
                  <w:vAlign w:val="center"/>
                </w:tcPr>
                <w:p w14:paraId="10EABB84">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220</w:t>
                  </w:r>
                </w:p>
              </w:tc>
              <w:tc>
                <w:tcPr>
                  <w:tcW w:w="1149" w:type="dxa"/>
                  <w:tcBorders>
                    <w:tl2br w:val="nil"/>
                    <w:tr2bl w:val="nil"/>
                  </w:tcBorders>
                  <w:noWrap w:val="0"/>
                  <w:vAlign w:val="center"/>
                </w:tcPr>
                <w:p w14:paraId="5474AB83">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0.0528</w:t>
                  </w:r>
                </w:p>
              </w:tc>
              <w:tc>
                <w:tcPr>
                  <w:tcW w:w="551" w:type="pct"/>
                  <w:vMerge w:val="continue"/>
                  <w:tcBorders>
                    <w:tl2br w:val="nil"/>
                    <w:tr2bl w:val="nil"/>
                  </w:tcBorders>
                  <w:noWrap w:val="0"/>
                  <w:vAlign w:val="center"/>
                </w:tcPr>
                <w:p w14:paraId="78F83BA7">
                  <w:pPr>
                    <w:pStyle w:val="26"/>
                    <w:bidi w:val="0"/>
                    <w:jc w:val="center"/>
                    <w:rPr>
                      <w:rFonts w:hint="default"/>
                      <w:color w:val="000000" w:themeColor="text1"/>
                      <w:highlight w:val="none"/>
                      <w:lang w:val="en-US" w:eastAsia="zh-CN" w:bidi="ar-SA"/>
                      <w14:textFill>
                        <w14:solidFill>
                          <w14:schemeClr w14:val="tx1"/>
                        </w14:solidFill>
                      </w14:textFill>
                    </w:rPr>
                  </w:pPr>
                </w:p>
              </w:tc>
              <w:tc>
                <w:tcPr>
                  <w:tcW w:w="489" w:type="pct"/>
                  <w:tcBorders>
                    <w:tl2br w:val="nil"/>
                    <w:tr2bl w:val="nil"/>
                  </w:tcBorders>
                  <w:noWrap w:val="0"/>
                  <w:vAlign w:val="center"/>
                </w:tcPr>
                <w:p w14:paraId="6AF4028B">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9%</w:t>
                  </w:r>
                </w:p>
              </w:tc>
              <w:tc>
                <w:tcPr>
                  <w:tcW w:w="898" w:type="dxa"/>
                  <w:tcBorders>
                    <w:tl2br w:val="nil"/>
                    <w:tr2bl w:val="nil"/>
                  </w:tcBorders>
                  <w:noWrap w:val="0"/>
                  <w:vAlign w:val="center"/>
                </w:tcPr>
                <w:p w14:paraId="01B23781">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200.2</w:t>
                  </w:r>
                </w:p>
              </w:tc>
              <w:tc>
                <w:tcPr>
                  <w:tcW w:w="1133" w:type="dxa"/>
                  <w:tcBorders>
                    <w:tl2br w:val="nil"/>
                    <w:tr2bl w:val="nil"/>
                  </w:tcBorders>
                  <w:noWrap w:val="0"/>
                  <w:vAlign w:val="center"/>
                </w:tcPr>
                <w:p w14:paraId="0380E646">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0.0480</w:t>
                  </w:r>
                </w:p>
              </w:tc>
              <w:tc>
                <w:tcPr>
                  <w:tcW w:w="769" w:type="dxa"/>
                  <w:tcBorders>
                    <w:tl2br w:val="nil"/>
                    <w:tr2bl w:val="nil"/>
                  </w:tcBorders>
                  <w:noWrap w:val="0"/>
                  <w:vAlign w:val="center"/>
                </w:tcPr>
                <w:p w14:paraId="44FCA790">
                  <w:pPr>
                    <w:pStyle w:val="26"/>
                    <w:bidi w:val="0"/>
                    <w:jc w:val="center"/>
                    <w:rPr>
                      <w:rFonts w:hint="eastAsia"/>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300</w:t>
                  </w:r>
                </w:p>
              </w:tc>
            </w:tr>
            <w:tr w14:paraId="46CCFF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7" w:type="pct"/>
                  <w:vMerge w:val="continue"/>
                  <w:tcBorders>
                    <w:tl2br w:val="nil"/>
                    <w:tr2bl w:val="nil"/>
                  </w:tcBorders>
                  <w:noWrap w:val="0"/>
                  <w:vAlign w:val="center"/>
                </w:tcPr>
                <w:p w14:paraId="6E1D9E77">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511" w:type="pct"/>
                  <w:tcBorders>
                    <w:tl2br w:val="nil"/>
                    <w:tr2bl w:val="nil"/>
                  </w:tcBorders>
                  <w:noWrap w:val="0"/>
                  <w:vAlign w:val="center"/>
                </w:tcPr>
                <w:p w14:paraId="0D9582F7">
                  <w:pPr>
                    <w:pStyle w:val="26"/>
                    <w:bidi w:val="0"/>
                    <w:ind w:firstLine="0" w:firstLineChars="0"/>
                    <w:rPr>
                      <w:rFonts w:hint="eastAsia"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t>SS</w:t>
                  </w:r>
                </w:p>
              </w:tc>
              <w:tc>
                <w:tcPr>
                  <w:tcW w:w="1065" w:type="dxa"/>
                  <w:tcBorders>
                    <w:tl2br w:val="nil"/>
                    <w:tr2bl w:val="nil"/>
                  </w:tcBorders>
                  <w:noWrap w:val="0"/>
                  <w:vAlign w:val="center"/>
                </w:tcPr>
                <w:p w14:paraId="5041C4C2">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200</w:t>
                  </w:r>
                </w:p>
              </w:tc>
              <w:tc>
                <w:tcPr>
                  <w:tcW w:w="1149" w:type="dxa"/>
                  <w:tcBorders>
                    <w:tl2br w:val="nil"/>
                    <w:tr2bl w:val="nil"/>
                  </w:tcBorders>
                  <w:noWrap w:val="0"/>
                  <w:vAlign w:val="center"/>
                </w:tcPr>
                <w:p w14:paraId="59BE09B1">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0.0480</w:t>
                  </w:r>
                </w:p>
              </w:tc>
              <w:tc>
                <w:tcPr>
                  <w:tcW w:w="551" w:type="pct"/>
                  <w:vMerge w:val="continue"/>
                  <w:tcBorders>
                    <w:tl2br w:val="nil"/>
                    <w:tr2bl w:val="nil"/>
                  </w:tcBorders>
                  <w:noWrap w:val="0"/>
                  <w:vAlign w:val="center"/>
                </w:tcPr>
                <w:p w14:paraId="37536299">
                  <w:pPr>
                    <w:pStyle w:val="26"/>
                    <w:bidi w:val="0"/>
                    <w:jc w:val="center"/>
                    <w:rPr>
                      <w:rFonts w:hint="default"/>
                      <w:color w:val="000000" w:themeColor="text1"/>
                      <w:highlight w:val="none"/>
                      <w:lang w:val="en-US" w:eastAsia="zh-CN" w:bidi="ar-SA"/>
                      <w14:textFill>
                        <w14:solidFill>
                          <w14:schemeClr w14:val="tx1"/>
                        </w14:solidFill>
                      </w14:textFill>
                    </w:rPr>
                  </w:pPr>
                </w:p>
              </w:tc>
              <w:tc>
                <w:tcPr>
                  <w:tcW w:w="489" w:type="pct"/>
                  <w:tcBorders>
                    <w:tl2br w:val="nil"/>
                    <w:tr2bl w:val="nil"/>
                  </w:tcBorders>
                  <w:noWrap w:val="0"/>
                  <w:vAlign w:val="center"/>
                </w:tcPr>
                <w:p w14:paraId="0C5DC998">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30%</w:t>
                  </w:r>
                </w:p>
              </w:tc>
              <w:tc>
                <w:tcPr>
                  <w:tcW w:w="898" w:type="dxa"/>
                  <w:tcBorders>
                    <w:tl2br w:val="nil"/>
                    <w:tr2bl w:val="nil"/>
                  </w:tcBorders>
                  <w:noWrap w:val="0"/>
                  <w:vAlign w:val="center"/>
                </w:tcPr>
                <w:p w14:paraId="2F88CC9B">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140</w:t>
                  </w:r>
                </w:p>
              </w:tc>
              <w:tc>
                <w:tcPr>
                  <w:tcW w:w="1133" w:type="dxa"/>
                  <w:tcBorders>
                    <w:tl2br w:val="nil"/>
                    <w:tr2bl w:val="nil"/>
                  </w:tcBorders>
                  <w:noWrap w:val="0"/>
                  <w:vAlign w:val="center"/>
                </w:tcPr>
                <w:p w14:paraId="0A44CA4A">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0.0336</w:t>
                  </w:r>
                </w:p>
              </w:tc>
              <w:tc>
                <w:tcPr>
                  <w:tcW w:w="769" w:type="dxa"/>
                  <w:tcBorders>
                    <w:tl2br w:val="nil"/>
                    <w:tr2bl w:val="nil"/>
                  </w:tcBorders>
                  <w:noWrap w:val="0"/>
                  <w:vAlign w:val="center"/>
                </w:tcPr>
                <w:p w14:paraId="2FC0CE87">
                  <w:pPr>
                    <w:pStyle w:val="26"/>
                    <w:bidi w:val="0"/>
                    <w:jc w:val="center"/>
                    <w:rPr>
                      <w:rFonts w:hint="eastAsia"/>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400</w:t>
                  </w:r>
                </w:p>
              </w:tc>
            </w:tr>
            <w:tr w14:paraId="699616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7" w:type="pct"/>
                  <w:vMerge w:val="continue"/>
                  <w:tcBorders>
                    <w:tl2br w:val="nil"/>
                    <w:tr2bl w:val="nil"/>
                  </w:tcBorders>
                  <w:noWrap w:val="0"/>
                  <w:vAlign w:val="center"/>
                </w:tcPr>
                <w:p w14:paraId="41876236">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511" w:type="pct"/>
                  <w:tcBorders>
                    <w:tl2br w:val="nil"/>
                    <w:tr2bl w:val="nil"/>
                  </w:tcBorders>
                  <w:noWrap w:val="0"/>
                  <w:vAlign w:val="center"/>
                </w:tcPr>
                <w:p w14:paraId="09143FCE">
                  <w:pPr>
                    <w:pStyle w:val="26"/>
                    <w:bidi w:val="0"/>
                    <w:ind w:firstLine="0" w:firstLineChars="0"/>
                    <w:rPr>
                      <w:rFonts w:hint="eastAsia"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t>NH</w:t>
                  </w:r>
                  <w:r>
                    <w:rPr>
                      <w:rFonts w:hint="eastAsia" w:ascii="Times New Roman" w:hAnsi="Times New Roman" w:eastAsia="宋体" w:cs="Times New Roman"/>
                      <w:color w:val="000000" w:themeColor="text1"/>
                      <w:kern w:val="2"/>
                      <w:sz w:val="21"/>
                      <w:szCs w:val="22"/>
                      <w:highlight w:val="none"/>
                      <w:vertAlign w:val="sub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t>-N</w:t>
                  </w:r>
                </w:p>
              </w:tc>
              <w:tc>
                <w:tcPr>
                  <w:tcW w:w="1065" w:type="dxa"/>
                  <w:tcBorders>
                    <w:tl2br w:val="nil"/>
                    <w:tr2bl w:val="nil"/>
                  </w:tcBorders>
                  <w:noWrap w:val="0"/>
                  <w:vAlign w:val="center"/>
                </w:tcPr>
                <w:p w14:paraId="45B9EA10">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35</w:t>
                  </w:r>
                </w:p>
              </w:tc>
              <w:tc>
                <w:tcPr>
                  <w:tcW w:w="1149" w:type="dxa"/>
                  <w:tcBorders>
                    <w:tl2br w:val="nil"/>
                    <w:tr2bl w:val="nil"/>
                  </w:tcBorders>
                  <w:noWrap w:val="0"/>
                  <w:vAlign w:val="center"/>
                </w:tcPr>
                <w:p w14:paraId="58B9D0CA">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0.0084</w:t>
                  </w:r>
                </w:p>
              </w:tc>
              <w:tc>
                <w:tcPr>
                  <w:tcW w:w="551" w:type="pct"/>
                  <w:vMerge w:val="continue"/>
                  <w:tcBorders>
                    <w:tl2br w:val="nil"/>
                    <w:tr2bl w:val="nil"/>
                  </w:tcBorders>
                  <w:noWrap w:val="0"/>
                  <w:vAlign w:val="center"/>
                </w:tcPr>
                <w:p w14:paraId="77EC4060">
                  <w:pPr>
                    <w:pStyle w:val="26"/>
                    <w:bidi w:val="0"/>
                    <w:jc w:val="center"/>
                    <w:rPr>
                      <w:rFonts w:hint="default"/>
                      <w:color w:val="000000" w:themeColor="text1"/>
                      <w:highlight w:val="none"/>
                      <w:lang w:val="en-US" w:eastAsia="zh-CN" w:bidi="ar-SA"/>
                      <w14:textFill>
                        <w14:solidFill>
                          <w14:schemeClr w14:val="tx1"/>
                        </w14:solidFill>
                      </w14:textFill>
                    </w:rPr>
                  </w:pPr>
                </w:p>
              </w:tc>
              <w:tc>
                <w:tcPr>
                  <w:tcW w:w="489" w:type="pct"/>
                  <w:tcBorders>
                    <w:tl2br w:val="nil"/>
                    <w:tr2bl w:val="nil"/>
                  </w:tcBorders>
                  <w:noWrap w:val="0"/>
                  <w:vAlign w:val="center"/>
                </w:tcPr>
                <w:p w14:paraId="6710D2A0">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w:t>
                  </w:r>
                </w:p>
              </w:tc>
              <w:tc>
                <w:tcPr>
                  <w:tcW w:w="898" w:type="dxa"/>
                  <w:tcBorders>
                    <w:tl2br w:val="nil"/>
                    <w:tr2bl w:val="nil"/>
                  </w:tcBorders>
                  <w:noWrap w:val="0"/>
                  <w:vAlign w:val="center"/>
                </w:tcPr>
                <w:p w14:paraId="0DCE58E3">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33.95</w:t>
                  </w:r>
                </w:p>
              </w:tc>
              <w:tc>
                <w:tcPr>
                  <w:tcW w:w="1133" w:type="dxa"/>
                  <w:tcBorders>
                    <w:tl2br w:val="nil"/>
                    <w:tr2bl w:val="nil"/>
                  </w:tcBorders>
                  <w:noWrap w:val="0"/>
                  <w:vAlign w:val="center"/>
                </w:tcPr>
                <w:p w14:paraId="565179BB">
                  <w:pPr>
                    <w:pStyle w:val="26"/>
                    <w:bidi w:val="0"/>
                    <w:ind w:firstLine="0" w:firstLineChars="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0.0081</w:t>
                  </w:r>
                </w:p>
              </w:tc>
              <w:tc>
                <w:tcPr>
                  <w:tcW w:w="769" w:type="dxa"/>
                  <w:tcBorders>
                    <w:tl2br w:val="nil"/>
                    <w:tr2bl w:val="nil"/>
                  </w:tcBorders>
                  <w:noWrap w:val="0"/>
                  <w:vAlign w:val="center"/>
                </w:tcPr>
                <w:p w14:paraId="196DB487">
                  <w:pPr>
                    <w:pStyle w:val="26"/>
                    <w:bidi w:val="0"/>
                    <w:jc w:val="center"/>
                    <w:rPr>
                      <w:rFonts w:hint="eastAsia"/>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45</w:t>
                  </w:r>
                </w:p>
              </w:tc>
            </w:tr>
            <w:tr w14:paraId="68392B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7" w:type="pct"/>
                  <w:vMerge w:val="restart"/>
                  <w:tcBorders>
                    <w:tl2br w:val="nil"/>
                    <w:tr2bl w:val="nil"/>
                  </w:tcBorders>
                  <w:noWrap w:val="0"/>
                  <w:vAlign w:val="center"/>
                </w:tcPr>
                <w:p w14:paraId="5FCA5BE2">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全厂生活污水合计</w:t>
                  </w:r>
                </w:p>
              </w:tc>
              <w:tc>
                <w:tcPr>
                  <w:tcW w:w="511" w:type="pct"/>
                  <w:tcBorders>
                    <w:tl2br w:val="nil"/>
                    <w:tr2bl w:val="nil"/>
                  </w:tcBorders>
                  <w:noWrap w:val="0"/>
                  <w:vAlign w:val="center"/>
                </w:tcPr>
                <w:p w14:paraId="03B9D03D">
                  <w:pPr>
                    <w:pStyle w:val="26"/>
                    <w:bidi w:val="0"/>
                    <w:ind w:firstLine="0" w:firstLineChars="0"/>
                    <w:rPr>
                      <w:rFonts w:hint="eastAsia"/>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废水量</w:t>
                  </w:r>
                </w:p>
              </w:tc>
              <w:tc>
                <w:tcPr>
                  <w:tcW w:w="1065" w:type="dxa"/>
                  <w:tcBorders>
                    <w:tl2br w:val="nil"/>
                    <w:tr2bl w:val="nil"/>
                  </w:tcBorders>
                  <w:noWrap w:val="0"/>
                  <w:vAlign w:val="center"/>
                </w:tcPr>
                <w:p w14:paraId="5CD46135">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1149" w:type="dxa"/>
                  <w:tcBorders>
                    <w:tl2br w:val="nil"/>
                    <w:tr2bl w:val="nil"/>
                  </w:tcBorders>
                  <w:noWrap w:val="0"/>
                  <w:vAlign w:val="center"/>
                </w:tcPr>
                <w:p w14:paraId="017D3AC8">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372</w:t>
                  </w:r>
                </w:p>
              </w:tc>
              <w:tc>
                <w:tcPr>
                  <w:tcW w:w="551" w:type="pct"/>
                  <w:vMerge w:val="restart"/>
                  <w:tcBorders>
                    <w:tl2br w:val="nil"/>
                    <w:tr2bl w:val="nil"/>
                  </w:tcBorders>
                  <w:noWrap w:val="0"/>
                  <w:vAlign w:val="center"/>
                </w:tcPr>
                <w:p w14:paraId="5F92BAB9">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三级化粪池</w:t>
                  </w:r>
                </w:p>
              </w:tc>
              <w:tc>
                <w:tcPr>
                  <w:tcW w:w="489" w:type="pct"/>
                  <w:tcBorders>
                    <w:tl2br w:val="nil"/>
                    <w:tr2bl w:val="nil"/>
                  </w:tcBorders>
                  <w:noWrap w:val="0"/>
                  <w:vAlign w:val="center"/>
                </w:tcPr>
                <w:p w14:paraId="06A7D7EC">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898" w:type="dxa"/>
                  <w:tcBorders>
                    <w:tl2br w:val="nil"/>
                    <w:tr2bl w:val="nil"/>
                  </w:tcBorders>
                  <w:noWrap w:val="0"/>
                  <w:vAlign w:val="center"/>
                </w:tcPr>
                <w:p w14:paraId="2A42AA41">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w:t>
                  </w:r>
                </w:p>
              </w:tc>
              <w:tc>
                <w:tcPr>
                  <w:tcW w:w="1133" w:type="dxa"/>
                  <w:tcBorders>
                    <w:tl2br w:val="nil"/>
                    <w:tr2bl w:val="nil"/>
                  </w:tcBorders>
                  <w:noWrap w:val="0"/>
                  <w:vAlign w:val="center"/>
                </w:tcPr>
                <w:p w14:paraId="0DBE3C41">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372</w:t>
                  </w:r>
                </w:p>
              </w:tc>
              <w:tc>
                <w:tcPr>
                  <w:tcW w:w="769" w:type="dxa"/>
                  <w:tcBorders>
                    <w:tl2br w:val="nil"/>
                    <w:tr2bl w:val="nil"/>
                  </w:tcBorders>
                  <w:noWrap w:val="0"/>
                  <w:vAlign w:val="center"/>
                </w:tcPr>
                <w:p w14:paraId="2C7618F1">
                  <w:pPr>
                    <w:pStyle w:val="26"/>
                    <w:bidi w:val="0"/>
                    <w:jc w:val="center"/>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w:t>
                  </w:r>
                </w:p>
              </w:tc>
            </w:tr>
            <w:tr w14:paraId="7A28C0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7" w:type="pct"/>
                  <w:vMerge w:val="continue"/>
                  <w:tcBorders>
                    <w:tl2br w:val="nil"/>
                    <w:tr2bl w:val="nil"/>
                  </w:tcBorders>
                  <w:noWrap w:val="0"/>
                  <w:vAlign w:val="center"/>
                </w:tcPr>
                <w:p w14:paraId="7B99DC15">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511" w:type="pct"/>
                  <w:tcBorders>
                    <w:tl2br w:val="nil"/>
                    <w:tr2bl w:val="nil"/>
                  </w:tcBorders>
                  <w:noWrap w:val="0"/>
                  <w:vAlign w:val="center"/>
                </w:tcPr>
                <w:p w14:paraId="2582163F">
                  <w:pPr>
                    <w:pStyle w:val="26"/>
                    <w:bidi w:val="0"/>
                    <w:ind w:firstLine="0" w:firstLineChars="0"/>
                    <w:rPr>
                      <w:rFonts w:hint="eastAsia"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COD</w:t>
                  </w:r>
                </w:p>
              </w:tc>
              <w:tc>
                <w:tcPr>
                  <w:tcW w:w="1065" w:type="dxa"/>
                  <w:tcBorders>
                    <w:tl2br w:val="nil"/>
                    <w:tr2bl w:val="nil"/>
                  </w:tcBorders>
                  <w:noWrap w:val="0"/>
                  <w:vAlign w:val="center"/>
                </w:tcPr>
                <w:p w14:paraId="7ADFD60E">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400</w:t>
                  </w:r>
                </w:p>
              </w:tc>
              <w:tc>
                <w:tcPr>
                  <w:tcW w:w="1149" w:type="dxa"/>
                  <w:tcBorders>
                    <w:tl2br w:val="nil"/>
                    <w:tr2bl w:val="nil"/>
                  </w:tcBorders>
                  <w:noWrap w:val="0"/>
                  <w:vAlign w:val="center"/>
                </w:tcPr>
                <w:p w14:paraId="1E3FD301">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0.1488</w:t>
                  </w:r>
                </w:p>
              </w:tc>
              <w:tc>
                <w:tcPr>
                  <w:tcW w:w="551" w:type="pct"/>
                  <w:vMerge w:val="continue"/>
                  <w:tcBorders>
                    <w:tl2br w:val="nil"/>
                    <w:tr2bl w:val="nil"/>
                  </w:tcBorders>
                  <w:noWrap w:val="0"/>
                  <w:vAlign w:val="center"/>
                </w:tcPr>
                <w:p w14:paraId="7BC99F2E">
                  <w:pPr>
                    <w:pStyle w:val="26"/>
                    <w:bidi w:val="0"/>
                    <w:jc w:val="center"/>
                    <w:rPr>
                      <w:rFonts w:hint="default"/>
                      <w:color w:val="000000" w:themeColor="text1"/>
                      <w:highlight w:val="none"/>
                      <w:lang w:val="en-US" w:eastAsia="zh-CN" w:bidi="ar-SA"/>
                      <w14:textFill>
                        <w14:solidFill>
                          <w14:schemeClr w14:val="tx1"/>
                        </w14:solidFill>
                      </w14:textFill>
                    </w:rPr>
                  </w:pPr>
                </w:p>
              </w:tc>
              <w:tc>
                <w:tcPr>
                  <w:tcW w:w="489" w:type="pct"/>
                  <w:tcBorders>
                    <w:tl2br w:val="nil"/>
                    <w:tr2bl w:val="nil"/>
                  </w:tcBorders>
                  <w:noWrap w:val="0"/>
                  <w:vAlign w:val="center"/>
                </w:tcPr>
                <w:p w14:paraId="1664020C">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15%</w:t>
                  </w:r>
                </w:p>
              </w:tc>
              <w:tc>
                <w:tcPr>
                  <w:tcW w:w="898" w:type="dxa"/>
                  <w:tcBorders>
                    <w:tl2br w:val="nil"/>
                    <w:tr2bl w:val="nil"/>
                  </w:tcBorders>
                  <w:noWrap w:val="0"/>
                  <w:vAlign w:val="center"/>
                </w:tcPr>
                <w:p w14:paraId="75A13642">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340</w:t>
                  </w:r>
                </w:p>
              </w:tc>
              <w:tc>
                <w:tcPr>
                  <w:tcW w:w="1133" w:type="dxa"/>
                  <w:tcBorders>
                    <w:tl2br w:val="nil"/>
                    <w:tr2bl w:val="nil"/>
                  </w:tcBorders>
                  <w:noWrap w:val="0"/>
                  <w:vAlign w:val="center"/>
                </w:tcPr>
                <w:p w14:paraId="4D24B668">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0.1265</w:t>
                  </w:r>
                </w:p>
              </w:tc>
              <w:tc>
                <w:tcPr>
                  <w:tcW w:w="769" w:type="dxa"/>
                  <w:tcBorders>
                    <w:tl2br w:val="nil"/>
                    <w:tr2bl w:val="nil"/>
                  </w:tcBorders>
                  <w:noWrap w:val="0"/>
                  <w:vAlign w:val="center"/>
                </w:tcPr>
                <w:p w14:paraId="641F637C">
                  <w:pPr>
                    <w:pStyle w:val="26"/>
                    <w:bidi w:val="0"/>
                    <w:jc w:val="center"/>
                    <w:rPr>
                      <w:rFonts w:hint="eastAsia"/>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500</w:t>
                  </w:r>
                </w:p>
              </w:tc>
            </w:tr>
            <w:tr w14:paraId="78DFE6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7" w:type="pct"/>
                  <w:vMerge w:val="continue"/>
                  <w:tcBorders>
                    <w:tl2br w:val="nil"/>
                    <w:tr2bl w:val="nil"/>
                  </w:tcBorders>
                  <w:noWrap w:val="0"/>
                  <w:vAlign w:val="center"/>
                </w:tcPr>
                <w:p w14:paraId="6E4368D7">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511" w:type="pct"/>
                  <w:tcBorders>
                    <w:tl2br w:val="nil"/>
                    <w:tr2bl w:val="nil"/>
                  </w:tcBorders>
                  <w:noWrap w:val="0"/>
                  <w:vAlign w:val="center"/>
                </w:tcPr>
                <w:p w14:paraId="6288404B">
                  <w:pPr>
                    <w:pStyle w:val="26"/>
                    <w:bidi w:val="0"/>
                    <w:ind w:firstLine="0" w:firstLineChars="0"/>
                    <w:rPr>
                      <w:rFonts w:hint="eastAsia"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BOD</w:t>
                  </w:r>
                  <w:r>
                    <w:rPr>
                      <w:rFonts w:hint="eastAsia"/>
                      <w:color w:val="000000" w:themeColor="text1"/>
                      <w:highlight w:val="none"/>
                      <w:vertAlign w:val="subscript"/>
                      <w:lang w:val="en-US" w:eastAsia="zh-CN" w:bidi="ar-SA"/>
                      <w14:textFill>
                        <w14:solidFill>
                          <w14:schemeClr w14:val="tx1"/>
                        </w14:solidFill>
                      </w14:textFill>
                    </w:rPr>
                    <w:t>5</w:t>
                  </w:r>
                </w:p>
              </w:tc>
              <w:tc>
                <w:tcPr>
                  <w:tcW w:w="1065" w:type="dxa"/>
                  <w:tcBorders>
                    <w:tl2br w:val="nil"/>
                    <w:tr2bl w:val="nil"/>
                  </w:tcBorders>
                  <w:noWrap w:val="0"/>
                  <w:vAlign w:val="center"/>
                </w:tcPr>
                <w:p w14:paraId="3C2B7BDA">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220</w:t>
                  </w:r>
                </w:p>
              </w:tc>
              <w:tc>
                <w:tcPr>
                  <w:tcW w:w="1149" w:type="dxa"/>
                  <w:tcBorders>
                    <w:tl2br w:val="nil"/>
                    <w:tr2bl w:val="nil"/>
                  </w:tcBorders>
                  <w:noWrap w:val="0"/>
                  <w:vAlign w:val="center"/>
                </w:tcPr>
                <w:p w14:paraId="368A92CC">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0.08184</w:t>
                  </w:r>
                </w:p>
              </w:tc>
              <w:tc>
                <w:tcPr>
                  <w:tcW w:w="551" w:type="pct"/>
                  <w:vMerge w:val="continue"/>
                  <w:tcBorders>
                    <w:tl2br w:val="nil"/>
                    <w:tr2bl w:val="nil"/>
                  </w:tcBorders>
                  <w:noWrap w:val="0"/>
                  <w:vAlign w:val="center"/>
                </w:tcPr>
                <w:p w14:paraId="498EA15F">
                  <w:pPr>
                    <w:pStyle w:val="26"/>
                    <w:bidi w:val="0"/>
                    <w:jc w:val="center"/>
                    <w:rPr>
                      <w:rFonts w:hint="default"/>
                      <w:color w:val="000000" w:themeColor="text1"/>
                      <w:highlight w:val="none"/>
                      <w:lang w:val="en-US" w:eastAsia="zh-CN" w:bidi="ar-SA"/>
                      <w14:textFill>
                        <w14:solidFill>
                          <w14:schemeClr w14:val="tx1"/>
                        </w14:solidFill>
                      </w14:textFill>
                    </w:rPr>
                  </w:pPr>
                </w:p>
              </w:tc>
              <w:tc>
                <w:tcPr>
                  <w:tcW w:w="489" w:type="pct"/>
                  <w:tcBorders>
                    <w:tl2br w:val="nil"/>
                    <w:tr2bl w:val="nil"/>
                  </w:tcBorders>
                  <w:noWrap w:val="0"/>
                  <w:vAlign w:val="center"/>
                </w:tcPr>
                <w:p w14:paraId="0A374F58">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9%</w:t>
                  </w:r>
                </w:p>
              </w:tc>
              <w:tc>
                <w:tcPr>
                  <w:tcW w:w="898" w:type="dxa"/>
                  <w:tcBorders>
                    <w:tl2br w:val="nil"/>
                    <w:tr2bl w:val="nil"/>
                  </w:tcBorders>
                  <w:noWrap w:val="0"/>
                  <w:vAlign w:val="center"/>
                </w:tcPr>
                <w:p w14:paraId="7106ED29">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200.2</w:t>
                  </w:r>
                </w:p>
              </w:tc>
              <w:tc>
                <w:tcPr>
                  <w:tcW w:w="1133" w:type="dxa"/>
                  <w:tcBorders>
                    <w:tl2br w:val="nil"/>
                    <w:tr2bl w:val="nil"/>
                  </w:tcBorders>
                  <w:noWrap w:val="0"/>
                  <w:vAlign w:val="center"/>
                </w:tcPr>
                <w:p w14:paraId="146A1DE5">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0.0745</w:t>
                  </w:r>
                </w:p>
              </w:tc>
              <w:tc>
                <w:tcPr>
                  <w:tcW w:w="769" w:type="dxa"/>
                  <w:tcBorders>
                    <w:tl2br w:val="nil"/>
                    <w:tr2bl w:val="nil"/>
                  </w:tcBorders>
                  <w:noWrap w:val="0"/>
                  <w:vAlign w:val="center"/>
                </w:tcPr>
                <w:p w14:paraId="0F9E4EAE">
                  <w:pPr>
                    <w:pStyle w:val="26"/>
                    <w:bidi w:val="0"/>
                    <w:jc w:val="center"/>
                    <w:rPr>
                      <w:rFonts w:hint="eastAsia"/>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300</w:t>
                  </w:r>
                </w:p>
              </w:tc>
            </w:tr>
            <w:tr w14:paraId="5D9B12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7" w:type="pct"/>
                  <w:vMerge w:val="continue"/>
                  <w:tcBorders>
                    <w:tl2br w:val="nil"/>
                    <w:tr2bl w:val="nil"/>
                  </w:tcBorders>
                  <w:noWrap w:val="0"/>
                  <w:vAlign w:val="center"/>
                </w:tcPr>
                <w:p w14:paraId="734EBDC5">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511" w:type="pct"/>
                  <w:tcBorders>
                    <w:tl2br w:val="nil"/>
                    <w:tr2bl w:val="nil"/>
                  </w:tcBorders>
                  <w:noWrap w:val="0"/>
                  <w:vAlign w:val="center"/>
                </w:tcPr>
                <w:p w14:paraId="1BC8159D">
                  <w:pPr>
                    <w:pStyle w:val="26"/>
                    <w:bidi w:val="0"/>
                    <w:ind w:firstLine="0" w:firstLineChars="0"/>
                    <w:rPr>
                      <w:rFonts w:hint="eastAsia"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t>SS</w:t>
                  </w:r>
                </w:p>
              </w:tc>
              <w:tc>
                <w:tcPr>
                  <w:tcW w:w="1065" w:type="dxa"/>
                  <w:tcBorders>
                    <w:tl2br w:val="nil"/>
                    <w:tr2bl w:val="nil"/>
                  </w:tcBorders>
                  <w:noWrap w:val="0"/>
                  <w:vAlign w:val="center"/>
                </w:tcPr>
                <w:p w14:paraId="5A3CA742">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200</w:t>
                  </w:r>
                </w:p>
              </w:tc>
              <w:tc>
                <w:tcPr>
                  <w:tcW w:w="1149" w:type="dxa"/>
                  <w:tcBorders>
                    <w:tl2br w:val="nil"/>
                    <w:tr2bl w:val="nil"/>
                  </w:tcBorders>
                  <w:noWrap w:val="0"/>
                  <w:vAlign w:val="center"/>
                </w:tcPr>
                <w:p w14:paraId="6609ED83">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0.0744</w:t>
                  </w:r>
                </w:p>
              </w:tc>
              <w:tc>
                <w:tcPr>
                  <w:tcW w:w="551" w:type="pct"/>
                  <w:vMerge w:val="continue"/>
                  <w:tcBorders>
                    <w:tl2br w:val="nil"/>
                    <w:tr2bl w:val="nil"/>
                  </w:tcBorders>
                  <w:noWrap w:val="0"/>
                  <w:vAlign w:val="center"/>
                </w:tcPr>
                <w:p w14:paraId="3A62ECC1">
                  <w:pPr>
                    <w:pStyle w:val="26"/>
                    <w:bidi w:val="0"/>
                    <w:jc w:val="center"/>
                    <w:rPr>
                      <w:rFonts w:hint="default"/>
                      <w:color w:val="000000" w:themeColor="text1"/>
                      <w:highlight w:val="none"/>
                      <w:lang w:val="en-US" w:eastAsia="zh-CN" w:bidi="ar-SA"/>
                      <w14:textFill>
                        <w14:solidFill>
                          <w14:schemeClr w14:val="tx1"/>
                        </w14:solidFill>
                      </w14:textFill>
                    </w:rPr>
                  </w:pPr>
                </w:p>
              </w:tc>
              <w:tc>
                <w:tcPr>
                  <w:tcW w:w="489" w:type="pct"/>
                  <w:tcBorders>
                    <w:tl2br w:val="nil"/>
                    <w:tr2bl w:val="nil"/>
                  </w:tcBorders>
                  <w:noWrap w:val="0"/>
                  <w:vAlign w:val="center"/>
                </w:tcPr>
                <w:p w14:paraId="5EE1B6CF">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30%</w:t>
                  </w:r>
                </w:p>
              </w:tc>
              <w:tc>
                <w:tcPr>
                  <w:tcW w:w="898" w:type="dxa"/>
                  <w:tcBorders>
                    <w:tl2br w:val="nil"/>
                    <w:tr2bl w:val="nil"/>
                  </w:tcBorders>
                  <w:noWrap w:val="0"/>
                  <w:vAlign w:val="center"/>
                </w:tcPr>
                <w:p w14:paraId="44F2AF60">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140</w:t>
                  </w:r>
                </w:p>
              </w:tc>
              <w:tc>
                <w:tcPr>
                  <w:tcW w:w="1133" w:type="dxa"/>
                  <w:tcBorders>
                    <w:tl2br w:val="nil"/>
                    <w:tr2bl w:val="nil"/>
                  </w:tcBorders>
                  <w:noWrap w:val="0"/>
                  <w:vAlign w:val="center"/>
                </w:tcPr>
                <w:p w14:paraId="629F47E7">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0.0521</w:t>
                  </w:r>
                </w:p>
              </w:tc>
              <w:tc>
                <w:tcPr>
                  <w:tcW w:w="769" w:type="dxa"/>
                  <w:tcBorders>
                    <w:tl2br w:val="nil"/>
                    <w:tr2bl w:val="nil"/>
                  </w:tcBorders>
                  <w:noWrap w:val="0"/>
                  <w:vAlign w:val="center"/>
                </w:tcPr>
                <w:p w14:paraId="28615305">
                  <w:pPr>
                    <w:pStyle w:val="26"/>
                    <w:bidi w:val="0"/>
                    <w:jc w:val="center"/>
                    <w:rPr>
                      <w:rFonts w:hint="eastAsia"/>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400</w:t>
                  </w:r>
                </w:p>
              </w:tc>
            </w:tr>
            <w:tr w14:paraId="5FF54E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7" w:type="pct"/>
                  <w:vMerge w:val="continue"/>
                  <w:tcBorders>
                    <w:tl2br w:val="nil"/>
                    <w:tr2bl w:val="nil"/>
                  </w:tcBorders>
                  <w:noWrap w:val="0"/>
                  <w:vAlign w:val="center"/>
                </w:tcPr>
                <w:p w14:paraId="60A5A6D0">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511" w:type="pct"/>
                  <w:tcBorders>
                    <w:tl2br w:val="nil"/>
                    <w:tr2bl w:val="nil"/>
                  </w:tcBorders>
                  <w:noWrap w:val="0"/>
                  <w:vAlign w:val="center"/>
                </w:tcPr>
                <w:p w14:paraId="4A8CE4E1">
                  <w:pPr>
                    <w:pStyle w:val="26"/>
                    <w:bidi w:val="0"/>
                    <w:ind w:firstLine="0" w:firstLineChars="0"/>
                    <w:rPr>
                      <w:rFonts w:hint="eastAsia"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t>NH</w:t>
                  </w:r>
                  <w:r>
                    <w:rPr>
                      <w:rFonts w:hint="eastAsia" w:ascii="Times New Roman" w:hAnsi="Times New Roman" w:eastAsia="宋体" w:cs="Times New Roman"/>
                      <w:color w:val="000000" w:themeColor="text1"/>
                      <w:kern w:val="2"/>
                      <w:sz w:val="21"/>
                      <w:szCs w:val="22"/>
                      <w:highlight w:val="none"/>
                      <w:vertAlign w:val="sub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t>-N</w:t>
                  </w:r>
                </w:p>
              </w:tc>
              <w:tc>
                <w:tcPr>
                  <w:tcW w:w="1065" w:type="dxa"/>
                  <w:tcBorders>
                    <w:tl2br w:val="nil"/>
                    <w:tr2bl w:val="nil"/>
                  </w:tcBorders>
                  <w:noWrap w:val="0"/>
                  <w:vAlign w:val="center"/>
                </w:tcPr>
                <w:p w14:paraId="65F07F9D">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35</w:t>
                  </w:r>
                </w:p>
              </w:tc>
              <w:tc>
                <w:tcPr>
                  <w:tcW w:w="1149" w:type="dxa"/>
                  <w:tcBorders>
                    <w:tl2br w:val="nil"/>
                    <w:tr2bl w:val="nil"/>
                  </w:tcBorders>
                  <w:noWrap w:val="0"/>
                  <w:vAlign w:val="center"/>
                </w:tcPr>
                <w:p w14:paraId="11F16C0D">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0.01302</w:t>
                  </w:r>
                </w:p>
              </w:tc>
              <w:tc>
                <w:tcPr>
                  <w:tcW w:w="551" w:type="pct"/>
                  <w:vMerge w:val="continue"/>
                  <w:tcBorders>
                    <w:tl2br w:val="nil"/>
                    <w:tr2bl w:val="nil"/>
                  </w:tcBorders>
                  <w:noWrap w:val="0"/>
                  <w:vAlign w:val="center"/>
                </w:tcPr>
                <w:p w14:paraId="28AA08A0">
                  <w:pPr>
                    <w:pStyle w:val="26"/>
                    <w:bidi w:val="0"/>
                    <w:jc w:val="center"/>
                    <w:rPr>
                      <w:rFonts w:hint="default"/>
                      <w:color w:val="000000" w:themeColor="text1"/>
                      <w:highlight w:val="none"/>
                      <w:lang w:val="en-US" w:eastAsia="zh-CN" w:bidi="ar-SA"/>
                      <w14:textFill>
                        <w14:solidFill>
                          <w14:schemeClr w14:val="tx1"/>
                        </w14:solidFill>
                      </w14:textFill>
                    </w:rPr>
                  </w:pPr>
                </w:p>
              </w:tc>
              <w:tc>
                <w:tcPr>
                  <w:tcW w:w="489" w:type="pct"/>
                  <w:tcBorders>
                    <w:tl2br w:val="nil"/>
                    <w:tr2bl w:val="nil"/>
                  </w:tcBorders>
                  <w:noWrap w:val="0"/>
                  <w:vAlign w:val="center"/>
                </w:tcPr>
                <w:p w14:paraId="538EBA07">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w:t>
                  </w:r>
                </w:p>
              </w:tc>
              <w:tc>
                <w:tcPr>
                  <w:tcW w:w="898" w:type="dxa"/>
                  <w:tcBorders>
                    <w:tl2br w:val="nil"/>
                    <w:tr2bl w:val="nil"/>
                  </w:tcBorders>
                  <w:noWrap w:val="0"/>
                  <w:vAlign w:val="center"/>
                </w:tcPr>
                <w:p w14:paraId="05C532BD">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33.95</w:t>
                  </w:r>
                </w:p>
              </w:tc>
              <w:tc>
                <w:tcPr>
                  <w:tcW w:w="1133" w:type="dxa"/>
                  <w:tcBorders>
                    <w:tl2br w:val="nil"/>
                    <w:tr2bl w:val="nil"/>
                  </w:tcBorders>
                  <w:noWrap w:val="0"/>
                  <w:vAlign w:val="center"/>
                </w:tcPr>
                <w:p w14:paraId="338CBFC2">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0.0126</w:t>
                  </w:r>
                </w:p>
              </w:tc>
              <w:tc>
                <w:tcPr>
                  <w:tcW w:w="769" w:type="dxa"/>
                  <w:tcBorders>
                    <w:tl2br w:val="nil"/>
                    <w:tr2bl w:val="nil"/>
                  </w:tcBorders>
                  <w:noWrap w:val="0"/>
                  <w:vAlign w:val="center"/>
                </w:tcPr>
                <w:p w14:paraId="5164C356">
                  <w:pPr>
                    <w:pStyle w:val="26"/>
                    <w:bidi w:val="0"/>
                    <w:jc w:val="center"/>
                    <w:rPr>
                      <w:rFonts w:hint="eastAsia"/>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45</w:t>
                  </w:r>
                </w:p>
              </w:tc>
            </w:tr>
          </w:tbl>
          <w:p w14:paraId="04E78EE3">
            <w:pPr>
              <w:pStyle w:val="30"/>
              <w:numPr>
                <w:ilvl w:val="4"/>
                <w:numId w:val="4"/>
              </w:numPr>
              <w:tabs>
                <w:tab w:val="left" w:pos="0"/>
              </w:tabs>
              <w:bidi w:val="0"/>
              <w:rPr>
                <w:rFonts w:hint="default" w:ascii="Times New Roman" w:hAnsi="Times New Roman" w:cs="Times New Roman"/>
                <w:color w:val="000000" w:themeColor="text1"/>
                <w:highlight w:val="none"/>
                <w:lang w:val="en-US" w:eastAsia="zh-CN"/>
                <w14:textFill>
                  <w14:solidFill>
                    <w14:schemeClr w14:val="tx1"/>
                  </w14:solidFill>
                </w14:textFill>
              </w:rPr>
            </w:pPr>
            <w:bookmarkStart w:id="208" w:name="_Ref15026"/>
            <w:r>
              <w:rPr>
                <w:rFonts w:hint="default" w:ascii="Times New Roman" w:hAnsi="Times New Roman" w:cs="Times New Roman"/>
                <w:color w:val="000000" w:themeColor="text1"/>
                <w:highlight w:val="none"/>
                <w:lang w:val="en-US" w:eastAsia="zh-CN"/>
                <w14:textFill>
                  <w14:solidFill>
                    <w14:schemeClr w14:val="tx1"/>
                  </w14:solidFill>
                </w14:textFill>
              </w:rPr>
              <w:t>废水排放口基本情况</w:t>
            </w:r>
            <w:bookmarkEnd w:id="208"/>
          </w:p>
          <w:tbl>
            <w:tblPr>
              <w:tblStyle w:val="17"/>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6"/>
              <w:gridCol w:w="856"/>
              <w:gridCol w:w="1123"/>
              <w:gridCol w:w="720"/>
              <w:gridCol w:w="959"/>
              <w:gridCol w:w="1078"/>
              <w:gridCol w:w="914"/>
              <w:gridCol w:w="1645"/>
            </w:tblGrid>
            <w:tr w14:paraId="191852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0" w:type="pct"/>
                  <w:noWrap w:val="0"/>
                  <w:vAlign w:val="center"/>
                </w:tcPr>
                <w:p w14:paraId="0C19B8D8">
                  <w:pPr>
                    <w:pStyle w:val="2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排放口编号</w:t>
                  </w:r>
                </w:p>
              </w:tc>
              <w:tc>
                <w:tcPr>
                  <w:tcW w:w="516" w:type="pct"/>
                  <w:noWrap w:val="0"/>
                  <w:vAlign w:val="center"/>
                </w:tcPr>
                <w:p w14:paraId="4050BF94">
                  <w:pPr>
                    <w:pStyle w:val="2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排放口名称</w:t>
                  </w:r>
                </w:p>
              </w:tc>
              <w:tc>
                <w:tcPr>
                  <w:tcW w:w="677" w:type="pct"/>
                  <w:noWrap w:val="0"/>
                  <w:vAlign w:val="center"/>
                </w:tcPr>
                <w:p w14:paraId="744500DF">
                  <w:pPr>
                    <w:pStyle w:val="2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污染物种类</w:t>
                  </w:r>
                </w:p>
              </w:tc>
              <w:tc>
                <w:tcPr>
                  <w:tcW w:w="434" w:type="pct"/>
                  <w:noWrap w:val="0"/>
                  <w:vAlign w:val="center"/>
                </w:tcPr>
                <w:p w14:paraId="36B1B4A1">
                  <w:pPr>
                    <w:pStyle w:val="2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排放方式</w:t>
                  </w:r>
                </w:p>
              </w:tc>
              <w:tc>
                <w:tcPr>
                  <w:tcW w:w="578" w:type="pct"/>
                  <w:noWrap w:val="0"/>
                  <w:vAlign w:val="center"/>
                </w:tcPr>
                <w:p w14:paraId="167D4CA3">
                  <w:pPr>
                    <w:pStyle w:val="2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排放去向</w:t>
                  </w:r>
                </w:p>
              </w:tc>
              <w:tc>
                <w:tcPr>
                  <w:tcW w:w="650" w:type="pct"/>
                  <w:noWrap w:val="0"/>
                  <w:vAlign w:val="center"/>
                </w:tcPr>
                <w:p w14:paraId="22E68C4B">
                  <w:pPr>
                    <w:pStyle w:val="2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排放规律</w:t>
                  </w:r>
                </w:p>
              </w:tc>
              <w:tc>
                <w:tcPr>
                  <w:tcW w:w="551" w:type="pct"/>
                  <w:noWrap w:val="0"/>
                  <w:vAlign w:val="center"/>
                </w:tcPr>
                <w:p w14:paraId="64DC58F6">
                  <w:pPr>
                    <w:pStyle w:val="2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排放口类型</w:t>
                  </w:r>
                </w:p>
              </w:tc>
              <w:tc>
                <w:tcPr>
                  <w:tcW w:w="991" w:type="pct"/>
                  <w:noWrap w:val="0"/>
                  <w:vAlign w:val="center"/>
                </w:tcPr>
                <w:p w14:paraId="5C325F7D">
                  <w:pPr>
                    <w:pStyle w:val="2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地理坐标</w:t>
                  </w:r>
                </w:p>
              </w:tc>
            </w:tr>
            <w:tr w14:paraId="659092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0" w:type="pct"/>
                  <w:noWrap w:val="0"/>
                  <w:vAlign w:val="center"/>
                </w:tcPr>
                <w:p w14:paraId="231F75E1">
                  <w:pPr>
                    <w:pStyle w:val="26"/>
                    <w:bidi w:val="0"/>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DW00</w:t>
                  </w:r>
                  <w:r>
                    <w:rPr>
                      <w:rFonts w:hint="eastAsia" w:ascii="Times New Roman" w:hAnsi="Times New Roman" w:cs="Times New Roman"/>
                      <w:color w:val="000000" w:themeColor="text1"/>
                      <w:highlight w:val="none"/>
                      <w:lang w:val="en-US" w:eastAsia="zh-CN"/>
                      <w14:textFill>
                        <w14:solidFill>
                          <w14:schemeClr w14:val="tx1"/>
                        </w14:solidFill>
                      </w14:textFill>
                    </w:rPr>
                    <w:t>1</w:t>
                  </w:r>
                </w:p>
              </w:tc>
              <w:tc>
                <w:tcPr>
                  <w:tcW w:w="516" w:type="pct"/>
                  <w:noWrap w:val="0"/>
                  <w:vAlign w:val="center"/>
                </w:tcPr>
                <w:p w14:paraId="35F95195">
                  <w:pPr>
                    <w:pStyle w:val="26"/>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生活污水</w:t>
                  </w:r>
                  <w:r>
                    <w:rPr>
                      <w:rFonts w:hint="default" w:ascii="Times New Roman" w:hAnsi="Times New Roman" w:cs="Times New Roman"/>
                      <w:color w:val="000000" w:themeColor="text1"/>
                      <w:highlight w:val="none"/>
                      <w:lang w:val="en-US" w:eastAsia="zh-CN"/>
                      <w14:textFill>
                        <w14:solidFill>
                          <w14:schemeClr w14:val="tx1"/>
                        </w14:solidFill>
                      </w14:textFill>
                    </w:rPr>
                    <w:t>排放口</w:t>
                  </w:r>
                </w:p>
              </w:tc>
              <w:tc>
                <w:tcPr>
                  <w:tcW w:w="677" w:type="pct"/>
                  <w:noWrap w:val="0"/>
                  <w:vAlign w:val="center"/>
                </w:tcPr>
                <w:p w14:paraId="1C45B2B0">
                  <w:pPr>
                    <w:pStyle w:val="26"/>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pH、COD、BOD</w:t>
                  </w:r>
                  <w:r>
                    <w:rPr>
                      <w:rFonts w:hint="default" w:ascii="Times New Roman" w:hAnsi="Times New Roman" w:cs="Times New Roman"/>
                      <w:color w:val="000000" w:themeColor="text1"/>
                      <w:highlight w:val="none"/>
                      <w:vertAlign w:val="subscript"/>
                      <w:lang w:val="en-US" w:eastAsia="zh-CN"/>
                      <w14:textFill>
                        <w14:solidFill>
                          <w14:schemeClr w14:val="tx1"/>
                        </w14:solidFill>
                      </w14:textFill>
                    </w:rPr>
                    <w:t>5</w:t>
                  </w:r>
                  <w:r>
                    <w:rPr>
                      <w:rFonts w:hint="default" w:ascii="Times New Roman" w:hAnsi="Times New Roman" w:cs="Times New Roman"/>
                      <w:color w:val="000000" w:themeColor="text1"/>
                      <w:highlight w:val="none"/>
                      <w:lang w:val="en-US" w:eastAsia="zh-CN"/>
                      <w14:textFill>
                        <w14:solidFill>
                          <w14:schemeClr w14:val="tx1"/>
                        </w14:solidFill>
                      </w14:textFill>
                    </w:rPr>
                    <w:t>、氨氮、SS</w:t>
                  </w:r>
                </w:p>
              </w:tc>
              <w:tc>
                <w:tcPr>
                  <w:tcW w:w="434" w:type="pct"/>
                  <w:noWrap w:val="0"/>
                  <w:vAlign w:val="center"/>
                </w:tcPr>
                <w:p w14:paraId="1BBED8F4">
                  <w:pPr>
                    <w:pStyle w:val="2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间接排放</w:t>
                  </w:r>
                </w:p>
              </w:tc>
              <w:tc>
                <w:tcPr>
                  <w:tcW w:w="578" w:type="pct"/>
                  <w:noWrap w:val="0"/>
                  <w:vAlign w:val="center"/>
                </w:tcPr>
                <w:p w14:paraId="017D2B02">
                  <w:pPr>
                    <w:pStyle w:val="26"/>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永安市贡川产业园水东工业集中区污水处理厂</w:t>
                  </w:r>
                </w:p>
              </w:tc>
              <w:tc>
                <w:tcPr>
                  <w:tcW w:w="650" w:type="pct"/>
                  <w:noWrap w:val="0"/>
                  <w:vAlign w:val="center"/>
                </w:tcPr>
                <w:p w14:paraId="5717EFE1">
                  <w:pPr>
                    <w:pStyle w:val="26"/>
                    <w:bidi w:val="0"/>
                    <w:rPr>
                      <w:rFonts w:hint="default" w:ascii="Times New Roman" w:hAnsi="Times New Roman" w:cs="Times New Roman"/>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间断排放，排放期间流量不稳定，但</w:t>
                  </w:r>
                  <w:r>
                    <w:rPr>
                      <w:rFonts w:hint="eastAsia"/>
                      <w:color w:val="000000" w:themeColor="text1"/>
                      <w:highlight w:val="none"/>
                      <w14:textFill>
                        <w14:solidFill>
                          <w14:schemeClr w14:val="tx1"/>
                        </w14:solidFill>
                      </w14:textFill>
                    </w:rPr>
                    <w:t>有周</w:t>
                  </w:r>
                  <w:r>
                    <w:rPr>
                      <w:color w:val="000000" w:themeColor="text1"/>
                      <w:highlight w:val="none"/>
                      <w14:textFill>
                        <w14:solidFill>
                          <w14:schemeClr w14:val="tx1"/>
                        </w14:solidFill>
                      </w14:textFill>
                    </w:rPr>
                    <w:t>期性规律</w:t>
                  </w:r>
                </w:p>
              </w:tc>
              <w:tc>
                <w:tcPr>
                  <w:tcW w:w="551" w:type="pct"/>
                  <w:noWrap w:val="0"/>
                  <w:vAlign w:val="center"/>
                </w:tcPr>
                <w:p w14:paraId="37A4501F">
                  <w:pPr>
                    <w:pStyle w:val="26"/>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一般排放口</w:t>
                  </w:r>
                </w:p>
              </w:tc>
              <w:tc>
                <w:tcPr>
                  <w:tcW w:w="991" w:type="pct"/>
                  <w:noWrap w:val="0"/>
                  <w:vAlign w:val="center"/>
                </w:tcPr>
                <w:p w14:paraId="0EBD9239">
                  <w:pPr>
                    <w:pStyle w:val="2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117°27′7.0319″E</w:t>
                  </w:r>
                </w:p>
                <w:p w14:paraId="74C021C5">
                  <w:pPr>
                    <w:pStyle w:val="26"/>
                    <w:bidi w:val="0"/>
                    <w:rPr>
                      <w:rFonts w:hint="default"/>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26°04′43.899″</w:t>
                  </w:r>
                  <w:r>
                    <w:rPr>
                      <w:rFonts w:hint="eastAsia" w:ascii="Times New Roman" w:hAnsi="Times New Roman" w:cs="Times New Roman"/>
                      <w:color w:val="000000" w:themeColor="text1"/>
                      <w:highlight w:val="none"/>
                      <w:lang w:val="en-US" w:eastAsia="zh-CN"/>
                      <w14:textFill>
                        <w14:solidFill>
                          <w14:schemeClr w14:val="tx1"/>
                        </w14:solidFill>
                      </w14:textFill>
                    </w:rPr>
                    <w:t>N</w:t>
                  </w:r>
                </w:p>
              </w:tc>
            </w:tr>
          </w:tbl>
          <w:p w14:paraId="4B0D9047">
            <w:pP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 xml:space="preserve">《排污许可证申请与核发技术规范 </w:t>
            </w:r>
            <w:r>
              <w:rPr>
                <w:rFonts w:hint="eastAsia"/>
                <w:color w:val="000000" w:themeColor="text1"/>
                <w:highlight w:val="none"/>
                <w:lang w:val="en-US" w:eastAsia="zh-CN"/>
                <w14:textFill>
                  <w14:solidFill>
                    <w14:schemeClr w14:val="tx1"/>
                  </w14:solidFill>
                </w14:textFill>
              </w:rPr>
              <w:t>石墨及其他金属矿物制品制造</w:t>
            </w:r>
            <w:r>
              <w:rPr>
                <w:rFonts w:hint="eastAsia"/>
                <w:color w:val="000000" w:themeColor="text1"/>
                <w:highlight w:val="none"/>
                <w14:textFill>
                  <w14:solidFill>
                    <w14:schemeClr w14:val="tx1"/>
                  </w14:solidFill>
                </w14:textFill>
              </w:rPr>
              <w:t>》（HJ1</w:t>
            </w:r>
            <w:r>
              <w:rPr>
                <w:rFonts w:hint="eastAsia"/>
                <w:color w:val="000000" w:themeColor="text1"/>
                <w:highlight w:val="none"/>
                <w:lang w:val="en-US" w:eastAsia="zh-CN"/>
                <w14:textFill>
                  <w14:solidFill>
                    <w14:schemeClr w14:val="tx1"/>
                  </w14:solidFill>
                </w14:textFill>
              </w:rPr>
              <w:t>119</w:t>
            </w:r>
            <w:r>
              <w:rPr>
                <w:rFonts w:hint="eastAsia"/>
                <w:color w:val="000000" w:themeColor="text1"/>
                <w:highlight w:val="none"/>
                <w14:textFill>
                  <w14:solidFill>
                    <w14:schemeClr w14:val="tx1"/>
                  </w14:solidFill>
                </w14:textFill>
              </w:rPr>
              <w:t>-20</w:t>
            </w:r>
            <w:r>
              <w:rPr>
                <w:rFonts w:hint="eastAsia"/>
                <w:color w:val="000000" w:themeColor="text1"/>
                <w:highlight w:val="none"/>
                <w:lang w:val="en-US" w:eastAsia="zh-CN"/>
                <w14:textFill>
                  <w14:solidFill>
                    <w14:schemeClr w14:val="tx1"/>
                  </w14:solidFill>
                </w14:textFill>
              </w:rPr>
              <w:t>20</w:t>
            </w:r>
            <w:r>
              <w:rPr>
                <w:rFonts w:hint="eastAsia"/>
                <w:color w:val="000000" w:themeColor="text1"/>
                <w:highlight w:val="none"/>
                <w14:textFill>
                  <w14:solidFill>
                    <w14:schemeClr w14:val="tx1"/>
                  </w14:solidFill>
                </w14:textFill>
              </w:rPr>
              <w:t>），单独排入</w:t>
            </w:r>
            <w:r>
              <w:rPr>
                <w:rFonts w:hint="eastAsia"/>
                <w:color w:val="000000" w:themeColor="text1"/>
                <w:highlight w:val="none"/>
                <w:lang w:val="en-US" w:eastAsia="zh-CN"/>
                <w14:textFill>
                  <w14:solidFill>
                    <w14:schemeClr w14:val="tx1"/>
                  </w14:solidFill>
                </w14:textFill>
              </w:rPr>
              <w:t>城镇污水集中处理设施</w:t>
            </w:r>
            <w:r>
              <w:rPr>
                <w:rFonts w:hint="eastAsia"/>
                <w:color w:val="000000" w:themeColor="text1"/>
                <w:highlight w:val="none"/>
                <w14:textFill>
                  <w14:solidFill>
                    <w14:schemeClr w14:val="tx1"/>
                  </w14:solidFill>
                </w14:textFill>
              </w:rPr>
              <w:t>的生活污水可不开展自行监测。因此，项目生活污水排放口无需开展自行监测。</w:t>
            </w:r>
          </w:p>
          <w:p w14:paraId="769CCA0E">
            <w:pPr>
              <w:pStyle w:val="3"/>
              <w:numPr>
                <w:ilvl w:val="2"/>
                <w:numId w:val="4"/>
              </w:numPr>
              <w:bidi w:val="0"/>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bookmarkStart w:id="209" w:name="_Toc23217"/>
            <w:bookmarkStart w:id="210" w:name="_Toc26494"/>
            <w:bookmarkStart w:id="211" w:name="_Toc30248"/>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废水源强计算过程</w:t>
            </w:r>
            <w:bookmarkEnd w:id="209"/>
            <w:bookmarkEnd w:id="210"/>
            <w:bookmarkEnd w:id="211"/>
          </w:p>
          <w:p w14:paraId="4D55DF2A">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w:t>
            </w:r>
            <w:r>
              <w:rPr>
                <w:rFonts w:hint="eastAsia"/>
                <w:color w:val="000000" w:themeColor="text1"/>
                <w:highlight w:val="none"/>
                <w:lang w:val="en-US" w:eastAsia="zh-CN"/>
                <w14:textFill>
                  <w14:solidFill>
                    <w14:schemeClr w14:val="tx1"/>
                  </w14:solidFill>
                </w14:textFill>
              </w:rPr>
              <w:t>设备冷却水循环使用，不排放</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外排废水为生活污水。</w:t>
            </w:r>
          </w:p>
          <w:p w14:paraId="07A775B2">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根据水平衡分析，</w:t>
            </w:r>
            <w:r>
              <w:rPr>
                <w:rFonts w:hint="eastAsia"/>
                <w:color w:val="000000" w:themeColor="text1"/>
                <w:highlight w:val="none"/>
                <w:lang w:val="en-US" w:eastAsia="zh-CN"/>
                <w14:textFill>
                  <w14:solidFill>
                    <w14:schemeClr w14:val="tx1"/>
                  </w14:solidFill>
                </w14:textFill>
              </w:rPr>
              <w:t>一期工程</w:t>
            </w:r>
            <w:r>
              <w:rPr>
                <w:color w:val="000000" w:themeColor="text1"/>
                <w:highlight w:val="none"/>
                <w14:textFill>
                  <w14:solidFill>
                    <w14:schemeClr w14:val="tx1"/>
                  </w14:solidFill>
                </w14:textFill>
              </w:rPr>
              <w:t>生活污水排放量</w:t>
            </w:r>
            <w:r>
              <w:rPr>
                <w:rFonts w:hint="eastAsia"/>
                <w:color w:val="000000" w:themeColor="text1"/>
                <w:highlight w:val="none"/>
                <w:lang w:val="en-US" w:eastAsia="zh-CN"/>
                <w14:textFill>
                  <w14:solidFill>
                    <w14:schemeClr w14:val="tx1"/>
                  </w14:solidFill>
                </w14:textFill>
              </w:rPr>
              <w:t xml:space="preserve">132 </w:t>
            </w:r>
            <w:r>
              <w:rPr>
                <w:color w:val="000000" w:themeColor="text1"/>
                <w:highlight w:val="none"/>
                <w14:textFill>
                  <w14:solidFill>
                    <w14:schemeClr w14:val="tx1"/>
                  </w14:solidFill>
                </w14:textFill>
              </w:rPr>
              <w:t>t/a</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二期工程生活污水排放量240 t/a，全厂建成后，生活污水排放量372 t/a</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生活污水水质</w:t>
            </w:r>
            <w:r>
              <w:rPr>
                <w:color w:val="000000" w:themeColor="text1"/>
                <w:highlight w:val="none"/>
                <w14:textFill>
                  <w14:solidFill>
                    <w14:schemeClr w14:val="tx1"/>
                  </w14:solidFill>
                </w14:textFill>
              </w:rPr>
              <w:t>参考《给排水设计手册》（第五册 城镇排水）典型生活污水水质示例，生活污水中主要污染指标浓度选取COD：400 mg/L、BOD</w:t>
            </w:r>
            <w:r>
              <w:rPr>
                <w:color w:val="000000" w:themeColor="text1"/>
                <w:highlight w:val="none"/>
                <w:vertAlign w:val="subscript"/>
                <w14:textFill>
                  <w14:solidFill>
                    <w14:schemeClr w14:val="tx1"/>
                  </w14:solidFill>
                </w14:textFill>
              </w:rPr>
              <w:t>5</w:t>
            </w:r>
            <w:r>
              <w:rPr>
                <w:color w:val="000000" w:themeColor="text1"/>
                <w:highlight w:val="none"/>
                <w14:textFill>
                  <w14:solidFill>
                    <w14:schemeClr w14:val="tx1"/>
                  </w14:solidFill>
                </w14:textFill>
              </w:rPr>
              <w:t>：220 mg/L、SS：200 mg/L、氨氮：35 mg/L。</w:t>
            </w:r>
            <w:r>
              <w:rPr>
                <w:color w:val="000000" w:themeColor="text1"/>
                <w:kern w:val="0"/>
                <w:highlight w:val="none"/>
                <w:lang w:bidi="ar"/>
                <w14:textFill>
                  <w14:solidFill>
                    <w14:schemeClr w14:val="tx1"/>
                  </w14:solidFill>
                </w14:textFill>
              </w:rPr>
              <w:t>参考</w:t>
            </w:r>
            <w:r>
              <w:rPr>
                <w:rFonts w:hint="eastAsia"/>
                <w:color w:val="000000" w:themeColor="text1"/>
                <w:kern w:val="0"/>
                <w:highlight w:val="none"/>
                <w:lang w:bidi="ar"/>
                <w14:textFill>
                  <w14:solidFill>
                    <w14:schemeClr w14:val="tx1"/>
                  </w14:solidFill>
                </w14:textFill>
              </w:rPr>
              <w:t>《排水工程》（下册）可知化粪池处理效率约为COD</w:t>
            </w:r>
            <w:r>
              <w:rPr>
                <w:rFonts w:hint="eastAsia"/>
                <w:color w:val="000000" w:themeColor="text1"/>
                <w:kern w:val="0"/>
                <w:highlight w:val="none"/>
                <w:vertAlign w:val="subscript"/>
                <w:lang w:bidi="ar"/>
                <w14:textFill>
                  <w14:solidFill>
                    <w14:schemeClr w14:val="tx1"/>
                  </w14:solidFill>
                </w14:textFill>
              </w:rPr>
              <w:t>Cr</w:t>
            </w:r>
            <w:r>
              <w:rPr>
                <w:rFonts w:hint="eastAsia"/>
                <w:color w:val="000000" w:themeColor="text1"/>
                <w:kern w:val="0"/>
                <w:highlight w:val="none"/>
                <w:lang w:bidi="ar"/>
                <w14:textFill>
                  <w14:solidFill>
                    <w14:schemeClr w14:val="tx1"/>
                  </w14:solidFill>
                </w14:textFill>
              </w:rPr>
              <w:t>：15%、BOD</w:t>
            </w:r>
            <w:r>
              <w:rPr>
                <w:rFonts w:hint="eastAsia"/>
                <w:color w:val="000000" w:themeColor="text1"/>
                <w:kern w:val="0"/>
                <w:highlight w:val="none"/>
                <w:vertAlign w:val="subscript"/>
                <w:lang w:bidi="ar"/>
                <w14:textFill>
                  <w14:solidFill>
                    <w14:schemeClr w14:val="tx1"/>
                  </w14:solidFill>
                </w14:textFill>
              </w:rPr>
              <w:t>5</w:t>
            </w:r>
            <w:r>
              <w:rPr>
                <w:rFonts w:hint="eastAsia"/>
                <w:color w:val="000000" w:themeColor="text1"/>
                <w:kern w:val="0"/>
                <w:highlight w:val="none"/>
                <w:lang w:bidi="ar"/>
                <w14:textFill>
                  <w14:solidFill>
                    <w14:schemeClr w14:val="tx1"/>
                  </w14:solidFill>
                </w14:textFill>
              </w:rPr>
              <w:t>：9%、氨氮：3%、SS：30%。</w:t>
            </w:r>
            <w:r>
              <w:rPr>
                <w:color w:val="000000" w:themeColor="text1"/>
                <w:highlight w:val="none"/>
                <w14:textFill>
                  <w14:solidFill>
                    <w14:schemeClr w14:val="tx1"/>
                  </w14:solidFill>
                </w14:textFill>
              </w:rPr>
              <w:t>生活污水经化粪池预处理后符合《污水综合排放标准》</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GB8978-1996</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表4三级排放标准（其中NH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-N符合《污水排入城镇下水道水质标准》</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GB/T31962-2015</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表1中的B级标准）后接入</w:t>
            </w:r>
            <w:r>
              <w:rPr>
                <w:rFonts w:hint="eastAsia"/>
                <w:color w:val="000000" w:themeColor="text1"/>
                <w:highlight w:val="none"/>
                <w:lang w:val="en-US" w:eastAsia="zh-CN"/>
                <w14:textFill>
                  <w14:solidFill>
                    <w14:schemeClr w14:val="tx1"/>
                  </w14:solidFill>
                </w14:textFill>
              </w:rPr>
              <w:t>园区</w:t>
            </w:r>
            <w:r>
              <w:rPr>
                <w:color w:val="000000" w:themeColor="text1"/>
                <w:highlight w:val="none"/>
                <w14:textFill>
                  <w14:solidFill>
                    <w14:schemeClr w14:val="tx1"/>
                  </w14:solidFill>
                </w14:textFill>
              </w:rPr>
              <w:t>污水管网，排入</w:t>
            </w:r>
            <w:r>
              <w:rPr>
                <w:rFonts w:hint="eastAsia"/>
                <w:color w:val="000000" w:themeColor="text1"/>
                <w:highlight w:val="none"/>
                <w:lang w:val="en-US" w:eastAsia="zh-CN"/>
                <w14:textFill>
                  <w14:solidFill>
                    <w14:schemeClr w14:val="tx1"/>
                  </w14:solidFill>
                </w14:textFill>
              </w:rPr>
              <w:t>永安市贡川产业园水东工业集中区污水处理厂</w:t>
            </w:r>
            <w:r>
              <w:rPr>
                <w:color w:val="000000" w:themeColor="text1"/>
                <w:highlight w:val="none"/>
                <w14:textFill>
                  <w14:solidFill>
                    <w14:schemeClr w14:val="tx1"/>
                  </w14:solidFill>
                </w14:textFill>
              </w:rPr>
              <w:t>统一处理，出水水质可达《城镇污水处理厂污染物排放标准》</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GB18918-2002</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表1一级</w:t>
            </w:r>
            <w:r>
              <w:rPr>
                <w:rFonts w:hint="eastAsia"/>
                <w:color w:val="000000" w:themeColor="text1"/>
                <w:highlight w:val="none"/>
                <w:lang w:val="en-US" w:eastAsia="zh-CN"/>
                <w14:textFill>
                  <w14:solidFill>
                    <w14:schemeClr w14:val="tx1"/>
                  </w14:solidFill>
                </w14:textFill>
              </w:rPr>
              <w:t>B</w:t>
            </w:r>
            <w:r>
              <w:rPr>
                <w:color w:val="000000" w:themeColor="text1"/>
                <w:highlight w:val="none"/>
                <w14:textFill>
                  <w14:solidFill>
                    <w14:schemeClr w14:val="tx1"/>
                  </w14:solidFill>
                </w14:textFill>
              </w:rPr>
              <w:t>标准后排放。</w:t>
            </w:r>
          </w:p>
          <w:p w14:paraId="3B003542">
            <w:pPr>
              <w:pStyle w:val="3"/>
              <w:bidi w:val="0"/>
              <w:rPr>
                <w:rFonts w:hint="default"/>
                <w:color w:val="000000" w:themeColor="text1"/>
                <w:highlight w:val="none"/>
                <w:lang w:eastAsia="zh-CN"/>
                <w14:textFill>
                  <w14:solidFill>
                    <w14:schemeClr w14:val="tx1"/>
                  </w14:solidFill>
                </w14:textFill>
              </w:rPr>
            </w:pPr>
            <w:bookmarkStart w:id="212" w:name="_Toc10747"/>
            <w:bookmarkStart w:id="213" w:name="_Toc7583"/>
            <w:bookmarkStart w:id="214" w:name="_Toc24499"/>
            <w:r>
              <w:rPr>
                <w:rFonts w:hint="default"/>
                <w:color w:val="000000" w:themeColor="text1"/>
                <w:highlight w:val="none"/>
                <w:lang w:val="en-US" w:eastAsia="zh-CN"/>
                <w14:textFill>
                  <w14:solidFill>
                    <w14:schemeClr w14:val="tx1"/>
                  </w14:solidFill>
                </w14:textFill>
              </w:rPr>
              <w:t>废水对水环境影响分析</w:t>
            </w:r>
            <w:bookmarkEnd w:id="212"/>
            <w:bookmarkEnd w:id="213"/>
            <w:bookmarkEnd w:id="214"/>
          </w:p>
          <w:p w14:paraId="79AD2726">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本项目</w:t>
            </w:r>
            <w:r>
              <w:rPr>
                <w:rFonts w:hint="eastAsia" w:cs="Times New Roman"/>
                <w:color w:val="000000" w:themeColor="text1"/>
                <w:highlight w:val="none"/>
                <w:lang w:val="en-US" w:eastAsia="zh-CN"/>
                <w14:textFill>
                  <w14:solidFill>
                    <w14:schemeClr w14:val="tx1"/>
                  </w14:solidFill>
                </w14:textFill>
              </w:rPr>
              <w:t>生活污水经化粪池处理</w:t>
            </w:r>
            <w:r>
              <w:rPr>
                <w:rFonts w:hint="default" w:ascii="Times New Roman" w:hAnsi="Times New Roman" w:cs="Times New Roman"/>
                <w:color w:val="000000" w:themeColor="text1"/>
                <w:highlight w:val="none"/>
                <w:lang w:val="en-US" w:eastAsia="zh-CN"/>
                <w14:textFill>
                  <w14:solidFill>
                    <w14:schemeClr w14:val="tx1"/>
                  </w14:solidFill>
                </w14:textFill>
              </w:rPr>
              <w:t>达</w:t>
            </w:r>
            <w:r>
              <w:rPr>
                <w:color w:val="000000" w:themeColor="text1"/>
                <w:highlight w:val="none"/>
                <w14:textFill>
                  <w14:solidFill>
                    <w14:schemeClr w14:val="tx1"/>
                  </w14:solidFill>
                </w14:textFill>
              </w:rPr>
              <w:t>《污水综合排放标准》</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GB8978-1996</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表4三级排放标准（其中NH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-N符合《污水排入城镇下水道水质标准》</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GB/T31962-2015</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表1中的B级标准）</w:t>
            </w:r>
            <w:r>
              <w:rPr>
                <w:rFonts w:hint="eastAsia" w:ascii="Times New Roman" w:hAnsi="Times New Roman" w:cs="Times New Roman"/>
                <w:color w:val="000000" w:themeColor="text1"/>
                <w:highlight w:val="none"/>
                <w:lang w:val="en-US" w:eastAsia="zh-CN"/>
                <w14:textFill>
                  <w14:solidFill>
                    <w14:schemeClr w14:val="tx1"/>
                  </w14:solidFill>
                </w14:textFill>
              </w:rPr>
              <w:t>后</w:t>
            </w:r>
            <w:r>
              <w:rPr>
                <w:color w:val="000000" w:themeColor="text1"/>
                <w:highlight w:val="none"/>
                <w14:textFill>
                  <w14:solidFill>
                    <w14:schemeClr w14:val="tx1"/>
                  </w14:solidFill>
                </w14:textFill>
              </w:rPr>
              <w:t>接入</w:t>
            </w:r>
            <w:r>
              <w:rPr>
                <w:rFonts w:hint="eastAsia"/>
                <w:color w:val="000000" w:themeColor="text1"/>
                <w:highlight w:val="none"/>
                <w:lang w:val="en-US" w:eastAsia="zh-CN"/>
                <w14:textFill>
                  <w14:solidFill>
                    <w14:schemeClr w14:val="tx1"/>
                  </w14:solidFill>
                </w14:textFill>
              </w:rPr>
              <w:t>园区</w:t>
            </w:r>
            <w:r>
              <w:rPr>
                <w:color w:val="000000" w:themeColor="text1"/>
                <w:highlight w:val="none"/>
                <w14:textFill>
                  <w14:solidFill>
                    <w14:schemeClr w14:val="tx1"/>
                  </w14:solidFill>
                </w14:textFill>
              </w:rPr>
              <w:t>污水管网</w:t>
            </w:r>
            <w:r>
              <w:rPr>
                <w:rFonts w:hint="eastAsia"/>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纳入</w:t>
            </w:r>
            <w:r>
              <w:rPr>
                <w:rFonts w:hint="eastAsia"/>
                <w:color w:val="000000" w:themeColor="text1"/>
                <w:highlight w:val="none"/>
                <w:lang w:val="en-US" w:eastAsia="zh-CN"/>
                <w14:textFill>
                  <w14:solidFill>
                    <w14:schemeClr w14:val="tx1"/>
                  </w14:solidFill>
                </w14:textFill>
              </w:rPr>
              <w:t>永安市贡川产业园水东工业集中区污水处理厂</w:t>
            </w:r>
            <w:r>
              <w:rPr>
                <w:rFonts w:hint="default" w:ascii="Times New Roman" w:hAnsi="Times New Roman" w:cs="Times New Roman"/>
                <w:color w:val="000000" w:themeColor="text1"/>
                <w:highlight w:val="none"/>
                <w:lang w:val="en-US" w:eastAsia="zh-CN"/>
                <w14:textFill>
                  <w14:solidFill>
                    <w14:schemeClr w14:val="tx1"/>
                  </w14:solidFill>
                </w14:textFill>
              </w:rPr>
              <w:t>深度处理，不直接排放。因此，对周边地表水环境的影响较小。</w:t>
            </w:r>
          </w:p>
          <w:p w14:paraId="3FA0E3D2">
            <w:pPr>
              <w:pStyle w:val="3"/>
              <w:numPr>
                <w:ilvl w:val="2"/>
                <w:numId w:val="4"/>
              </w:numPr>
              <w:bidi w:val="0"/>
              <w:rPr>
                <w:rFonts w:hint="default" w:ascii="Times New Roman" w:hAnsi="Times New Roman" w:cs="Times New Roman"/>
                <w:color w:val="000000" w:themeColor="text1"/>
                <w:highlight w:val="none"/>
                <w:lang w:val="en-US" w:eastAsia="zh-CN"/>
                <w14:textFill>
                  <w14:solidFill>
                    <w14:schemeClr w14:val="tx1"/>
                  </w14:solidFill>
                </w14:textFill>
              </w:rPr>
            </w:pPr>
            <w:bookmarkStart w:id="215" w:name="_Toc3560"/>
            <w:bookmarkStart w:id="216" w:name="_Toc1531"/>
            <w:bookmarkStart w:id="217" w:name="_Toc1162"/>
            <w:r>
              <w:rPr>
                <w:rFonts w:hint="default" w:ascii="Times New Roman" w:hAnsi="Times New Roman" w:cs="Times New Roman"/>
                <w:color w:val="000000" w:themeColor="text1"/>
                <w:highlight w:val="none"/>
                <w:lang w:val="en-US" w:eastAsia="zh-CN"/>
                <w14:textFill>
                  <w14:solidFill>
                    <w14:schemeClr w14:val="tx1"/>
                  </w14:solidFill>
                </w14:textFill>
              </w:rPr>
              <w:t>依托污水处理厂处理的可行性分析</w:t>
            </w:r>
            <w:bookmarkEnd w:id="215"/>
            <w:bookmarkEnd w:id="216"/>
            <w:bookmarkEnd w:id="217"/>
          </w:p>
          <w:p w14:paraId="3E7FB9AE">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（1）永安市贡川产业园水东工业集中区污水处理厂概况</w:t>
            </w:r>
          </w:p>
          <w:p w14:paraId="1A8DA4D1">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永安市贡川产业园水东工业集中区污水处理厂位于水东工业集中区二期规划用地的东北角，用地面积13320m</w:t>
            </w:r>
            <w:r>
              <w:rPr>
                <w:rFonts w:hint="eastAsia"/>
                <w:color w:val="000000" w:themeColor="text1"/>
                <w:highlight w:val="none"/>
                <w:vertAlign w:val="superscript"/>
                <w14:textFill>
                  <w14:solidFill>
                    <w14:schemeClr w14:val="tx1"/>
                  </w14:solidFill>
                </w14:textFill>
              </w:rPr>
              <w:t>2</w:t>
            </w:r>
            <w:r>
              <w:rPr>
                <w:rFonts w:hint="eastAsia"/>
                <w:color w:val="000000" w:themeColor="text1"/>
                <w:highlight w:val="none"/>
                <w14:textFill>
                  <w14:solidFill>
                    <w14:schemeClr w14:val="tx1"/>
                  </w14:solidFill>
                </w14:textFill>
              </w:rPr>
              <w:t>（20亩）。水东工业集中区污水处理厂以接纳合成革废水、染整废水为主，兼顾处理其他企业工业废水和园区生活污水。总体计划分为四期，一期工程建设规模为0.5万m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/d；二期工程建设规模达到1.0万m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/d；三期工程建设规模达到1.5万m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/d；四期建成最终形成规模为2.0万m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/d。目前永安市贡川产业园水东工业集中区污水处理厂一期工程已投入运行。</w:t>
            </w:r>
          </w:p>
          <w:p w14:paraId="56479F6C">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（2）接入污水处理厂可行性分析</w:t>
            </w:r>
          </w:p>
          <w:p w14:paraId="04C4692D">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①废水水量的影响</w:t>
            </w:r>
          </w:p>
          <w:p w14:paraId="1A257C7D">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w:t>
            </w:r>
            <w:r>
              <w:rPr>
                <w:rFonts w:hint="eastAsia"/>
                <w:color w:val="000000" w:themeColor="text1"/>
                <w:highlight w:val="none"/>
                <w:lang w:val="en-US" w:eastAsia="zh-CN"/>
                <w14:textFill>
                  <w14:solidFill>
                    <w14:schemeClr w14:val="tx1"/>
                  </w14:solidFill>
                </w14:textFill>
              </w:rPr>
              <w:t>建成后全厂外排废水量</w:t>
            </w:r>
            <w:r>
              <w:rPr>
                <w:rFonts w:hint="eastAsia"/>
                <w:color w:val="000000" w:themeColor="text1"/>
                <w:highlight w:val="none"/>
                <w14:textFill>
                  <w14:solidFill>
                    <w14:schemeClr w14:val="tx1"/>
                  </w14:solidFill>
                </w14:textFill>
              </w:rPr>
              <w:t>为</w:t>
            </w:r>
            <w:r>
              <w:rPr>
                <w:rFonts w:hint="eastAsia"/>
                <w:color w:val="000000" w:themeColor="text1"/>
                <w:highlight w:val="none"/>
                <w:lang w:val="en-US" w:eastAsia="zh-CN"/>
                <w14:textFill>
                  <w14:solidFill>
                    <w14:schemeClr w14:val="tx1"/>
                  </w14:solidFill>
                </w14:textFill>
              </w:rPr>
              <w:t xml:space="preserve">1.24 </w:t>
            </w:r>
            <w:r>
              <w:rPr>
                <w:rFonts w:hint="eastAsia"/>
                <w:color w:val="000000" w:themeColor="text1"/>
                <w:highlight w:val="none"/>
                <w14:textFill>
                  <w14:solidFill>
                    <w14:schemeClr w14:val="tx1"/>
                  </w14:solidFill>
                </w14:textFill>
              </w:rPr>
              <w:t>t/d（</w:t>
            </w:r>
            <w:r>
              <w:rPr>
                <w:rFonts w:hint="eastAsia"/>
                <w:color w:val="000000" w:themeColor="text1"/>
                <w:highlight w:val="none"/>
                <w:lang w:val="en-US" w:eastAsia="zh-CN"/>
                <w14:textFill>
                  <w14:solidFill>
                    <w14:schemeClr w14:val="tx1"/>
                  </w14:solidFill>
                </w14:textFill>
              </w:rPr>
              <w:t xml:space="preserve">372 </w:t>
            </w:r>
            <w:r>
              <w:rPr>
                <w:rFonts w:hint="eastAsia"/>
                <w:color w:val="000000" w:themeColor="text1"/>
                <w:highlight w:val="none"/>
                <w14:textFill>
                  <w14:solidFill>
                    <w14:schemeClr w14:val="tx1"/>
                  </w14:solidFill>
                </w14:textFill>
              </w:rPr>
              <w:t>t/a），</w:t>
            </w:r>
            <w:r>
              <w:rPr>
                <w:rFonts w:hint="eastAsia"/>
                <w:color w:val="000000" w:themeColor="text1"/>
                <w:highlight w:val="none"/>
                <w:lang w:val="en-US" w:eastAsia="zh-CN"/>
                <w14:textFill>
                  <w14:solidFill>
                    <w14:schemeClr w14:val="tx1"/>
                  </w14:solidFill>
                </w14:textFill>
              </w:rPr>
              <w:t>通过出租方已建设的化粪池（位于福建中禾新材料有限公司厂区西侧）和生活污水管网接入西北侧园区污水管网，纳入</w:t>
            </w:r>
            <w:r>
              <w:rPr>
                <w:rFonts w:hint="eastAsia"/>
                <w:color w:val="000000" w:themeColor="text1"/>
                <w:highlight w:val="none"/>
                <w14:textFill>
                  <w14:solidFill>
                    <w14:schemeClr w14:val="tx1"/>
                  </w14:solidFill>
                </w14:textFill>
              </w:rPr>
              <w:t>永安市贡川产业园水东工业集中区污水处理厂</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永安市贡川产业园水东工业集中区污水处理厂一期工程已投入运行，现状处理规模为0.5万吨/日。根据永安市安旭水务有限公司提供信息可知，目前污水处理厂剩余处理能力约</w:t>
            </w:r>
            <w:r>
              <w:rPr>
                <w:rFonts w:hint="eastAsia"/>
                <w:color w:val="000000" w:themeColor="text1"/>
                <w:highlight w:val="none"/>
                <w:lang w:val="en-US" w:eastAsia="zh-CN"/>
                <w14:textFill>
                  <w14:solidFill>
                    <w14:schemeClr w14:val="tx1"/>
                  </w14:solidFill>
                </w14:textFill>
              </w:rPr>
              <w:t>190</w:t>
            </w:r>
            <w:r>
              <w:rPr>
                <w:rFonts w:hint="eastAsia"/>
                <w:color w:val="000000" w:themeColor="text1"/>
                <w:highlight w:val="none"/>
                <w14:textFill>
                  <w14:solidFill>
                    <w14:schemeClr w14:val="tx1"/>
                  </w14:solidFill>
                </w14:textFill>
              </w:rPr>
              <w:t>0 t/d，本项目污水排放量占污水处理厂剩余处理能力的</w:t>
            </w:r>
            <w:r>
              <w:rPr>
                <w:rFonts w:hint="eastAsia"/>
                <w:color w:val="000000" w:themeColor="text1"/>
                <w:highlight w:val="none"/>
                <w:lang w:val="en-US" w:eastAsia="zh-CN"/>
                <w14:textFill>
                  <w14:solidFill>
                    <w14:schemeClr w14:val="tx1"/>
                  </w14:solidFill>
                </w14:textFill>
              </w:rPr>
              <w:t>0.065</w:t>
            </w:r>
            <w:r>
              <w:rPr>
                <w:rFonts w:hint="eastAsia"/>
                <w:color w:val="000000" w:themeColor="text1"/>
                <w:highlight w:val="none"/>
                <w14:textFill>
                  <w14:solidFill>
                    <w14:schemeClr w14:val="tx1"/>
                  </w14:solidFill>
                </w14:textFill>
              </w:rPr>
              <w:t>%，污水处理厂尚有容量。因此，从水量上分析，项目废水纳入永安市贡川产业园水东工业集中区污水处理厂是可行的。</w:t>
            </w:r>
          </w:p>
          <w:p w14:paraId="0153308A">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②废水水质的影响</w:t>
            </w:r>
          </w:p>
          <w:p w14:paraId="19DE400F">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本项目外排废水所含的污染因子浓度低，污染物成分简单，不含有腐蚀成分，污水的可生化性高，生活污水经化粪池处理后各污染物浓度均可以达到</w:t>
            </w:r>
            <w:r>
              <w:rPr>
                <w:color w:val="000000" w:themeColor="text1"/>
                <w:highlight w:val="none"/>
                <w14:textFill>
                  <w14:solidFill>
                    <w14:schemeClr w14:val="tx1"/>
                  </w14:solidFill>
                </w14:textFill>
              </w:rPr>
              <w:t>《污水综合排放标准》</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GB8978-1996</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表4三级排放标准（其中NH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-N符合《污水排入城镇下水道水质标准》</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GB/T31962-2015</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表1中的B级标准）</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水质能够满足园区污水处理厂的接管标准</w:t>
            </w:r>
            <w:r>
              <w:rPr>
                <w:rFonts w:hint="eastAsia"/>
                <w:color w:val="000000" w:themeColor="text1"/>
                <w:highlight w:val="none"/>
                <w14:textFill>
                  <w14:solidFill>
                    <w14:schemeClr w14:val="tx1"/>
                  </w14:solidFill>
                </w14:textFill>
              </w:rPr>
              <w:t>。外排废水水质在园区污水处理厂的接收水质范围内，不会对该污水处理厂造成污染负荷冲击，不会影响该污水处理厂污水处理效果。</w:t>
            </w:r>
          </w:p>
          <w:p w14:paraId="456BF9E6">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③与污水管网建设的衔接关系</w:t>
            </w:r>
          </w:p>
          <w:p w14:paraId="3DD739A5">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位于福建省三明市永安市贡川镇水东园区，处于永安市贡川产业园水东工业集中区污水处理厂接纳范围内，本项目周边道路已铺设有污水收集管线，因此本项目产生的生活污水纳入园区市政污水管网是可行的。</w:t>
            </w:r>
          </w:p>
          <w:p w14:paraId="1F188AED">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综上所述，本项目建成后生活污水经预处理后可以纳入永安市贡川产业园水东工业集中区污水处理厂，不会对园区污水处理厂的正常运行造成不利影响，项目废水环境影响减缓措施和接管可行、有效。</w:t>
            </w:r>
          </w:p>
          <w:p w14:paraId="236EE959">
            <w:pPr>
              <w:pStyle w:val="2"/>
              <w:numPr>
                <w:ilvl w:val="1"/>
                <w:numId w:val="4"/>
              </w:numPr>
              <w:tabs>
                <w:tab w:val="left" w:pos="420"/>
              </w:tabs>
              <w:bidi w:val="0"/>
              <w:rPr>
                <w:rFonts w:hint="default" w:ascii="Times New Roman" w:hAnsi="Times New Roman" w:cs="Times New Roman"/>
                <w:color w:val="000000" w:themeColor="text1"/>
                <w:highlight w:val="none"/>
                <w:lang w:eastAsia="zh-CN"/>
                <w14:textFill>
                  <w14:solidFill>
                    <w14:schemeClr w14:val="tx1"/>
                  </w14:solidFill>
                </w14:textFill>
              </w:rPr>
            </w:pPr>
            <w:bookmarkStart w:id="218" w:name="_Toc5645"/>
            <w:r>
              <w:rPr>
                <w:rFonts w:hint="default" w:ascii="Times New Roman" w:hAnsi="Times New Roman" w:cs="Times New Roman"/>
                <w:color w:val="000000" w:themeColor="text1"/>
                <w:highlight w:val="none"/>
                <w:lang w:val="en-US" w:eastAsia="zh-CN"/>
                <w14:textFill>
                  <w14:solidFill>
                    <w14:schemeClr w14:val="tx1"/>
                  </w14:solidFill>
                </w14:textFill>
              </w:rPr>
              <w:t>噪声</w:t>
            </w:r>
            <w:bookmarkEnd w:id="218"/>
          </w:p>
          <w:p w14:paraId="598BF3D3">
            <w:pPr>
              <w:pStyle w:val="3"/>
              <w:numPr>
                <w:ilvl w:val="2"/>
                <w:numId w:val="4"/>
              </w:numPr>
              <w:bidi w:val="0"/>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噪声源强</w:t>
            </w:r>
          </w:p>
          <w:p w14:paraId="018AA44D">
            <w:pPr>
              <w:bidi w:val="0"/>
              <w:rPr>
                <w:rFonts w:hint="default" w:ascii="Times New Roman" w:hAnsi="Times New Roman" w:cs="Times New Roman"/>
                <w:color w:val="000000" w:themeColor="text1"/>
                <w:highlight w:val="none"/>
                <w:lang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本项目</w:t>
            </w:r>
            <w:r>
              <w:rPr>
                <w:rFonts w:hint="default" w:ascii="Times New Roman" w:hAnsi="Times New Roman" w:cs="Times New Roman"/>
                <w:color w:val="000000" w:themeColor="text1"/>
                <w:highlight w:val="none"/>
                <w:lang w:eastAsia="zh-CN"/>
                <w14:textFill>
                  <w14:solidFill>
                    <w14:schemeClr w14:val="tx1"/>
                  </w14:solidFill>
                </w14:textFill>
              </w:rPr>
              <w:t>的噪声源主要来自新增的各种生产设备，</w:t>
            </w:r>
            <w:r>
              <w:rPr>
                <w:rFonts w:hint="eastAsia" w:ascii="Times New Roman" w:hAnsi="Times New Roman" w:cs="Times New Roman"/>
                <w:color w:val="000000" w:themeColor="text1"/>
                <w:highlight w:val="none"/>
                <w:lang w:val="en-US" w:eastAsia="zh-CN"/>
                <w14:textFill>
                  <w14:solidFill>
                    <w14:schemeClr w14:val="tx1"/>
                  </w14:solidFill>
                </w14:textFill>
              </w:rPr>
              <w:t>项目分两期建设，本次评价主要考虑全厂建成后的噪声对环境的影响，</w:t>
            </w:r>
            <w:r>
              <w:rPr>
                <w:rFonts w:hint="default" w:ascii="Times New Roman" w:hAnsi="Times New Roman" w:cs="Times New Roman"/>
                <w:color w:val="000000" w:themeColor="text1"/>
                <w:highlight w:val="none"/>
                <w:lang w:eastAsia="zh-CN"/>
                <w14:textFill>
                  <w14:solidFill>
                    <w14:schemeClr w14:val="tx1"/>
                  </w14:solidFill>
                </w14:textFill>
              </w:rPr>
              <w:t>根据相关资料和类比同类设备</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主要设备噪声源见</w: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begin"/>
            </w:r>
            <w:r>
              <w:rPr>
                <w:rFonts w:hint="default" w:ascii="Times New Roman" w:hAnsi="Times New Roman" w:cs="Times New Roman"/>
                <w:color w:val="000000" w:themeColor="text1"/>
                <w:highlight w:val="none"/>
                <w:lang w:val="en-US" w:eastAsia="zh-CN"/>
                <w14:textFill>
                  <w14:solidFill>
                    <w14:schemeClr w14:val="tx1"/>
                  </w14:solidFill>
                </w14:textFill>
              </w:rPr>
              <w:instrText xml:space="preserve"> REF _Ref23777 \n \h </w:instrTex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separate"/>
            </w:r>
            <w:r>
              <w:rPr>
                <w:rFonts w:hint="default" w:ascii="Times New Roman" w:hAnsi="Times New Roman" w:cs="Times New Roman"/>
                <w:color w:val="000000" w:themeColor="text1"/>
                <w:highlight w:val="none"/>
                <w:lang w:val="en-US" w:eastAsia="zh-CN"/>
                <w14:textFill>
                  <w14:solidFill>
                    <w14:schemeClr w14:val="tx1"/>
                  </w14:solidFill>
                </w14:textFill>
              </w:rPr>
              <w:t>表4.3-1</w: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end"/>
            </w:r>
            <w:r>
              <w:rPr>
                <w:rFonts w:hint="default" w:ascii="Times New Roman" w:hAnsi="Times New Roman" w:cs="Times New Roman"/>
                <w:color w:val="000000" w:themeColor="text1"/>
                <w:highlight w:val="none"/>
                <w:lang w:eastAsia="zh-CN"/>
                <w14:textFill>
                  <w14:solidFill>
                    <w14:schemeClr w14:val="tx1"/>
                  </w14:solidFill>
                </w14:textFill>
              </w:rPr>
              <w:t>。</w:t>
            </w:r>
          </w:p>
          <w:p w14:paraId="72806F2E">
            <w:pPr>
              <w:pStyle w:val="30"/>
              <w:numPr>
                <w:ilvl w:val="4"/>
                <w:numId w:val="4"/>
              </w:numPr>
              <w:tabs>
                <w:tab w:val="left" w:pos="0"/>
              </w:tabs>
              <w:bidi w:val="0"/>
              <w:rPr>
                <w:rFonts w:hint="default" w:ascii="Times New Roman" w:hAnsi="Times New Roman" w:cs="Times New Roman"/>
                <w:color w:val="000000" w:themeColor="text1"/>
                <w:highlight w:val="none"/>
                <w:lang w:eastAsia="zh-CN"/>
                <w14:textFill>
                  <w14:solidFill>
                    <w14:schemeClr w14:val="tx1"/>
                  </w14:solidFill>
                </w14:textFill>
              </w:rPr>
            </w:pPr>
            <w:bookmarkStart w:id="219" w:name="_Ref23777"/>
            <w:r>
              <w:rPr>
                <w:rFonts w:hint="default" w:ascii="Times New Roman" w:hAnsi="Times New Roman" w:cs="Times New Roman"/>
                <w:color w:val="000000" w:themeColor="text1"/>
                <w:highlight w:val="none"/>
                <w:lang w:val="en-US" w:eastAsia="zh-CN"/>
                <w14:textFill>
                  <w14:solidFill>
                    <w14:schemeClr w14:val="tx1"/>
                  </w14:solidFill>
                </w14:textFill>
              </w:rPr>
              <w:t>主要设备噪声源强一览表</w:t>
            </w:r>
            <w:r>
              <w:rPr>
                <w:rFonts w:hint="eastAsia" w:cs="Times New Roman"/>
                <w:color w:val="000000" w:themeColor="text1"/>
                <w:highlight w:val="none"/>
                <w:lang w:val="en-US" w:eastAsia="zh-CN"/>
                <w14:textFill>
                  <w14:solidFill>
                    <w14:schemeClr w14:val="tx1"/>
                  </w14:solidFill>
                </w14:textFill>
              </w:rPr>
              <w:t xml:space="preserve">  单位：dB（A）</w:t>
            </w:r>
            <w:bookmarkEnd w:id="219"/>
          </w:p>
          <w:p w14:paraId="62A6DBC4">
            <w:pPr>
              <w:jc w:val="center"/>
              <w:rPr>
                <w:rFonts w:hint="default"/>
                <w:lang w:eastAsia="zh-CN"/>
              </w:rPr>
            </w:pPr>
            <w:r>
              <w:rPr>
                <w:rFonts w:hint="eastAsia"/>
                <w:b/>
                <w:bCs/>
                <w:color w:val="FF0000"/>
                <w:sz w:val="36"/>
                <w:szCs w:val="36"/>
                <w:highlight w:val="yellow"/>
                <w:lang w:val="en-US" w:eastAsia="zh-CN"/>
              </w:rPr>
              <w:t>涉密，删除</w:t>
            </w:r>
          </w:p>
          <w:p w14:paraId="6F7105E6">
            <w:pPr>
              <w:pStyle w:val="3"/>
              <w:numPr>
                <w:ilvl w:val="2"/>
                <w:numId w:val="4"/>
              </w:numPr>
              <w:bidi w:val="0"/>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预测模型</w:t>
            </w:r>
          </w:p>
          <w:p w14:paraId="28046821">
            <w:pPr>
              <w:bidi w:val="0"/>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根据《环境影响评价技术导则 声环境》（HJ2.4-20</w:t>
            </w:r>
            <w:r>
              <w:rPr>
                <w:rFonts w:hint="default" w:ascii="Times New Roman" w:hAnsi="Times New Roman" w:cs="Times New Roman"/>
                <w:color w:val="000000" w:themeColor="text1"/>
                <w:highlight w:val="none"/>
                <w:lang w:val="en-US" w:eastAsia="zh-CN"/>
                <w14:textFill>
                  <w14:solidFill>
                    <w14:schemeClr w14:val="tx1"/>
                  </w14:solidFill>
                </w14:textFill>
              </w:rPr>
              <w:t>21</w:t>
            </w:r>
            <w:r>
              <w:rPr>
                <w:rFonts w:hint="default" w:ascii="Times New Roman" w:hAnsi="Times New Roman" w:cs="Times New Roman"/>
                <w:color w:val="000000" w:themeColor="text1"/>
                <w:highlight w:val="none"/>
                <w14:textFill>
                  <w14:solidFill>
                    <w14:schemeClr w14:val="tx1"/>
                  </w14:solidFill>
                </w14:textFill>
              </w:rPr>
              <w:t>）的技术要求，本次评价采取导则推荐模式。</w:t>
            </w:r>
          </w:p>
          <w:p w14:paraId="184720D8">
            <w:pPr>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w:t>
            </w:r>
            <w:r>
              <w:rPr>
                <w:rFonts w:hint="default" w:ascii="Times New Roman" w:hAnsi="Times New Roman" w:cs="Times New Roman"/>
                <w:color w:val="000000" w:themeColor="text1"/>
                <w:highlight w:val="none"/>
                <w:lang w:val="en-US" w:eastAsia="zh-CN"/>
                <w14:textFill>
                  <w14:solidFill>
                    <w14:schemeClr w14:val="tx1"/>
                  </w14:solidFill>
                </w14:textFill>
              </w:rPr>
              <w:t>室内声源计算公式</w:t>
            </w:r>
          </w:p>
          <w:p w14:paraId="79B786A3">
            <w:pPr>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①计算出某个室内靠近围护结构处的倍频带声压级：</w:t>
            </w:r>
          </w:p>
          <w:p w14:paraId="2C9B1178">
            <w:pPr>
              <w:ind w:firstLine="0" w:firstLineChars="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position w:val="-28"/>
                <w:sz w:val="24"/>
                <w:highlight w:val="none"/>
                <w14:textFill>
                  <w14:solidFill>
                    <w14:schemeClr w14:val="tx1"/>
                  </w14:solidFill>
                </w14:textFill>
              </w:rPr>
              <w:object>
                <v:shape id="_x0000_i1032" o:spt="75" type="#_x0000_t75" style="height:34pt;width:132.95pt;" o:ole="t" filled="f" o:preferrelative="t" stroked="f" coordsize="21600,21600">
                  <v:path/>
                  <v:fill on="f" focussize="0,0"/>
                  <v:stroke on="f"/>
                  <v:imagedata r:id="rId46" o:title=""/>
                  <o:lock v:ext="edit" aspectratio="t"/>
                  <w10:wrap type="none"/>
                  <w10:anchorlock/>
                </v:shape>
                <o:OLEObject Type="Embed" ProgID="Equation.3" ShapeID="_x0000_i1032" DrawAspect="Content" ObjectID="_1468075732" r:id="rId45">
                  <o:LockedField>false</o:LockedField>
                </o:OLEObject>
              </w:object>
            </w:r>
          </w:p>
          <w:p w14:paraId="09D52EDD">
            <w:pPr>
              <w:spacing w:beforeLines="0" w:afterLines="0"/>
              <w:ind w:firstLine="48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式中：L</w:t>
            </w:r>
            <w:r>
              <w:rPr>
                <w:rFonts w:hint="default" w:ascii="Times New Roman" w:hAnsi="Times New Roman" w:cs="Times New Roman"/>
                <w:color w:val="000000" w:themeColor="text1"/>
                <w:sz w:val="24"/>
                <w:highlight w:val="none"/>
                <w:vertAlign w:val="subscript"/>
                <w:lang w:val="en-US" w:eastAsia="zh-CN"/>
                <w14:textFill>
                  <w14:solidFill>
                    <w14:schemeClr w14:val="tx1"/>
                  </w14:solidFill>
                </w14:textFill>
              </w:rPr>
              <w:t>p1</w:t>
            </w:r>
            <w:r>
              <w:rPr>
                <w:rFonts w:hint="default" w:ascii="Times New Roman" w:hAnsi="Times New Roman" w:cs="Times New Roman"/>
                <w:color w:val="000000" w:themeColor="text1"/>
                <w:sz w:val="24"/>
                <w:highlight w:val="none"/>
                <w14:textFill>
                  <w14:solidFill>
                    <w14:schemeClr w14:val="tx1"/>
                  </w14:solidFill>
                </w14:textFill>
              </w:rPr>
              <w:t>——某个室内声源在靠近围护结构处产生的倍频带声压级；</w:t>
            </w:r>
          </w:p>
          <w:p w14:paraId="0F502834">
            <w:pPr>
              <w:spacing w:beforeLines="0" w:afterLines="0"/>
              <w:ind w:firstLine="1200" w:firstLineChars="5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L</w:t>
            </w:r>
            <w:r>
              <w:rPr>
                <w:rFonts w:hint="default" w:ascii="Times New Roman" w:hAnsi="Times New Roman" w:cs="Times New Roman"/>
                <w:color w:val="000000" w:themeColor="text1"/>
                <w:sz w:val="24"/>
                <w:highlight w:val="none"/>
                <w:vertAlign w:val="subscript"/>
                <w:lang w:val="en-US" w:eastAsia="zh-CN"/>
                <w14:textFill>
                  <w14:solidFill>
                    <w14:schemeClr w14:val="tx1"/>
                  </w14:solidFill>
                </w14:textFill>
              </w:rPr>
              <w:t>w</w:t>
            </w:r>
            <w:r>
              <w:rPr>
                <w:rFonts w:hint="default" w:ascii="Times New Roman" w:hAnsi="Times New Roman" w:cs="Times New Roman"/>
                <w:color w:val="000000" w:themeColor="text1"/>
                <w:sz w:val="24"/>
                <w:highlight w:val="none"/>
                <w14:textFill>
                  <w14:solidFill>
                    <w14:schemeClr w14:val="tx1"/>
                  </w14:solidFill>
                </w14:textFill>
              </w:rPr>
              <w:t>——某个声源的倍频带声功率级；</w:t>
            </w:r>
          </w:p>
          <w:p w14:paraId="10FD49B3">
            <w:pPr>
              <w:spacing w:beforeLines="0" w:afterLines="0"/>
              <w:ind w:firstLine="1200" w:firstLineChars="5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r</w:t>
            </w:r>
            <w:r>
              <w:rPr>
                <w:rFonts w:hint="default" w:ascii="Times New Roman" w:hAnsi="Times New Roman" w:cs="Times New Roman"/>
                <w:color w:val="000000" w:themeColor="text1"/>
                <w:sz w:val="24"/>
                <w:highlight w:val="none"/>
                <w14:textFill>
                  <w14:solidFill>
                    <w14:schemeClr w14:val="tx1"/>
                  </w14:solidFill>
                </w14:textFill>
              </w:rPr>
              <w:t>——室内某个声源与靠近围护结构处的距离；</w:t>
            </w:r>
          </w:p>
          <w:p w14:paraId="615D1568">
            <w:pPr>
              <w:spacing w:beforeLines="0" w:afterLines="0"/>
              <w:ind w:firstLine="1200" w:firstLineChars="5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R</w:t>
            </w:r>
            <w:r>
              <w:rPr>
                <w:rFonts w:hint="default" w:ascii="Times New Roman" w:hAnsi="Times New Roman" w:cs="Times New Roman"/>
                <w:color w:val="000000" w:themeColor="text1"/>
                <w:sz w:val="24"/>
                <w:highlight w:val="none"/>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房间常数</w:t>
            </w:r>
            <w:r>
              <w:rPr>
                <w:rFonts w:hint="default" w:ascii="Times New Roman" w:hAnsi="Times New Roman" w:cs="Times New Roman"/>
                <w:color w:val="000000" w:themeColor="text1"/>
                <w:sz w:val="24"/>
                <w:highlight w:val="none"/>
                <w14:textFill>
                  <w14:solidFill>
                    <w14:schemeClr w14:val="tx1"/>
                  </w14:solidFill>
                </w14:textFill>
              </w:rPr>
              <w:t>；</w:t>
            </w:r>
          </w:p>
          <w:p w14:paraId="57830F20">
            <w:pPr>
              <w:spacing w:beforeLines="0" w:afterLines="0"/>
              <w:ind w:firstLine="1200" w:firstLineChars="5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Q</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指向性因素</w:t>
            </w:r>
            <w:r>
              <w:rPr>
                <w:rFonts w:hint="default" w:ascii="Times New Roman" w:hAnsi="Times New Roman" w:cs="Times New Roman"/>
                <w:color w:val="000000" w:themeColor="text1"/>
                <w:sz w:val="24"/>
                <w:highlight w:val="none"/>
                <w14:textFill>
                  <w14:solidFill>
                    <w14:schemeClr w14:val="tx1"/>
                  </w14:solidFill>
                </w14:textFill>
              </w:rPr>
              <w:t>。</w:t>
            </w:r>
          </w:p>
          <w:p w14:paraId="7BA7F263">
            <w:pPr>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②计算出所有室内声源在靠近围护结构处产生的总倍频带声压级：</w:t>
            </w:r>
          </w:p>
          <w:p w14:paraId="3A30F405">
            <w:pPr>
              <w:bidi w:val="0"/>
              <w:ind w:left="0" w:leftChars="0" w:firstLine="0" w:firstLineChars="0"/>
              <w:jc w:val="center"/>
              <w:rPr>
                <w:rFonts w:hint="default" w:ascii="Times New Roman" w:hAnsi="Times New Roman" w:cs="Times New Roman"/>
                <w:color w:val="000000" w:themeColor="text1"/>
                <w:position w:val="-32"/>
                <w:sz w:val="24"/>
                <w:highlight w:val="none"/>
                <w14:textFill>
                  <w14:solidFill>
                    <w14:schemeClr w14:val="tx1"/>
                  </w14:solidFill>
                </w14:textFill>
              </w:rPr>
            </w:pPr>
            <w:r>
              <w:rPr>
                <w:rFonts w:hint="default" w:ascii="Times New Roman" w:hAnsi="Times New Roman" w:cs="Times New Roman"/>
                <w:color w:val="000000" w:themeColor="text1"/>
                <w:position w:val="-32"/>
                <w:sz w:val="24"/>
                <w:highlight w:val="none"/>
                <w14:textFill>
                  <w14:solidFill>
                    <w14:schemeClr w14:val="tx1"/>
                  </w14:solidFill>
                </w14:textFill>
              </w:rPr>
              <w:object>
                <v:shape id="_x0000_i1033" o:spt="75" type="#_x0000_t75" style="height:38pt;width:131pt;" o:ole="t" filled="f" o:preferrelative="t" stroked="f" coordsize="21600,21600">
                  <v:path/>
                  <v:fill on="f" focussize="0,0"/>
                  <v:stroke on="f"/>
                  <v:imagedata r:id="rId48" o:title=""/>
                  <o:lock v:ext="edit" aspectratio="t"/>
                  <w10:wrap type="none"/>
                  <w10:anchorlock/>
                </v:shape>
                <o:OLEObject Type="Embed" ProgID="Equation.3" ShapeID="_x0000_i1033" DrawAspect="Content" ObjectID="_1468075733" r:id="rId47">
                  <o:LockedField>false</o:LockedField>
                </o:OLEObject>
              </w:object>
            </w:r>
          </w:p>
          <w:p w14:paraId="2867AF60">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式中：</w:t>
            </w:r>
            <w:r>
              <w:rPr>
                <w:rFonts w:hint="eastAsia"/>
                <w:color w:val="000000" w:themeColor="text1"/>
                <w:highlight w:val="none"/>
                <w:lang w:val="en-US" w:eastAsia="zh-CN"/>
                <w14:textFill>
                  <w14:solidFill>
                    <w14:schemeClr w14:val="tx1"/>
                  </w14:solidFill>
                </w14:textFill>
              </w:rPr>
              <w:t>Lpli（T）</w:t>
            </w:r>
            <w:r>
              <w:rPr>
                <w:rFonts w:hint="default"/>
                <w:color w:val="000000" w:themeColor="text1"/>
                <w:highlight w:val="none"/>
                <w:lang w:val="en-US" w:eastAsia="zh-CN"/>
                <w14:textFill>
                  <w14:solidFill>
                    <w14:schemeClr w14:val="tx1"/>
                  </w14:solidFill>
                </w14:textFill>
              </w:rPr>
              <w:t>——靠近</w:t>
            </w:r>
            <w:r>
              <w:rPr>
                <w:rFonts w:hint="eastAsia"/>
                <w:color w:val="000000" w:themeColor="text1"/>
                <w:highlight w:val="none"/>
                <w:lang w:val="en-US" w:eastAsia="zh-CN"/>
                <w14:textFill>
                  <w14:solidFill>
                    <w14:schemeClr w14:val="tx1"/>
                  </w14:solidFill>
                </w14:textFill>
              </w:rPr>
              <w:t>围护</w:t>
            </w:r>
            <w:r>
              <w:rPr>
                <w:rFonts w:hint="default"/>
                <w:color w:val="000000" w:themeColor="text1"/>
                <w:highlight w:val="none"/>
                <w:lang w:val="en-US" w:eastAsia="zh-CN"/>
                <w14:textFill>
                  <w14:solidFill>
                    <w14:schemeClr w14:val="tx1"/>
                  </w14:solidFill>
                </w14:textFill>
              </w:rPr>
              <w:t>结构处室内N个声源i倍频带的叠加声压级，dB；</w:t>
            </w:r>
          </w:p>
          <w:p w14:paraId="6D38693D">
            <w:pPr>
              <w:keepNext w:val="0"/>
              <w:keepLines w:val="0"/>
              <w:pageBreakBefore w:val="0"/>
              <w:widowControl w:val="0"/>
              <w:kinsoku/>
              <w:wordWrap/>
              <w:overflowPunct/>
              <w:topLinePunct w:val="0"/>
              <w:autoSpaceDE/>
              <w:autoSpaceDN/>
              <w:bidi w:val="0"/>
              <w:adjustRightInd/>
              <w:snapToGrid/>
              <w:ind w:firstLine="1200" w:firstLineChars="500"/>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Lp</w:t>
            </w:r>
            <w:r>
              <w:rPr>
                <w:rFonts w:hint="eastAsia"/>
                <w:color w:val="000000" w:themeColor="text1"/>
                <w:highlight w:val="none"/>
                <w:lang w:val="en-US" w:eastAsia="zh-CN"/>
                <w14:textFill>
                  <w14:solidFill>
                    <w14:schemeClr w14:val="tx1"/>
                  </w14:solidFill>
                </w14:textFill>
              </w:rPr>
              <w:t>l</w:t>
            </w:r>
            <w:r>
              <w:rPr>
                <w:rFonts w:hint="default"/>
                <w:color w:val="000000" w:themeColor="text1"/>
                <w:highlight w:val="none"/>
                <w:lang w:val="en-US" w:eastAsia="zh-CN"/>
                <w14:textFill>
                  <w14:solidFill>
                    <w14:schemeClr w14:val="tx1"/>
                  </w14:solidFill>
                </w14:textFill>
              </w:rPr>
              <w:t>ij——室内j声源i倍频带的声压级，dB；</w:t>
            </w:r>
          </w:p>
          <w:p w14:paraId="106B42E2">
            <w:pPr>
              <w:keepNext w:val="0"/>
              <w:keepLines w:val="0"/>
              <w:pageBreakBefore w:val="0"/>
              <w:widowControl w:val="0"/>
              <w:kinsoku/>
              <w:wordWrap/>
              <w:overflowPunct/>
              <w:topLinePunct w:val="0"/>
              <w:autoSpaceDE/>
              <w:autoSpaceDN/>
              <w:bidi w:val="0"/>
              <w:adjustRightInd/>
              <w:snapToGrid/>
              <w:ind w:firstLine="1200" w:firstLineChars="500"/>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N——室内声源总数。</w:t>
            </w:r>
          </w:p>
          <w:p w14:paraId="3B2DD25A">
            <w:pPr>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室外声源传播衰减公式</w:t>
            </w:r>
          </w:p>
          <w:p w14:paraId="7BB491EF">
            <w:pPr>
              <w:keepNext w:val="0"/>
              <w:keepLines w:val="0"/>
              <w:widowControl/>
              <w:suppressLineNumbers w:val="0"/>
              <w:jc w:val="lef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计算某个声源在预测点的倍频带声压级：</w:t>
            </w:r>
          </w:p>
          <w:p w14:paraId="78517649">
            <w:pPr>
              <w:spacing w:beforeLines="0" w:afterLines="0"/>
              <w:ind w:left="0" w:leftChars="0" w:firstLine="0" w:firstLineChars="0"/>
              <w:jc w:val="center"/>
              <w:rPr>
                <w:rFonts w:hint="default" w:ascii="Times New Roman" w:hAnsi="Times New Roman" w:cs="Times New Roman"/>
                <w:color w:val="000000" w:themeColor="text1"/>
                <w:position w:val="-32"/>
                <w:sz w:val="24"/>
                <w:highlight w:val="none"/>
                <w14:textFill>
                  <w14:solidFill>
                    <w14:schemeClr w14:val="tx1"/>
                  </w14:solidFill>
                </w14:textFill>
              </w:rPr>
            </w:pPr>
            <w:r>
              <w:rPr>
                <w:rFonts w:hint="default" w:ascii="Times New Roman" w:hAnsi="Times New Roman" w:cs="Times New Roman"/>
                <w:color w:val="000000" w:themeColor="text1"/>
                <w:position w:val="-32"/>
                <w:sz w:val="24"/>
                <w:highlight w:val="none"/>
                <w14:textFill>
                  <w14:solidFill>
                    <w14:schemeClr w14:val="tx1"/>
                  </w14:solidFill>
                </w14:textFill>
              </w:rPr>
              <w:object>
                <v:shape id="_x0000_i1034" o:spt="75" type="#_x0000_t75" style="height:38pt;width:153pt;" o:ole="t" filled="f" o:preferrelative="t" stroked="f" coordsize="21600,21600">
                  <v:path/>
                  <v:fill on="f" focussize="0,0"/>
                  <v:stroke on="f"/>
                  <v:imagedata r:id="rId50" o:title=""/>
                  <o:lock v:ext="edit" aspectratio="t"/>
                  <w10:wrap type="none"/>
                  <w10:anchorlock/>
                </v:shape>
                <o:OLEObject Type="Embed" ProgID="Equation.3" ShapeID="_x0000_i1034" DrawAspect="Content" ObjectID="_1468075734" r:id="rId49">
                  <o:LockedField>false</o:LockedField>
                </o:OLEObject>
              </w:object>
            </w:r>
          </w:p>
          <w:p w14:paraId="2659D4B6">
            <w:pPr>
              <w:spacing w:beforeLines="0" w:afterLines="0"/>
              <w:ind w:firstLine="48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式中：L</w:t>
            </w:r>
            <w:r>
              <w:rPr>
                <w:rFonts w:hint="default" w:ascii="Times New Roman" w:hAnsi="Times New Roman" w:cs="Times New Roman"/>
                <w:color w:val="000000" w:themeColor="text1"/>
                <w:sz w:val="24"/>
                <w:highlight w:val="none"/>
                <w:vertAlign w:val="subscript"/>
                <w:lang w:val="en-US" w:eastAsia="zh-CN"/>
                <w14:textFill>
                  <w14:solidFill>
                    <w14:schemeClr w14:val="tx1"/>
                  </w14:solidFill>
                </w14:textFill>
              </w:rPr>
              <w:t>p</w:t>
            </w:r>
            <w:r>
              <w:rPr>
                <w:rFonts w:hint="default" w:ascii="Times New Roman" w:hAnsi="Times New Roman" w:cs="Times New Roman"/>
                <w:color w:val="000000" w:themeColor="text1"/>
                <w:sz w:val="24"/>
                <w:highlight w:val="none"/>
                <w:vertAlign w:val="baseline"/>
                <w:lang w:val="en-US" w:eastAsia="zh-CN"/>
                <w14:textFill>
                  <w14:solidFill>
                    <w14:schemeClr w14:val="tx1"/>
                  </w14:solidFill>
                </w14:textFill>
              </w:rPr>
              <w:t>（r）</w:t>
            </w:r>
            <w:r>
              <w:rPr>
                <w:rFonts w:hint="default" w:ascii="Times New Roman" w:hAnsi="Times New Roman" w:cs="Times New Roman"/>
                <w:color w:val="000000" w:themeColor="text1"/>
                <w:sz w:val="24"/>
                <w:highlight w:val="none"/>
                <w14:textFill>
                  <w14:solidFill>
                    <w14:schemeClr w14:val="tx1"/>
                  </w14:solidFill>
                </w14:textFill>
              </w:rPr>
              <w:t>——点声源在预测点产生的倍频带声压级；</w:t>
            </w:r>
          </w:p>
          <w:p w14:paraId="59B9903F">
            <w:pPr>
              <w:spacing w:beforeLines="0" w:afterLines="0"/>
              <w:ind w:firstLine="1200" w:firstLineChars="5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L</w:t>
            </w:r>
            <w:r>
              <w:rPr>
                <w:rFonts w:hint="default" w:ascii="Times New Roman" w:hAnsi="Times New Roman" w:cs="Times New Roman"/>
                <w:color w:val="000000" w:themeColor="text1"/>
                <w:sz w:val="24"/>
                <w:highlight w:val="none"/>
                <w:vertAlign w:val="subscript"/>
                <w:lang w:val="en-US" w:eastAsia="zh-CN"/>
                <w14:textFill>
                  <w14:solidFill>
                    <w14:schemeClr w14:val="tx1"/>
                  </w14:solidFill>
                </w14:textFill>
              </w:rPr>
              <w:t>p</w:t>
            </w:r>
            <w:r>
              <w:rPr>
                <w:rFonts w:hint="default" w:ascii="Times New Roman" w:hAnsi="Times New Roman" w:cs="Times New Roman"/>
                <w:color w:val="000000" w:themeColor="text1"/>
                <w:sz w:val="24"/>
                <w:highlight w:val="none"/>
                <w:vertAlign w:val="baseline"/>
                <w:lang w:val="en-US" w:eastAsia="zh-CN"/>
                <w14:textFill>
                  <w14:solidFill>
                    <w14:schemeClr w14:val="tx1"/>
                  </w14:solidFill>
                </w14:textFill>
              </w:rPr>
              <w:t>（r</w:t>
            </w:r>
            <w:r>
              <w:rPr>
                <w:rFonts w:hint="default" w:ascii="Times New Roman" w:hAnsi="Times New Roman" w:cs="Times New Roman"/>
                <w:color w:val="000000" w:themeColor="text1"/>
                <w:sz w:val="24"/>
                <w:highlight w:val="none"/>
                <w:vertAlign w:val="subscript"/>
                <w:lang w:val="en-US" w:eastAsia="zh-CN"/>
                <w14:textFill>
                  <w14:solidFill>
                    <w14:schemeClr w14:val="tx1"/>
                  </w14:solidFill>
                </w14:textFill>
              </w:rPr>
              <w:t>0</w:t>
            </w:r>
            <w:r>
              <w:rPr>
                <w:rFonts w:hint="default" w:ascii="Times New Roman" w:hAnsi="Times New Roman" w:cs="Times New Roman"/>
                <w:color w:val="000000" w:themeColor="text1"/>
                <w:sz w:val="24"/>
                <w:highlight w:val="none"/>
                <w:vertAlign w:val="baseline"/>
                <w:lang w:val="en-US"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——参考位置r</w:t>
            </w:r>
            <w:r>
              <w:rPr>
                <w:rFonts w:hint="default" w:ascii="Times New Roman" w:hAnsi="Times New Roman" w:cs="Times New Roman"/>
                <w:color w:val="000000" w:themeColor="text1"/>
                <w:sz w:val="24"/>
                <w:highlight w:val="none"/>
                <w:vertAlign w:val="subscript"/>
                <w14:textFill>
                  <w14:solidFill>
                    <w14:schemeClr w14:val="tx1"/>
                  </w14:solidFill>
                </w14:textFill>
              </w:rPr>
              <w:t>0</w:t>
            </w:r>
            <w:r>
              <w:rPr>
                <w:rFonts w:hint="default" w:ascii="Times New Roman" w:hAnsi="Times New Roman" w:cs="Times New Roman"/>
                <w:color w:val="000000" w:themeColor="text1"/>
                <w:sz w:val="24"/>
                <w:highlight w:val="none"/>
                <w14:textFill>
                  <w14:solidFill>
                    <w14:schemeClr w14:val="tx1"/>
                  </w14:solidFill>
                </w14:textFill>
              </w:rPr>
              <w:t>处的倍频带声压级；</w:t>
            </w:r>
          </w:p>
          <w:p w14:paraId="0C4A51F0">
            <w:pPr>
              <w:spacing w:beforeLines="0" w:afterLines="0"/>
              <w:ind w:firstLine="1200" w:firstLineChars="5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r</w:t>
            </w:r>
            <w:r>
              <w:rPr>
                <w:rFonts w:hint="default" w:ascii="Times New Roman" w:hAnsi="Times New Roman" w:cs="Times New Roman"/>
                <w:color w:val="000000" w:themeColor="text1"/>
                <w:sz w:val="24"/>
                <w:highlight w:val="none"/>
                <w14:textFill>
                  <w14:solidFill>
                    <w14:schemeClr w14:val="tx1"/>
                  </w14:solidFill>
                </w14:textFill>
              </w:rPr>
              <w:t>——预测点距声源的距离，m；</w:t>
            </w:r>
          </w:p>
          <w:p w14:paraId="6A1230E9">
            <w:pPr>
              <w:spacing w:beforeLines="0" w:afterLines="0"/>
              <w:ind w:firstLine="1200" w:firstLineChars="5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r</w:t>
            </w:r>
            <w:r>
              <w:rPr>
                <w:rFonts w:hint="default" w:ascii="Times New Roman" w:hAnsi="Times New Roman" w:cs="Times New Roman"/>
                <w:color w:val="000000" w:themeColor="text1"/>
                <w:sz w:val="24"/>
                <w:highlight w:val="none"/>
                <w:vertAlign w:val="subscript"/>
                <w:lang w:val="en-US" w:eastAsia="zh-CN"/>
                <w14:textFill>
                  <w14:solidFill>
                    <w14:schemeClr w14:val="tx1"/>
                  </w14:solidFill>
                </w14:textFill>
              </w:rPr>
              <w:t>0</w:t>
            </w:r>
            <w:r>
              <w:rPr>
                <w:rFonts w:hint="default" w:ascii="Times New Roman" w:hAnsi="Times New Roman" w:cs="Times New Roman"/>
                <w:color w:val="000000" w:themeColor="text1"/>
                <w:sz w:val="24"/>
                <w:highlight w:val="none"/>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参考位置距声源的距离，m</w:t>
            </w:r>
            <w:r>
              <w:rPr>
                <w:rFonts w:hint="default" w:ascii="Times New Roman" w:hAnsi="Times New Roman" w:cs="Times New Roman"/>
                <w:color w:val="000000" w:themeColor="text1"/>
                <w:sz w:val="24"/>
                <w:highlight w:val="none"/>
                <w14:textFill>
                  <w14:solidFill>
                    <w14:schemeClr w14:val="tx1"/>
                  </w14:solidFill>
                </w14:textFill>
              </w:rPr>
              <w:t>；</w:t>
            </w:r>
          </w:p>
          <w:p w14:paraId="39046CBC">
            <w:pPr>
              <w:spacing w:beforeLines="0" w:afterLines="0"/>
              <w:ind w:firstLine="1200" w:firstLineChars="5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ΔL</w:t>
            </w:r>
            <w:r>
              <w:rPr>
                <w:rFonts w:hint="default" w:ascii="Times New Roman" w:hAnsi="Times New Roman" w:cs="Times New Roman"/>
                <w:color w:val="000000" w:themeColor="text1"/>
                <w:sz w:val="24"/>
                <w:highlight w:val="none"/>
                <w:vertAlign w:val="subscript"/>
                <w:lang w:val="en-US" w:eastAsia="zh-CN"/>
                <w14:textFill>
                  <w14:solidFill>
                    <w14:schemeClr w14:val="tx1"/>
                  </w14:solidFill>
                </w14:textFill>
              </w:rPr>
              <w:t>p</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各种因素引起的衰减量</w:t>
            </w:r>
            <w:r>
              <w:rPr>
                <w:rFonts w:hint="default" w:ascii="Times New Roman" w:hAnsi="Times New Roman" w:cs="Times New Roman"/>
                <w:color w:val="000000" w:themeColor="text1"/>
                <w:sz w:val="24"/>
                <w:highlight w:val="none"/>
                <w14:textFill>
                  <w14:solidFill>
                    <w14:schemeClr w14:val="tx1"/>
                  </w14:solidFill>
                </w14:textFill>
              </w:rPr>
              <w:t>。</w:t>
            </w:r>
          </w:p>
          <w:p w14:paraId="24278D3B">
            <w:pPr>
              <w:spacing w:beforeLines="0" w:afterLines="0"/>
              <w:ind w:firstLine="48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声源叠加贡献值公式</w:t>
            </w:r>
          </w:p>
          <w:p w14:paraId="69B8B1F6">
            <w:pPr>
              <w:spacing w:beforeLines="0" w:afterLines="0"/>
              <w:ind w:left="0" w:leftChars="0" w:firstLine="0" w:firstLineChars="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position w:val="-32"/>
                <w:sz w:val="24"/>
                <w:highlight w:val="none"/>
                <w14:textFill>
                  <w14:solidFill>
                    <w14:schemeClr w14:val="tx1"/>
                  </w14:solidFill>
                </w14:textFill>
              </w:rPr>
              <w:object>
                <v:shape id="_x0000_i1035" o:spt="75" type="#_x0000_t75" style="height:38pt;width:132pt;" o:ole="t" filled="f" o:preferrelative="t" stroked="f" coordsize="21600,21600">
                  <v:path/>
                  <v:fill on="f" focussize="0,0"/>
                  <v:stroke on="f"/>
                  <v:imagedata r:id="rId52" o:title=""/>
                  <o:lock v:ext="edit" aspectratio="t"/>
                  <w10:wrap type="none"/>
                  <w10:anchorlock/>
                </v:shape>
                <o:OLEObject Type="Embed" ProgID="Equation.3" ShapeID="_x0000_i1035" DrawAspect="Content" ObjectID="_1468075735" r:id="rId51">
                  <o:LockedField>false</o:LockedField>
                </o:OLEObject>
              </w:object>
            </w:r>
          </w:p>
          <w:p w14:paraId="1A7BF561">
            <w:pPr>
              <w:spacing w:beforeLines="0" w:afterLines="0"/>
              <w:ind w:firstLine="720" w:firstLineChars="3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式中：L</w:t>
            </w:r>
            <w:r>
              <w:rPr>
                <w:rFonts w:hint="default" w:ascii="Times New Roman" w:hAnsi="Times New Roman" w:cs="Times New Roman"/>
                <w:color w:val="000000" w:themeColor="text1"/>
                <w:sz w:val="24"/>
                <w:highlight w:val="none"/>
                <w:vertAlign w:val="subscript"/>
                <w14:textFill>
                  <w14:solidFill>
                    <w14:schemeClr w14:val="tx1"/>
                  </w14:solidFill>
                </w14:textFill>
              </w:rPr>
              <w:t>eq</w:t>
            </w:r>
            <w:r>
              <w:rPr>
                <w:rFonts w:hint="default" w:ascii="Times New Roman" w:hAnsi="Times New Roman" w:cs="Times New Roman"/>
                <w:color w:val="000000" w:themeColor="text1"/>
                <w:sz w:val="24"/>
                <w:highlight w:val="none"/>
                <w:vertAlign w:val="subscript"/>
                <w:lang w:val="en-US" w:eastAsia="zh-CN"/>
                <w14:textFill>
                  <w14:solidFill>
                    <w14:schemeClr w14:val="tx1"/>
                  </w14:solidFill>
                </w14:textFill>
              </w:rPr>
              <w:t>g</w:t>
            </w:r>
            <w:r>
              <w:rPr>
                <w:rFonts w:hint="default" w:ascii="Times New Roman" w:hAnsi="Times New Roman" w:cs="Times New Roman"/>
                <w:color w:val="000000" w:themeColor="text1"/>
                <w:sz w:val="24"/>
                <w:highlight w:val="none"/>
                <w14:textFill>
                  <w14:solidFill>
                    <w14:schemeClr w14:val="tx1"/>
                  </w14:solidFill>
                </w14:textFill>
              </w:rPr>
              <w:t>——建设项目声源在预测点的等声级贡献值，dB（A）；</w:t>
            </w:r>
          </w:p>
          <w:p w14:paraId="27A84F11">
            <w:pPr>
              <w:spacing w:beforeLines="0" w:afterLines="0"/>
              <w:ind w:firstLine="1440" w:firstLineChars="6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L</w:t>
            </w:r>
            <w:r>
              <w:rPr>
                <w:rFonts w:hint="default" w:ascii="Times New Roman" w:hAnsi="Times New Roman" w:cs="Times New Roman"/>
                <w:color w:val="000000" w:themeColor="text1"/>
                <w:sz w:val="24"/>
                <w:highlight w:val="none"/>
                <w:vertAlign w:val="subscript"/>
                <w:lang w:val="en-US" w:eastAsia="zh-CN"/>
                <w14:textFill>
                  <w14:solidFill>
                    <w14:schemeClr w14:val="tx1"/>
                  </w14:solidFill>
                </w14:textFill>
              </w:rPr>
              <w:t>Ai</w:t>
            </w:r>
            <w:r>
              <w:rPr>
                <w:rFonts w:hint="default" w:ascii="Times New Roman" w:hAnsi="Times New Roman" w:cs="Times New Roman"/>
                <w:color w:val="000000" w:themeColor="text1"/>
                <w:sz w:val="24"/>
                <w:highlight w:val="none"/>
                <w14:textFill>
                  <w14:solidFill>
                    <w14:schemeClr w14:val="tx1"/>
                  </w14:solidFill>
                </w14:textFill>
              </w:rPr>
              <w:t>——i 声源在预测点产生的A声级，dB（A）；</w:t>
            </w:r>
          </w:p>
          <w:p w14:paraId="7D4EBCB9">
            <w:pPr>
              <w:spacing w:beforeLines="0" w:afterLines="0"/>
              <w:ind w:firstLine="1440" w:firstLineChars="600"/>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T</w:t>
            </w:r>
            <w:r>
              <w:rPr>
                <w:rFonts w:hint="default" w:ascii="Times New Roman" w:hAnsi="Times New Roman" w:cs="Times New Roman"/>
                <w:color w:val="000000" w:themeColor="text1"/>
                <w:sz w:val="24"/>
                <w:highlight w:val="none"/>
                <w14:textFill>
                  <w14:solidFill>
                    <w14:schemeClr w14:val="tx1"/>
                  </w14:solidFill>
                </w14:textFill>
              </w:rPr>
              <w:t>——预测计算的时间段，</w:t>
            </w:r>
            <w:r>
              <w:rPr>
                <w:rFonts w:hint="default" w:ascii="Times New Roman" w:hAnsi="Times New Roman" w:cs="Times New Roman"/>
                <w:color w:val="000000" w:themeColor="text1"/>
                <w:sz w:val="24"/>
                <w:highlight w:val="none"/>
                <w:lang w:val="en-US" w:eastAsia="zh-CN"/>
                <w14:textFill>
                  <w14:solidFill>
                    <w14:schemeClr w14:val="tx1"/>
                  </w14:solidFill>
                </w14:textFill>
              </w:rPr>
              <w:t>s；</w:t>
            </w:r>
          </w:p>
          <w:p w14:paraId="34B4898D">
            <w:pPr>
              <w:spacing w:beforeLines="0" w:afterLines="0"/>
              <w:ind w:firstLine="1440" w:firstLineChars="6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t</w:t>
            </w:r>
            <w:r>
              <w:rPr>
                <w:rFonts w:hint="default" w:ascii="Times New Roman" w:hAnsi="Times New Roman" w:cs="Times New Roman"/>
                <w:color w:val="000000" w:themeColor="text1"/>
                <w:sz w:val="24"/>
                <w:highlight w:val="none"/>
                <w:vertAlign w:val="subscript"/>
                <w:lang w:val="en-US" w:eastAsia="zh-CN"/>
                <w14:textFill>
                  <w14:solidFill>
                    <w14:schemeClr w14:val="tx1"/>
                  </w14:solidFill>
                </w14:textFill>
              </w:rPr>
              <w:t>i</w:t>
            </w:r>
            <w:r>
              <w:rPr>
                <w:rFonts w:hint="default" w:ascii="Times New Roman" w:hAnsi="Times New Roman" w:cs="Times New Roman"/>
                <w:color w:val="000000" w:themeColor="text1"/>
                <w:sz w:val="24"/>
                <w:highlight w:val="none"/>
                <w:lang w:val="en-US" w:eastAsia="zh-CN"/>
                <w14:textFill>
                  <w14:solidFill>
                    <w14:schemeClr w14:val="tx1"/>
                  </w14:solidFill>
                </w14:textFill>
              </w:rPr>
              <w:t>——i声源在T时段内的运行时间，s</w:t>
            </w:r>
            <w:r>
              <w:rPr>
                <w:rFonts w:hint="default" w:ascii="Times New Roman" w:hAnsi="Times New Roman" w:cs="Times New Roman"/>
                <w:color w:val="000000" w:themeColor="text1"/>
                <w:sz w:val="24"/>
                <w:highlight w:val="none"/>
                <w14:textFill>
                  <w14:solidFill>
                    <w14:schemeClr w14:val="tx1"/>
                  </w14:solidFill>
                </w14:textFill>
              </w:rPr>
              <w:t>。</w:t>
            </w:r>
          </w:p>
          <w:p w14:paraId="005B436B">
            <w:pPr>
              <w:pStyle w:val="3"/>
              <w:numPr>
                <w:ilvl w:val="2"/>
                <w:numId w:val="4"/>
              </w:numPr>
              <w:bidi w:val="0"/>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噪声预测</w:t>
            </w:r>
          </w:p>
          <w:p w14:paraId="20423094">
            <w:pPr>
              <w:rPr>
                <w:rFonts w:hint="default" w:ascii="Times New Roman" w:hAnsi="Times New Roman" w:cs="Times New Roman"/>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项目厂界外50m内无声敏感目标，</w:t>
            </w:r>
            <w:r>
              <w:rPr>
                <w:rFonts w:hint="eastAsia"/>
                <w:color w:val="000000" w:themeColor="text1"/>
                <w:highlight w:val="none"/>
                <w14:textFill>
                  <w14:solidFill>
                    <w14:schemeClr w14:val="tx1"/>
                  </w14:solidFill>
                </w14:textFill>
              </w:rPr>
              <w:t>因此项目厂区均只对厂界噪声影响值进行预测</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本项目以租赁合同确定的拥有使用权的场所和产生噪声的固定设备的厂界作为本项目厂界线进行噪声贡献值预测（综合楼的租赁面积作为办公、宿舍和检验室，噪声贡献值忽略不计），噪声贡献值预测点详见</w:t>
            </w:r>
            <w:r>
              <w:rPr>
                <w:rFonts w:hint="eastAsia"/>
                <w:color w:val="000000" w:themeColor="text1"/>
                <w:highlight w:val="none"/>
                <w:lang w:val="en-US" w:eastAsia="zh-CN"/>
                <w14:textFill>
                  <w14:solidFill>
                    <w14:schemeClr w14:val="tx1"/>
                  </w14:solidFill>
                </w14:textFill>
              </w:rPr>
              <w:fldChar w:fldCharType="begin"/>
            </w:r>
            <w:r>
              <w:rPr>
                <w:rFonts w:hint="eastAsia"/>
                <w:color w:val="000000" w:themeColor="text1"/>
                <w:highlight w:val="none"/>
                <w:lang w:val="en-US" w:eastAsia="zh-CN"/>
                <w14:textFill>
                  <w14:solidFill>
                    <w14:schemeClr w14:val="tx1"/>
                  </w14:solidFill>
                </w14:textFill>
              </w:rPr>
              <w:instrText xml:space="preserve"> REF _Ref19952 \n \h </w:instrText>
            </w:r>
            <w:r>
              <w:rPr>
                <w:rFonts w:hint="eastAsia"/>
                <w:color w:val="000000" w:themeColor="text1"/>
                <w:highlight w:val="none"/>
                <w:lang w:val="en-US" w:eastAsia="zh-CN"/>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图4.3-1</w:t>
            </w:r>
            <w:r>
              <w:rPr>
                <w:rFonts w:hint="eastAsia"/>
                <w:color w:val="000000" w:themeColor="text1"/>
                <w:highlight w:val="none"/>
                <w:lang w:val="en-US" w:eastAsia="zh-CN"/>
                <w14:textFill>
                  <w14:solidFill>
                    <w14:schemeClr w14:val="tx1"/>
                  </w14:solidFill>
                </w14:textFill>
              </w:rPr>
              <w:fldChar w:fldCharType="end"/>
            </w:r>
            <w:r>
              <w:rPr>
                <w:color w:val="000000" w:themeColor="text1"/>
                <w:highlight w:val="none"/>
                <w14:textFill>
                  <w14:solidFill>
                    <w14:schemeClr w14:val="tx1"/>
                  </w14:solidFill>
                </w14:textFill>
              </w:rPr>
              <w:t>。在考虑采取设备隔声和距离衰减的情况下，计算本项目</w:t>
            </w:r>
            <w:r>
              <w:rPr>
                <w:rFonts w:hint="eastAsia"/>
                <w:color w:val="000000" w:themeColor="text1"/>
                <w:highlight w:val="none"/>
                <w14:textFill>
                  <w14:solidFill>
                    <w14:schemeClr w14:val="tx1"/>
                  </w14:solidFill>
                </w14:textFill>
              </w:rPr>
              <w:t>新增</w:t>
            </w:r>
            <w:r>
              <w:rPr>
                <w:color w:val="000000" w:themeColor="text1"/>
                <w:highlight w:val="none"/>
                <w14:textFill>
                  <w14:solidFill>
                    <w14:schemeClr w14:val="tx1"/>
                  </w14:solidFill>
                </w14:textFill>
              </w:rPr>
              <w:t>固定设备噪声对</w:t>
            </w:r>
            <w:r>
              <w:rPr>
                <w:rFonts w:hint="eastAsia"/>
                <w:color w:val="000000" w:themeColor="text1"/>
                <w:highlight w:val="none"/>
                <w14:textFill>
                  <w14:solidFill>
                    <w14:schemeClr w14:val="tx1"/>
                  </w14:solidFill>
                </w14:textFill>
              </w:rPr>
              <w:t>厂</w:t>
            </w:r>
            <w:r>
              <w:rPr>
                <w:color w:val="000000" w:themeColor="text1"/>
                <w:highlight w:val="none"/>
                <w14:textFill>
                  <w14:solidFill>
                    <w14:schemeClr w14:val="tx1"/>
                  </w14:solidFill>
                </w14:textFill>
              </w:rPr>
              <w:t>界影响贡献值，</w:t>
            </w:r>
            <w:r>
              <w:rPr>
                <w:rFonts w:hint="default" w:ascii="Times New Roman" w:hAnsi="Times New Roman" w:cs="Times New Roman"/>
                <w:color w:val="000000" w:themeColor="text1"/>
                <w:highlight w:val="none"/>
                <w:lang w:val="en-US" w:eastAsia="zh-CN"/>
                <w14:textFill>
                  <w14:solidFill>
                    <w14:schemeClr w14:val="tx1"/>
                  </w14:solidFill>
                </w14:textFill>
              </w:rPr>
              <w:t>预测结果详见</w: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begin"/>
            </w:r>
            <w:r>
              <w:rPr>
                <w:rFonts w:hint="default" w:ascii="Times New Roman" w:hAnsi="Times New Roman" w:cs="Times New Roman"/>
                <w:color w:val="000000" w:themeColor="text1"/>
                <w:highlight w:val="none"/>
                <w:lang w:val="en-US" w:eastAsia="zh-CN"/>
                <w14:textFill>
                  <w14:solidFill>
                    <w14:schemeClr w14:val="tx1"/>
                  </w14:solidFill>
                </w14:textFill>
              </w:rPr>
              <w:instrText xml:space="preserve"> REF _Ref1027 \n \h </w:instrTex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separate"/>
            </w:r>
            <w:r>
              <w:rPr>
                <w:rFonts w:hint="default" w:ascii="Times New Roman" w:hAnsi="Times New Roman" w:cs="Times New Roman"/>
                <w:color w:val="000000" w:themeColor="text1"/>
                <w:highlight w:val="none"/>
                <w:lang w:val="en-US" w:eastAsia="zh-CN"/>
                <w14:textFill>
                  <w14:solidFill>
                    <w14:schemeClr w14:val="tx1"/>
                  </w14:solidFill>
                </w14:textFill>
              </w:rPr>
              <w:t>表4.3-2</w: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end"/>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fldChar w:fldCharType="begin"/>
            </w:r>
            <w:r>
              <w:rPr>
                <w:rFonts w:hint="eastAsia" w:ascii="Times New Roman" w:hAnsi="Times New Roman" w:cs="Times New Roman"/>
                <w:color w:val="000000" w:themeColor="text1"/>
                <w:highlight w:val="none"/>
                <w:lang w:val="en-US" w:eastAsia="zh-CN"/>
                <w14:textFill>
                  <w14:solidFill>
                    <w14:schemeClr w14:val="tx1"/>
                  </w14:solidFill>
                </w14:textFill>
              </w:rPr>
              <w:instrText xml:space="preserve"> REF _Ref25797 \n \h </w:instrText>
            </w:r>
            <w:r>
              <w:rPr>
                <w:rFonts w:hint="eastAsia" w:ascii="Times New Roman" w:hAnsi="Times New Roman" w:cs="Times New Roman"/>
                <w:color w:val="000000" w:themeColor="text1"/>
                <w:highlight w:val="none"/>
                <w:lang w:val="en-US" w:eastAsia="zh-CN"/>
                <w14:textFill>
                  <w14:solidFill>
                    <w14:schemeClr w14:val="tx1"/>
                  </w14:solidFill>
                </w14:textFill>
              </w:rPr>
              <w:fldChar w:fldCharType="separate"/>
            </w:r>
            <w:r>
              <w:rPr>
                <w:rFonts w:hint="eastAsia" w:ascii="Times New Roman" w:hAnsi="Times New Roman" w:cs="Times New Roman"/>
                <w:color w:val="000000" w:themeColor="text1"/>
                <w:highlight w:val="none"/>
                <w:lang w:val="en-US" w:eastAsia="zh-CN"/>
                <w14:textFill>
                  <w14:solidFill>
                    <w14:schemeClr w14:val="tx1"/>
                  </w14:solidFill>
                </w14:textFill>
              </w:rPr>
              <w:t>表4.3-3</w:t>
            </w:r>
            <w:r>
              <w:rPr>
                <w:rFonts w:hint="eastAsia" w:ascii="Times New Roman" w:hAnsi="Times New Roman" w:cs="Times New Roman"/>
                <w:color w:val="000000" w:themeColor="text1"/>
                <w:highlight w:val="none"/>
                <w:lang w:val="en-US" w:eastAsia="zh-CN"/>
                <w14:textFill>
                  <w14:solidFill>
                    <w14:schemeClr w14:val="tx1"/>
                  </w14:solidFill>
                </w14:textFill>
              </w:rPr>
              <w:fldChar w:fldCharType="end"/>
            </w:r>
            <w:r>
              <w:rPr>
                <w:rFonts w:hint="default" w:ascii="Times New Roman" w:hAnsi="Times New Roman" w:cs="Times New Roman"/>
                <w:color w:val="000000" w:themeColor="text1"/>
                <w:highlight w:val="none"/>
                <w:lang w:val="en-US" w:eastAsia="zh-CN"/>
                <w14:textFill>
                  <w14:solidFill>
                    <w14:schemeClr w14:val="tx1"/>
                  </w14:solidFill>
                </w14:textFill>
              </w:rPr>
              <w:t>。</w:t>
            </w:r>
          </w:p>
          <w:p w14:paraId="568EF599">
            <w:pPr>
              <w:pStyle w:val="30"/>
              <w:numPr>
                <w:ilvl w:val="4"/>
                <w:numId w:val="4"/>
              </w:numPr>
              <w:tabs>
                <w:tab w:val="left" w:pos="0"/>
              </w:tabs>
              <w:bidi w:val="0"/>
              <w:rPr>
                <w:rFonts w:hint="default" w:ascii="Times New Roman" w:hAnsi="Times New Roman" w:cs="Times New Roman"/>
                <w:color w:val="000000" w:themeColor="text1"/>
                <w:highlight w:val="none"/>
                <w:lang w:eastAsia="zh-CN"/>
                <w14:textFill>
                  <w14:solidFill>
                    <w14:schemeClr w14:val="tx1"/>
                  </w14:solidFill>
                </w14:textFill>
              </w:rPr>
            </w:pPr>
            <w:bookmarkStart w:id="220" w:name="_Ref1027"/>
            <w:r>
              <w:rPr>
                <w:color w:val="000000" w:themeColor="text1"/>
                <w:szCs w:val="24"/>
                <w:highlight w:val="none"/>
                <w14:textFill>
                  <w14:solidFill>
                    <w14:schemeClr w14:val="tx1"/>
                  </w14:solidFill>
                </w14:textFill>
              </w:rPr>
              <w:t>项目主要设备</w:t>
            </w:r>
            <w:r>
              <w:rPr>
                <w:rFonts w:hint="eastAsia"/>
                <w:color w:val="000000" w:themeColor="text1"/>
                <w:szCs w:val="24"/>
                <w:highlight w:val="none"/>
                <w14:textFill>
                  <w14:solidFill>
                    <w14:schemeClr w14:val="tx1"/>
                  </w14:solidFill>
                </w14:textFill>
              </w:rPr>
              <w:t>与厂界距离</w:t>
            </w:r>
            <w:r>
              <w:rPr>
                <w:color w:val="000000" w:themeColor="text1"/>
                <w:szCs w:val="24"/>
                <w:highlight w:val="none"/>
                <w14:textFill>
                  <w14:solidFill>
                    <w14:schemeClr w14:val="tx1"/>
                  </w14:solidFill>
                </w14:textFill>
              </w:rPr>
              <w:t>一览表</w:t>
            </w:r>
            <w:bookmarkEnd w:id="220"/>
          </w:p>
          <w:p w14:paraId="70C45C93">
            <w:pPr>
              <w:bidi w:val="0"/>
              <w:ind w:left="0" w:leftChars="0" w:firstLine="0" w:firstLineChars="0"/>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eastAsia"/>
                <w:b/>
                <w:bCs/>
                <w:color w:val="FF0000"/>
                <w:sz w:val="36"/>
                <w:szCs w:val="36"/>
                <w:highlight w:val="yellow"/>
                <w:lang w:val="en-US" w:eastAsia="zh-CN"/>
              </w:rPr>
              <w:t>涉密，删除</w:t>
            </w:r>
          </w:p>
          <w:p w14:paraId="60D20521">
            <w:pPr>
              <w:bidi w:val="0"/>
              <w:ind w:left="0" w:leftChars="0" w:firstLine="0" w:firstLineChars="0"/>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drawing>
                <wp:inline distT="0" distB="0" distL="114300" distR="114300">
                  <wp:extent cx="4929505" cy="6099810"/>
                  <wp:effectExtent l="0" t="0" r="0" b="0"/>
                  <wp:docPr id="53" name="图片 53" descr="噪声预测点位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噪声预测点位PS"/>
                          <pic:cNvPicPr>
                            <a:picLocks noChangeAspect="1"/>
                          </pic:cNvPicPr>
                        </pic:nvPicPr>
                        <pic:blipFill>
                          <a:blip r:embed="rId53"/>
                          <a:srcRect l="5188" t="5536" r="931" b="3876"/>
                          <a:stretch>
                            <a:fillRect/>
                          </a:stretch>
                        </pic:blipFill>
                        <pic:spPr>
                          <a:xfrm>
                            <a:off x="0" y="0"/>
                            <a:ext cx="4929505" cy="6099810"/>
                          </a:xfrm>
                          <a:prstGeom prst="rect">
                            <a:avLst/>
                          </a:prstGeom>
                        </pic:spPr>
                      </pic:pic>
                    </a:graphicData>
                  </a:graphic>
                </wp:inline>
              </w:drawing>
            </w:r>
          </w:p>
          <w:p w14:paraId="25B45912">
            <w:pPr>
              <w:pStyle w:val="28"/>
              <w:bidi w:val="0"/>
              <w:rPr>
                <w:rFonts w:hint="default"/>
                <w:color w:val="000000" w:themeColor="text1"/>
                <w:highlight w:val="none"/>
                <w:lang w:eastAsia="zh-CN"/>
                <w14:textFill>
                  <w14:solidFill>
                    <w14:schemeClr w14:val="tx1"/>
                  </w14:solidFill>
                </w14:textFill>
              </w:rPr>
            </w:pPr>
            <w:bookmarkStart w:id="221" w:name="_Ref19952"/>
            <w:r>
              <w:rPr>
                <w:rFonts w:hint="eastAsia"/>
                <w:color w:val="000000" w:themeColor="text1"/>
                <w:highlight w:val="none"/>
                <w:lang w:val="en-US" w:eastAsia="zh-CN"/>
                <w14:textFill>
                  <w14:solidFill>
                    <w14:schemeClr w14:val="tx1"/>
                  </w14:solidFill>
                </w14:textFill>
              </w:rPr>
              <w:t>厂界噪声贡献值预测点位图</w:t>
            </w:r>
            <w:bookmarkEnd w:id="221"/>
          </w:p>
          <w:p w14:paraId="4D4A009C">
            <w:pPr>
              <w:pStyle w:val="30"/>
              <w:bidi w:val="0"/>
              <w:rPr>
                <w:rFonts w:hint="default"/>
                <w:color w:val="000000" w:themeColor="text1"/>
                <w:highlight w:val="none"/>
                <w:lang w:val="en-US" w:eastAsia="zh-CN"/>
                <w14:textFill>
                  <w14:solidFill>
                    <w14:schemeClr w14:val="tx1"/>
                  </w14:solidFill>
                </w14:textFill>
              </w:rPr>
            </w:pPr>
            <w:bookmarkStart w:id="222" w:name="_Ref25797"/>
            <w:r>
              <w:rPr>
                <w:rFonts w:hint="default"/>
                <w:color w:val="000000" w:themeColor="text1"/>
                <w:highlight w:val="none"/>
                <w:lang w:val="en-US" w:eastAsia="zh-CN"/>
                <w14:textFill>
                  <w14:solidFill>
                    <w14:schemeClr w14:val="tx1"/>
                  </w14:solidFill>
                </w14:textFill>
              </w:rPr>
              <w:t>厂界噪声预测结果</w:t>
            </w:r>
            <w:bookmarkEnd w:id="222"/>
          </w:p>
          <w:tbl>
            <w:tblPr>
              <w:tblStyle w:val="17"/>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2139"/>
              <w:gridCol w:w="1384"/>
              <w:gridCol w:w="1039"/>
              <w:gridCol w:w="1045"/>
              <w:gridCol w:w="1599"/>
            </w:tblGrid>
            <w:tr w14:paraId="381211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5" w:type="pct"/>
                  <w:vMerge w:val="restart"/>
                  <w:tcBorders>
                    <w:tl2br w:val="nil"/>
                    <w:tr2bl w:val="nil"/>
                  </w:tcBorders>
                  <w:noWrap w:val="0"/>
                  <w:vAlign w:val="center"/>
                </w:tcPr>
                <w:p w14:paraId="526A1861">
                  <w:pPr>
                    <w:pStyle w:val="26"/>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点位编号</w:t>
                  </w:r>
                </w:p>
              </w:tc>
              <w:tc>
                <w:tcPr>
                  <w:tcW w:w="1289" w:type="pct"/>
                  <w:vMerge w:val="restart"/>
                  <w:tcBorders>
                    <w:tl2br w:val="nil"/>
                    <w:tr2bl w:val="nil"/>
                  </w:tcBorders>
                  <w:noWrap w:val="0"/>
                  <w:vAlign w:val="center"/>
                </w:tcPr>
                <w:p w14:paraId="41A5D740">
                  <w:pPr>
                    <w:pStyle w:val="2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预测点位</w:t>
                  </w:r>
                  <w:r>
                    <w:rPr>
                      <w:rFonts w:hint="eastAsia" w:cs="Times New Roman"/>
                      <w:color w:val="000000" w:themeColor="text1"/>
                      <w:highlight w:val="none"/>
                      <w:lang w:val="en-US" w:eastAsia="zh-CN"/>
                      <w14:textFill>
                        <w14:solidFill>
                          <w14:schemeClr w14:val="tx1"/>
                        </w14:solidFill>
                      </w14:textFill>
                    </w:rPr>
                    <w:t>名称</w:t>
                  </w:r>
                </w:p>
              </w:tc>
              <w:tc>
                <w:tcPr>
                  <w:tcW w:w="834" w:type="pct"/>
                  <w:vMerge w:val="restart"/>
                  <w:tcBorders>
                    <w:tl2br w:val="nil"/>
                    <w:tr2bl w:val="nil"/>
                  </w:tcBorders>
                  <w:noWrap w:val="0"/>
                  <w:vAlign w:val="center"/>
                </w:tcPr>
                <w:p w14:paraId="0536D823">
                  <w:pPr>
                    <w:pStyle w:val="2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贡献值</w:t>
                  </w:r>
                </w:p>
                <w:p w14:paraId="31DC6376">
                  <w:pPr>
                    <w:pStyle w:val="2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（dB（A））</w:t>
                  </w:r>
                </w:p>
              </w:tc>
              <w:tc>
                <w:tcPr>
                  <w:tcW w:w="1256" w:type="pct"/>
                  <w:gridSpan w:val="2"/>
                  <w:tcBorders>
                    <w:tl2br w:val="nil"/>
                    <w:tr2bl w:val="nil"/>
                  </w:tcBorders>
                  <w:noWrap w:val="0"/>
                  <w:vAlign w:val="center"/>
                </w:tcPr>
                <w:p w14:paraId="674CD543">
                  <w:pPr>
                    <w:pStyle w:val="2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标准限值</w:t>
                  </w:r>
                </w:p>
                <w:p w14:paraId="5B5C400E">
                  <w:pPr>
                    <w:pStyle w:val="2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（dB（A））</w:t>
                  </w:r>
                </w:p>
              </w:tc>
              <w:tc>
                <w:tcPr>
                  <w:tcW w:w="964" w:type="pct"/>
                  <w:vMerge w:val="restart"/>
                  <w:tcBorders>
                    <w:tl2br w:val="nil"/>
                    <w:tr2bl w:val="nil"/>
                  </w:tcBorders>
                  <w:noWrap w:val="0"/>
                  <w:vAlign w:val="center"/>
                </w:tcPr>
                <w:p w14:paraId="533124F5">
                  <w:pPr>
                    <w:pStyle w:val="2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评价结果</w:t>
                  </w:r>
                </w:p>
              </w:tc>
            </w:tr>
            <w:tr w14:paraId="3A8C22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5" w:type="pct"/>
                  <w:vMerge w:val="continue"/>
                  <w:tcBorders>
                    <w:tl2br w:val="nil"/>
                    <w:tr2bl w:val="nil"/>
                  </w:tcBorders>
                  <w:noWrap w:val="0"/>
                  <w:vAlign w:val="center"/>
                </w:tcPr>
                <w:p w14:paraId="5B53ABC9">
                  <w:pPr>
                    <w:pStyle w:val="26"/>
                    <w:bidi w:val="0"/>
                    <w:rPr>
                      <w:rFonts w:hint="default" w:ascii="Times New Roman" w:hAnsi="Times New Roman" w:cs="Times New Roman"/>
                      <w:color w:val="000000" w:themeColor="text1"/>
                      <w:highlight w:val="none"/>
                      <w14:textFill>
                        <w14:solidFill>
                          <w14:schemeClr w14:val="tx1"/>
                        </w14:solidFill>
                      </w14:textFill>
                    </w:rPr>
                  </w:pPr>
                </w:p>
              </w:tc>
              <w:tc>
                <w:tcPr>
                  <w:tcW w:w="1289" w:type="pct"/>
                  <w:vMerge w:val="continue"/>
                  <w:tcBorders>
                    <w:tl2br w:val="nil"/>
                    <w:tr2bl w:val="nil"/>
                  </w:tcBorders>
                  <w:noWrap w:val="0"/>
                  <w:vAlign w:val="center"/>
                </w:tcPr>
                <w:p w14:paraId="6489F732">
                  <w:pPr>
                    <w:pStyle w:val="26"/>
                    <w:bidi w:val="0"/>
                    <w:rPr>
                      <w:rFonts w:hint="default" w:ascii="Times New Roman" w:hAnsi="Times New Roman" w:cs="Times New Roman"/>
                      <w:color w:val="000000" w:themeColor="text1"/>
                      <w:highlight w:val="none"/>
                      <w14:textFill>
                        <w14:solidFill>
                          <w14:schemeClr w14:val="tx1"/>
                        </w14:solidFill>
                      </w14:textFill>
                    </w:rPr>
                  </w:pPr>
                </w:p>
              </w:tc>
              <w:tc>
                <w:tcPr>
                  <w:tcW w:w="834" w:type="pct"/>
                  <w:vMerge w:val="continue"/>
                  <w:tcBorders>
                    <w:tl2br w:val="nil"/>
                    <w:tr2bl w:val="nil"/>
                  </w:tcBorders>
                  <w:noWrap w:val="0"/>
                  <w:vAlign w:val="center"/>
                </w:tcPr>
                <w:p w14:paraId="5031B586">
                  <w:pPr>
                    <w:pStyle w:val="26"/>
                    <w:bidi w:val="0"/>
                    <w:rPr>
                      <w:rFonts w:hint="default" w:ascii="Times New Roman" w:hAnsi="Times New Roman" w:cs="Times New Roman"/>
                      <w:color w:val="000000" w:themeColor="text1"/>
                      <w:highlight w:val="none"/>
                      <w14:textFill>
                        <w14:solidFill>
                          <w14:schemeClr w14:val="tx1"/>
                        </w14:solidFill>
                      </w14:textFill>
                    </w:rPr>
                  </w:pPr>
                </w:p>
              </w:tc>
              <w:tc>
                <w:tcPr>
                  <w:tcW w:w="626" w:type="pct"/>
                  <w:tcBorders>
                    <w:tl2br w:val="nil"/>
                    <w:tr2bl w:val="nil"/>
                  </w:tcBorders>
                  <w:noWrap w:val="0"/>
                  <w:vAlign w:val="center"/>
                </w:tcPr>
                <w:p w14:paraId="1BC51358">
                  <w:pPr>
                    <w:pStyle w:val="2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昼间</w:t>
                  </w:r>
                </w:p>
              </w:tc>
              <w:tc>
                <w:tcPr>
                  <w:tcW w:w="630" w:type="pct"/>
                  <w:tcBorders>
                    <w:tl2br w:val="nil"/>
                    <w:tr2bl w:val="nil"/>
                  </w:tcBorders>
                  <w:noWrap w:val="0"/>
                  <w:vAlign w:val="center"/>
                </w:tcPr>
                <w:p w14:paraId="3FDDBB05">
                  <w:pPr>
                    <w:pStyle w:val="2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夜间</w:t>
                  </w:r>
                </w:p>
              </w:tc>
              <w:tc>
                <w:tcPr>
                  <w:tcW w:w="964" w:type="pct"/>
                  <w:vMerge w:val="continue"/>
                  <w:tcBorders>
                    <w:tl2br w:val="nil"/>
                    <w:tr2bl w:val="nil"/>
                  </w:tcBorders>
                  <w:noWrap w:val="0"/>
                  <w:vAlign w:val="center"/>
                </w:tcPr>
                <w:p w14:paraId="277F85DE">
                  <w:pPr>
                    <w:pStyle w:val="26"/>
                    <w:bidi w:val="0"/>
                    <w:rPr>
                      <w:rFonts w:hint="default" w:ascii="Times New Roman" w:hAnsi="Times New Roman" w:cs="Times New Roman"/>
                      <w:color w:val="000000" w:themeColor="text1"/>
                      <w:highlight w:val="none"/>
                      <w14:textFill>
                        <w14:solidFill>
                          <w14:schemeClr w14:val="tx1"/>
                        </w14:solidFill>
                      </w14:textFill>
                    </w:rPr>
                  </w:pPr>
                </w:p>
              </w:tc>
            </w:tr>
            <w:tr w14:paraId="090C32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5" w:type="pct"/>
                  <w:tcBorders>
                    <w:tl2br w:val="nil"/>
                    <w:tr2bl w:val="nil"/>
                  </w:tcBorders>
                  <w:noWrap w:val="0"/>
                  <w:vAlign w:val="center"/>
                </w:tcPr>
                <w:p w14:paraId="4CDF556E">
                  <w:pPr>
                    <w:pStyle w:val="2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w:t>
                  </w:r>
                </w:p>
              </w:tc>
              <w:tc>
                <w:tcPr>
                  <w:tcW w:w="1289" w:type="pct"/>
                  <w:tcBorders>
                    <w:tl2br w:val="nil"/>
                    <w:tr2bl w:val="nil"/>
                  </w:tcBorders>
                  <w:shd w:val="clear" w:color="auto" w:fill="auto"/>
                  <w:noWrap w:val="0"/>
                  <w:vAlign w:val="center"/>
                </w:tcPr>
                <w:p w14:paraId="0D9BF239">
                  <w:pPr>
                    <w:pStyle w:val="26"/>
                    <w:bidi w:val="0"/>
                    <w:ind w:firstLine="0" w:firstLineChars="0"/>
                    <w:rPr>
                      <w:rFonts w:hint="default" w:ascii="Times New Roman" w:hAnsi="Times New Roman" w:eastAsia="宋体" w:cs="Times New Roman"/>
                      <w:color w:val="000000" w:themeColor="text1"/>
                      <w:sz w:val="21"/>
                      <w:szCs w:val="22"/>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3#车间</w:t>
                  </w:r>
                  <w:r>
                    <w:rPr>
                      <w:rFonts w:hint="default" w:ascii="Times New Roman" w:hAnsi="Times New Roman" w:cs="Times New Roman"/>
                      <w:color w:val="000000" w:themeColor="text1"/>
                      <w:highlight w:val="none"/>
                      <w:lang w:val="en-US" w:eastAsia="zh-CN"/>
                      <w14:textFill>
                        <w14:solidFill>
                          <w14:schemeClr w14:val="tx1"/>
                        </w14:solidFill>
                      </w14:textFill>
                    </w:rPr>
                    <w:t>厂界西侧</w:t>
                  </w:r>
                </w:p>
              </w:tc>
              <w:tc>
                <w:tcPr>
                  <w:tcW w:w="834" w:type="pct"/>
                  <w:tcBorders>
                    <w:tl2br w:val="nil"/>
                    <w:tr2bl w:val="nil"/>
                  </w:tcBorders>
                  <w:shd w:val="clear" w:color="auto" w:fill="auto"/>
                  <w:noWrap w:val="0"/>
                  <w:vAlign w:val="center"/>
                </w:tcPr>
                <w:p w14:paraId="720BA237">
                  <w:pPr>
                    <w:pStyle w:val="26"/>
                    <w:bidi w:val="0"/>
                    <w:ind w:firstLine="0" w:firstLineChars="0"/>
                    <w:rPr>
                      <w:rFonts w:hint="default" w:ascii="Times New Roman" w:hAnsi="Times New Roman" w:eastAsia="宋体" w:cs="Times New Roman"/>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46.6</w:t>
                  </w:r>
                </w:p>
              </w:tc>
              <w:tc>
                <w:tcPr>
                  <w:tcW w:w="626" w:type="pct"/>
                  <w:vMerge w:val="restart"/>
                  <w:tcBorders>
                    <w:tl2br w:val="nil"/>
                    <w:tr2bl w:val="nil"/>
                  </w:tcBorders>
                  <w:noWrap w:val="0"/>
                  <w:vAlign w:val="center"/>
                </w:tcPr>
                <w:p w14:paraId="335A1FC4">
                  <w:pPr>
                    <w:pStyle w:val="26"/>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65</w:t>
                  </w:r>
                </w:p>
              </w:tc>
              <w:tc>
                <w:tcPr>
                  <w:tcW w:w="630" w:type="pct"/>
                  <w:vMerge w:val="restart"/>
                  <w:tcBorders>
                    <w:tl2br w:val="nil"/>
                    <w:tr2bl w:val="nil"/>
                  </w:tcBorders>
                  <w:noWrap w:val="0"/>
                  <w:vAlign w:val="center"/>
                </w:tcPr>
                <w:p w14:paraId="13611BFD">
                  <w:pPr>
                    <w:pStyle w:val="26"/>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55</w:t>
                  </w:r>
                </w:p>
              </w:tc>
              <w:tc>
                <w:tcPr>
                  <w:tcW w:w="964" w:type="pct"/>
                  <w:tcBorders>
                    <w:tl2br w:val="nil"/>
                    <w:tr2bl w:val="nil"/>
                  </w:tcBorders>
                  <w:noWrap w:val="0"/>
                  <w:vAlign w:val="center"/>
                </w:tcPr>
                <w:p w14:paraId="40B59A8D">
                  <w:pPr>
                    <w:pStyle w:val="26"/>
                    <w:bidi w:val="0"/>
                    <w:ind w:firstLine="0" w:firstLineChars="0"/>
                    <w:rPr>
                      <w:rFonts w:hint="default" w:ascii="Times New Roman" w:hAnsi="Times New Roman" w:eastAsia="宋体" w:cs="Times New Roman"/>
                      <w:color w:val="000000" w:themeColor="text1"/>
                      <w:sz w:val="21"/>
                      <w:szCs w:val="22"/>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达标</w:t>
                  </w:r>
                </w:p>
              </w:tc>
            </w:tr>
            <w:tr w14:paraId="4C6B53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5" w:type="pct"/>
                  <w:tcBorders>
                    <w:tl2br w:val="nil"/>
                    <w:tr2bl w:val="nil"/>
                  </w:tcBorders>
                  <w:noWrap w:val="0"/>
                  <w:vAlign w:val="center"/>
                </w:tcPr>
                <w:p w14:paraId="0C9B6E9C">
                  <w:pPr>
                    <w:pStyle w:val="2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2#</w:t>
                  </w:r>
                </w:p>
              </w:tc>
              <w:tc>
                <w:tcPr>
                  <w:tcW w:w="1289" w:type="pct"/>
                  <w:tcBorders>
                    <w:tl2br w:val="nil"/>
                    <w:tr2bl w:val="nil"/>
                  </w:tcBorders>
                  <w:noWrap w:val="0"/>
                  <w:vAlign w:val="center"/>
                </w:tcPr>
                <w:p w14:paraId="6CA1FB91">
                  <w:pPr>
                    <w:pStyle w:val="26"/>
                    <w:bidi w:val="0"/>
                    <w:ind w:firstLine="0" w:firstLineChars="0"/>
                    <w:rPr>
                      <w:rFonts w:hint="default" w:ascii="Times New Roman" w:hAnsi="Times New Roman" w:cs="Times New Roman"/>
                      <w:color w:val="000000" w:themeColor="text1"/>
                      <w:sz w:val="21"/>
                      <w:szCs w:val="22"/>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3#车间</w:t>
                  </w:r>
                  <w:r>
                    <w:rPr>
                      <w:rFonts w:hint="default" w:ascii="Times New Roman" w:hAnsi="Times New Roman" w:cs="Times New Roman"/>
                      <w:color w:val="000000" w:themeColor="text1"/>
                      <w:highlight w:val="none"/>
                      <w:lang w:val="en-US" w:eastAsia="zh-CN"/>
                      <w14:textFill>
                        <w14:solidFill>
                          <w14:schemeClr w14:val="tx1"/>
                        </w14:solidFill>
                      </w14:textFill>
                    </w:rPr>
                    <w:t>厂界南侧</w:t>
                  </w:r>
                </w:p>
              </w:tc>
              <w:tc>
                <w:tcPr>
                  <w:tcW w:w="834" w:type="pct"/>
                  <w:tcBorders>
                    <w:tl2br w:val="nil"/>
                    <w:tr2bl w:val="nil"/>
                  </w:tcBorders>
                  <w:noWrap w:val="0"/>
                  <w:vAlign w:val="center"/>
                </w:tcPr>
                <w:p w14:paraId="1E7C1A31">
                  <w:pPr>
                    <w:pStyle w:val="26"/>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51.7</w:t>
                  </w:r>
                </w:p>
              </w:tc>
              <w:tc>
                <w:tcPr>
                  <w:tcW w:w="626" w:type="pct"/>
                  <w:vMerge w:val="continue"/>
                  <w:tcBorders>
                    <w:tl2br w:val="nil"/>
                    <w:tr2bl w:val="nil"/>
                  </w:tcBorders>
                  <w:noWrap w:val="0"/>
                  <w:vAlign w:val="center"/>
                </w:tcPr>
                <w:p w14:paraId="46A52DAB">
                  <w:pPr>
                    <w:pStyle w:val="26"/>
                    <w:bidi w:val="0"/>
                    <w:rPr>
                      <w:rFonts w:hint="default" w:ascii="Times New Roman" w:hAnsi="Times New Roman" w:cs="Times New Roman"/>
                      <w:color w:val="000000" w:themeColor="text1"/>
                      <w:highlight w:val="none"/>
                      <w14:textFill>
                        <w14:solidFill>
                          <w14:schemeClr w14:val="tx1"/>
                        </w14:solidFill>
                      </w14:textFill>
                    </w:rPr>
                  </w:pPr>
                </w:p>
              </w:tc>
              <w:tc>
                <w:tcPr>
                  <w:tcW w:w="630" w:type="pct"/>
                  <w:vMerge w:val="continue"/>
                  <w:tcBorders>
                    <w:tl2br w:val="nil"/>
                    <w:tr2bl w:val="nil"/>
                  </w:tcBorders>
                  <w:noWrap w:val="0"/>
                  <w:vAlign w:val="center"/>
                </w:tcPr>
                <w:p w14:paraId="10DD45C5">
                  <w:pPr>
                    <w:pStyle w:val="26"/>
                    <w:bidi w:val="0"/>
                    <w:rPr>
                      <w:rFonts w:hint="default" w:ascii="Times New Roman" w:hAnsi="Times New Roman" w:cs="Times New Roman"/>
                      <w:color w:val="000000" w:themeColor="text1"/>
                      <w:highlight w:val="none"/>
                      <w14:textFill>
                        <w14:solidFill>
                          <w14:schemeClr w14:val="tx1"/>
                        </w14:solidFill>
                      </w14:textFill>
                    </w:rPr>
                  </w:pPr>
                </w:p>
              </w:tc>
              <w:tc>
                <w:tcPr>
                  <w:tcW w:w="964" w:type="pct"/>
                  <w:tcBorders>
                    <w:tl2br w:val="nil"/>
                    <w:tr2bl w:val="nil"/>
                  </w:tcBorders>
                  <w:noWrap w:val="0"/>
                  <w:vAlign w:val="center"/>
                </w:tcPr>
                <w:p w14:paraId="7B687F42">
                  <w:pPr>
                    <w:pStyle w:val="26"/>
                    <w:bidi w:val="0"/>
                    <w:ind w:firstLine="0" w:firstLineChars="0"/>
                    <w:rPr>
                      <w:rFonts w:hint="default" w:ascii="Times New Roman" w:hAnsi="Times New Roman" w:cs="Times New Roman"/>
                      <w:color w:val="000000" w:themeColor="text1"/>
                      <w:sz w:val="21"/>
                      <w:szCs w:val="22"/>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达标</w:t>
                  </w:r>
                </w:p>
              </w:tc>
            </w:tr>
            <w:tr w14:paraId="2A6A99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5" w:type="pct"/>
                  <w:tcBorders>
                    <w:tl2br w:val="nil"/>
                    <w:tr2bl w:val="nil"/>
                  </w:tcBorders>
                  <w:noWrap w:val="0"/>
                  <w:vAlign w:val="center"/>
                </w:tcPr>
                <w:p w14:paraId="01A47E36">
                  <w:pPr>
                    <w:pStyle w:val="2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3#</w:t>
                  </w:r>
                </w:p>
              </w:tc>
              <w:tc>
                <w:tcPr>
                  <w:tcW w:w="1289" w:type="pct"/>
                  <w:tcBorders>
                    <w:tl2br w:val="nil"/>
                    <w:tr2bl w:val="nil"/>
                  </w:tcBorders>
                  <w:noWrap w:val="0"/>
                  <w:vAlign w:val="center"/>
                </w:tcPr>
                <w:p w14:paraId="1CF3B648">
                  <w:pPr>
                    <w:pStyle w:val="26"/>
                    <w:bidi w:val="0"/>
                    <w:ind w:firstLine="0" w:firstLineChars="0"/>
                    <w:rPr>
                      <w:rFonts w:hint="default" w:ascii="Times New Roman" w:hAnsi="Times New Roman" w:cs="Times New Roman"/>
                      <w:color w:val="000000" w:themeColor="text1"/>
                      <w:sz w:val="21"/>
                      <w:szCs w:val="22"/>
                      <w:highlight w:val="none"/>
                      <w:lang w:val="en-US" w:eastAsia="zh-CN"/>
                      <w14:textFill>
                        <w14:solidFill>
                          <w14:schemeClr w14:val="tx1"/>
                        </w14:solidFill>
                      </w14:textFill>
                    </w:rPr>
                  </w:pPr>
                  <w:r>
                    <w:rPr>
                      <w:rFonts w:hint="eastAsia" w:cs="Times New Roman"/>
                      <w:color w:val="000000" w:themeColor="text1"/>
                      <w:sz w:val="21"/>
                      <w:szCs w:val="22"/>
                      <w:highlight w:val="none"/>
                      <w:lang w:val="en-US" w:eastAsia="zh-CN"/>
                      <w14:textFill>
                        <w14:solidFill>
                          <w14:schemeClr w14:val="tx1"/>
                        </w14:solidFill>
                      </w14:textFill>
                    </w:rPr>
                    <w:t>1#车间厂界南侧</w:t>
                  </w:r>
                </w:p>
              </w:tc>
              <w:tc>
                <w:tcPr>
                  <w:tcW w:w="834" w:type="pct"/>
                  <w:tcBorders>
                    <w:tl2br w:val="nil"/>
                    <w:tr2bl w:val="nil"/>
                  </w:tcBorders>
                  <w:noWrap w:val="0"/>
                  <w:vAlign w:val="center"/>
                </w:tcPr>
                <w:p w14:paraId="727D26DC">
                  <w:pPr>
                    <w:pStyle w:val="26"/>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53.7</w:t>
                  </w:r>
                </w:p>
              </w:tc>
              <w:tc>
                <w:tcPr>
                  <w:tcW w:w="626" w:type="pct"/>
                  <w:vMerge w:val="continue"/>
                  <w:tcBorders>
                    <w:tl2br w:val="nil"/>
                    <w:tr2bl w:val="nil"/>
                  </w:tcBorders>
                  <w:noWrap w:val="0"/>
                  <w:vAlign w:val="center"/>
                </w:tcPr>
                <w:p w14:paraId="71FFF0F7">
                  <w:pPr>
                    <w:pStyle w:val="26"/>
                    <w:bidi w:val="0"/>
                    <w:rPr>
                      <w:rFonts w:hint="default" w:ascii="Times New Roman" w:hAnsi="Times New Roman" w:cs="Times New Roman"/>
                      <w:color w:val="000000" w:themeColor="text1"/>
                      <w:highlight w:val="none"/>
                      <w14:textFill>
                        <w14:solidFill>
                          <w14:schemeClr w14:val="tx1"/>
                        </w14:solidFill>
                      </w14:textFill>
                    </w:rPr>
                  </w:pPr>
                </w:p>
              </w:tc>
              <w:tc>
                <w:tcPr>
                  <w:tcW w:w="630" w:type="pct"/>
                  <w:vMerge w:val="continue"/>
                  <w:tcBorders>
                    <w:tl2br w:val="nil"/>
                    <w:tr2bl w:val="nil"/>
                  </w:tcBorders>
                  <w:noWrap w:val="0"/>
                  <w:vAlign w:val="center"/>
                </w:tcPr>
                <w:p w14:paraId="0F68BAF5">
                  <w:pPr>
                    <w:pStyle w:val="26"/>
                    <w:bidi w:val="0"/>
                    <w:rPr>
                      <w:rFonts w:hint="default" w:ascii="Times New Roman" w:hAnsi="Times New Roman" w:cs="Times New Roman"/>
                      <w:color w:val="000000" w:themeColor="text1"/>
                      <w:highlight w:val="none"/>
                      <w14:textFill>
                        <w14:solidFill>
                          <w14:schemeClr w14:val="tx1"/>
                        </w14:solidFill>
                      </w14:textFill>
                    </w:rPr>
                  </w:pPr>
                </w:p>
              </w:tc>
              <w:tc>
                <w:tcPr>
                  <w:tcW w:w="964" w:type="pct"/>
                  <w:tcBorders>
                    <w:tl2br w:val="nil"/>
                    <w:tr2bl w:val="nil"/>
                  </w:tcBorders>
                  <w:noWrap w:val="0"/>
                  <w:vAlign w:val="center"/>
                </w:tcPr>
                <w:p w14:paraId="18DA9A59">
                  <w:pPr>
                    <w:pStyle w:val="26"/>
                    <w:bidi w:val="0"/>
                    <w:ind w:firstLine="0" w:firstLineChars="0"/>
                    <w:rPr>
                      <w:rFonts w:hint="default" w:ascii="Times New Roman" w:hAnsi="Times New Roman" w:cs="Times New Roman"/>
                      <w:color w:val="000000" w:themeColor="text1"/>
                      <w:sz w:val="21"/>
                      <w:szCs w:val="22"/>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达标</w:t>
                  </w:r>
                </w:p>
              </w:tc>
            </w:tr>
            <w:tr w14:paraId="440094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5" w:type="pct"/>
                  <w:tcBorders>
                    <w:tl2br w:val="nil"/>
                    <w:tr2bl w:val="nil"/>
                  </w:tcBorders>
                  <w:noWrap w:val="0"/>
                  <w:vAlign w:val="center"/>
                </w:tcPr>
                <w:p w14:paraId="74C3A986">
                  <w:pPr>
                    <w:pStyle w:val="2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4#</w:t>
                  </w:r>
                </w:p>
              </w:tc>
              <w:tc>
                <w:tcPr>
                  <w:tcW w:w="1289" w:type="pct"/>
                  <w:tcBorders>
                    <w:tl2br w:val="nil"/>
                    <w:tr2bl w:val="nil"/>
                  </w:tcBorders>
                  <w:noWrap w:val="0"/>
                  <w:vAlign w:val="center"/>
                </w:tcPr>
                <w:p w14:paraId="2ED163AA">
                  <w:pPr>
                    <w:pStyle w:val="26"/>
                    <w:bidi w:val="0"/>
                    <w:ind w:firstLine="0" w:firstLineChars="0"/>
                    <w:rPr>
                      <w:rFonts w:hint="default" w:ascii="Times New Roman" w:hAnsi="Times New Roman" w:cs="Times New Roman"/>
                      <w:color w:val="000000" w:themeColor="text1"/>
                      <w:sz w:val="21"/>
                      <w:szCs w:val="22"/>
                      <w:highlight w:val="none"/>
                      <w:lang w:val="en-US" w:eastAsia="zh-CN"/>
                      <w14:textFill>
                        <w14:solidFill>
                          <w14:schemeClr w14:val="tx1"/>
                        </w14:solidFill>
                      </w14:textFill>
                    </w:rPr>
                  </w:pPr>
                  <w:r>
                    <w:rPr>
                      <w:rFonts w:hint="eastAsia" w:cs="Times New Roman"/>
                      <w:color w:val="000000" w:themeColor="text1"/>
                      <w:sz w:val="21"/>
                      <w:szCs w:val="22"/>
                      <w:highlight w:val="none"/>
                      <w:lang w:val="en-US" w:eastAsia="zh-CN"/>
                      <w14:textFill>
                        <w14:solidFill>
                          <w14:schemeClr w14:val="tx1"/>
                        </w14:solidFill>
                      </w14:textFill>
                    </w:rPr>
                    <w:t>1#车间</w:t>
                  </w:r>
                  <w:r>
                    <w:rPr>
                      <w:rFonts w:hint="default" w:ascii="Times New Roman" w:hAnsi="Times New Roman" w:cs="Times New Roman"/>
                      <w:color w:val="000000" w:themeColor="text1"/>
                      <w:highlight w:val="none"/>
                      <w:lang w:val="en-US" w:eastAsia="zh-CN"/>
                      <w14:textFill>
                        <w14:solidFill>
                          <w14:schemeClr w14:val="tx1"/>
                        </w14:solidFill>
                      </w14:textFill>
                    </w:rPr>
                    <w:t>厂界</w:t>
                  </w:r>
                  <w:r>
                    <w:rPr>
                      <w:rFonts w:hint="eastAsia" w:cs="Times New Roman"/>
                      <w:color w:val="000000" w:themeColor="text1"/>
                      <w:highlight w:val="none"/>
                      <w:lang w:val="en-US" w:eastAsia="zh-CN"/>
                      <w14:textFill>
                        <w14:solidFill>
                          <w14:schemeClr w14:val="tx1"/>
                        </w14:solidFill>
                      </w14:textFill>
                    </w:rPr>
                    <w:t>东</w:t>
                  </w:r>
                  <w:r>
                    <w:rPr>
                      <w:rFonts w:hint="default" w:ascii="Times New Roman" w:hAnsi="Times New Roman" w:cs="Times New Roman"/>
                      <w:color w:val="000000" w:themeColor="text1"/>
                      <w:highlight w:val="none"/>
                      <w:lang w:val="en-US" w:eastAsia="zh-CN"/>
                      <w14:textFill>
                        <w14:solidFill>
                          <w14:schemeClr w14:val="tx1"/>
                        </w14:solidFill>
                      </w14:textFill>
                    </w:rPr>
                    <w:t>侧</w:t>
                  </w:r>
                </w:p>
              </w:tc>
              <w:tc>
                <w:tcPr>
                  <w:tcW w:w="834" w:type="pct"/>
                  <w:tcBorders>
                    <w:tl2br w:val="nil"/>
                    <w:tr2bl w:val="nil"/>
                  </w:tcBorders>
                  <w:noWrap w:val="0"/>
                  <w:vAlign w:val="center"/>
                </w:tcPr>
                <w:p w14:paraId="025C02E1">
                  <w:pPr>
                    <w:pStyle w:val="26"/>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47.6</w:t>
                  </w:r>
                </w:p>
              </w:tc>
              <w:tc>
                <w:tcPr>
                  <w:tcW w:w="626" w:type="pct"/>
                  <w:vMerge w:val="continue"/>
                  <w:tcBorders>
                    <w:tl2br w:val="nil"/>
                    <w:tr2bl w:val="nil"/>
                  </w:tcBorders>
                  <w:noWrap w:val="0"/>
                  <w:vAlign w:val="center"/>
                </w:tcPr>
                <w:p w14:paraId="1B2AB5FB">
                  <w:pPr>
                    <w:pStyle w:val="26"/>
                    <w:bidi w:val="0"/>
                    <w:rPr>
                      <w:rFonts w:hint="default" w:ascii="Times New Roman" w:hAnsi="Times New Roman" w:cs="Times New Roman"/>
                      <w:color w:val="000000" w:themeColor="text1"/>
                      <w:highlight w:val="none"/>
                      <w14:textFill>
                        <w14:solidFill>
                          <w14:schemeClr w14:val="tx1"/>
                        </w14:solidFill>
                      </w14:textFill>
                    </w:rPr>
                  </w:pPr>
                </w:p>
              </w:tc>
              <w:tc>
                <w:tcPr>
                  <w:tcW w:w="630" w:type="pct"/>
                  <w:vMerge w:val="continue"/>
                  <w:tcBorders>
                    <w:tl2br w:val="nil"/>
                    <w:tr2bl w:val="nil"/>
                  </w:tcBorders>
                  <w:noWrap w:val="0"/>
                  <w:vAlign w:val="center"/>
                </w:tcPr>
                <w:p w14:paraId="14BAB50A">
                  <w:pPr>
                    <w:pStyle w:val="26"/>
                    <w:bidi w:val="0"/>
                    <w:rPr>
                      <w:rFonts w:hint="default" w:ascii="Times New Roman" w:hAnsi="Times New Roman" w:cs="Times New Roman"/>
                      <w:color w:val="000000" w:themeColor="text1"/>
                      <w:highlight w:val="none"/>
                      <w14:textFill>
                        <w14:solidFill>
                          <w14:schemeClr w14:val="tx1"/>
                        </w14:solidFill>
                      </w14:textFill>
                    </w:rPr>
                  </w:pPr>
                </w:p>
              </w:tc>
              <w:tc>
                <w:tcPr>
                  <w:tcW w:w="964" w:type="pct"/>
                  <w:tcBorders>
                    <w:tl2br w:val="nil"/>
                    <w:tr2bl w:val="nil"/>
                  </w:tcBorders>
                  <w:noWrap w:val="0"/>
                  <w:vAlign w:val="center"/>
                </w:tcPr>
                <w:p w14:paraId="69702A05">
                  <w:pPr>
                    <w:pStyle w:val="26"/>
                    <w:bidi w:val="0"/>
                    <w:ind w:firstLine="0" w:firstLineChars="0"/>
                    <w:rPr>
                      <w:rFonts w:hint="default" w:ascii="Times New Roman" w:hAnsi="Times New Roman" w:cs="Times New Roman"/>
                      <w:color w:val="000000" w:themeColor="text1"/>
                      <w:sz w:val="21"/>
                      <w:szCs w:val="22"/>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达标</w:t>
                  </w:r>
                </w:p>
              </w:tc>
            </w:tr>
            <w:tr w14:paraId="6EAAE7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5" w:type="pct"/>
                  <w:tcBorders>
                    <w:tl2br w:val="nil"/>
                    <w:tr2bl w:val="nil"/>
                  </w:tcBorders>
                  <w:noWrap w:val="0"/>
                  <w:vAlign w:val="center"/>
                </w:tcPr>
                <w:p w14:paraId="209BF32E">
                  <w:pPr>
                    <w:pStyle w:val="2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5#</w:t>
                  </w:r>
                </w:p>
              </w:tc>
              <w:tc>
                <w:tcPr>
                  <w:tcW w:w="1289" w:type="pct"/>
                  <w:tcBorders>
                    <w:tl2br w:val="nil"/>
                    <w:tr2bl w:val="nil"/>
                  </w:tcBorders>
                  <w:shd w:val="clear" w:color="auto" w:fill="auto"/>
                  <w:noWrap w:val="0"/>
                  <w:vAlign w:val="center"/>
                </w:tcPr>
                <w:p w14:paraId="3751B175">
                  <w:pPr>
                    <w:pStyle w:val="26"/>
                    <w:bidi w:val="0"/>
                    <w:ind w:firstLine="0" w:firstLineChars="0"/>
                    <w:rPr>
                      <w:rFonts w:hint="default" w:ascii="Times New Roman" w:hAnsi="Times New Roman" w:eastAsia="宋体" w:cs="Times New Roman"/>
                      <w:color w:val="000000" w:themeColor="text1"/>
                      <w:sz w:val="21"/>
                      <w:szCs w:val="22"/>
                      <w:highlight w:val="none"/>
                      <w:lang w:val="en-US" w:eastAsia="zh-CN"/>
                      <w14:textFill>
                        <w14:solidFill>
                          <w14:schemeClr w14:val="tx1"/>
                        </w14:solidFill>
                      </w14:textFill>
                    </w:rPr>
                  </w:pPr>
                  <w:r>
                    <w:rPr>
                      <w:rFonts w:hint="eastAsia" w:cs="Times New Roman"/>
                      <w:color w:val="000000" w:themeColor="text1"/>
                      <w:sz w:val="21"/>
                      <w:szCs w:val="22"/>
                      <w:highlight w:val="none"/>
                      <w:lang w:val="en-US" w:eastAsia="zh-CN"/>
                      <w14:textFill>
                        <w14:solidFill>
                          <w14:schemeClr w14:val="tx1"/>
                        </w14:solidFill>
                      </w14:textFill>
                    </w:rPr>
                    <w:t>1#车间</w:t>
                  </w:r>
                  <w:r>
                    <w:rPr>
                      <w:rFonts w:hint="default" w:ascii="Times New Roman" w:hAnsi="Times New Roman" w:cs="Times New Roman"/>
                      <w:color w:val="000000" w:themeColor="text1"/>
                      <w:highlight w:val="none"/>
                      <w:lang w:val="en-US" w:eastAsia="zh-CN"/>
                      <w14:textFill>
                        <w14:solidFill>
                          <w14:schemeClr w14:val="tx1"/>
                        </w14:solidFill>
                      </w14:textFill>
                    </w:rPr>
                    <w:t>厂界</w:t>
                  </w:r>
                  <w:r>
                    <w:rPr>
                      <w:rFonts w:hint="eastAsia" w:cs="Times New Roman"/>
                      <w:color w:val="000000" w:themeColor="text1"/>
                      <w:highlight w:val="none"/>
                      <w:lang w:val="en-US" w:eastAsia="zh-CN"/>
                      <w14:textFill>
                        <w14:solidFill>
                          <w14:schemeClr w14:val="tx1"/>
                        </w14:solidFill>
                      </w14:textFill>
                    </w:rPr>
                    <w:t>北</w:t>
                  </w:r>
                  <w:r>
                    <w:rPr>
                      <w:rFonts w:hint="default" w:ascii="Times New Roman" w:hAnsi="Times New Roman" w:cs="Times New Roman"/>
                      <w:color w:val="000000" w:themeColor="text1"/>
                      <w:highlight w:val="none"/>
                      <w:lang w:val="en-US" w:eastAsia="zh-CN"/>
                      <w14:textFill>
                        <w14:solidFill>
                          <w14:schemeClr w14:val="tx1"/>
                        </w14:solidFill>
                      </w14:textFill>
                    </w:rPr>
                    <w:t>侧</w:t>
                  </w:r>
                </w:p>
              </w:tc>
              <w:tc>
                <w:tcPr>
                  <w:tcW w:w="834" w:type="pct"/>
                  <w:tcBorders>
                    <w:tl2br w:val="nil"/>
                    <w:tr2bl w:val="nil"/>
                  </w:tcBorders>
                  <w:shd w:val="clear" w:color="auto" w:fill="auto"/>
                  <w:noWrap w:val="0"/>
                  <w:vAlign w:val="center"/>
                </w:tcPr>
                <w:p w14:paraId="3FCE7DA6">
                  <w:pPr>
                    <w:pStyle w:val="26"/>
                    <w:bidi w:val="0"/>
                    <w:ind w:firstLine="0" w:firstLineChars="0"/>
                    <w:rPr>
                      <w:rFonts w:hint="eastAsia" w:ascii="Times New Roman" w:hAnsi="Times New Roman" w:eastAsia="宋体" w:cs="Times New Roman"/>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54.3</w:t>
                  </w:r>
                </w:p>
              </w:tc>
              <w:tc>
                <w:tcPr>
                  <w:tcW w:w="626" w:type="pct"/>
                  <w:vMerge w:val="continue"/>
                  <w:tcBorders>
                    <w:tl2br w:val="nil"/>
                    <w:tr2bl w:val="nil"/>
                  </w:tcBorders>
                  <w:noWrap w:val="0"/>
                  <w:vAlign w:val="center"/>
                </w:tcPr>
                <w:p w14:paraId="2C9295AA">
                  <w:pPr>
                    <w:pStyle w:val="26"/>
                    <w:bidi w:val="0"/>
                    <w:rPr>
                      <w:rFonts w:hint="default" w:ascii="Times New Roman" w:hAnsi="Times New Roman" w:cs="Times New Roman"/>
                      <w:color w:val="000000" w:themeColor="text1"/>
                      <w:highlight w:val="none"/>
                      <w14:textFill>
                        <w14:solidFill>
                          <w14:schemeClr w14:val="tx1"/>
                        </w14:solidFill>
                      </w14:textFill>
                    </w:rPr>
                  </w:pPr>
                </w:p>
              </w:tc>
              <w:tc>
                <w:tcPr>
                  <w:tcW w:w="630" w:type="pct"/>
                  <w:vMerge w:val="continue"/>
                  <w:tcBorders>
                    <w:tl2br w:val="nil"/>
                    <w:tr2bl w:val="nil"/>
                  </w:tcBorders>
                  <w:noWrap w:val="0"/>
                  <w:vAlign w:val="center"/>
                </w:tcPr>
                <w:p w14:paraId="53A05D77">
                  <w:pPr>
                    <w:pStyle w:val="26"/>
                    <w:bidi w:val="0"/>
                    <w:rPr>
                      <w:rFonts w:hint="default" w:ascii="Times New Roman" w:hAnsi="Times New Roman" w:cs="Times New Roman"/>
                      <w:color w:val="000000" w:themeColor="text1"/>
                      <w:highlight w:val="none"/>
                      <w14:textFill>
                        <w14:solidFill>
                          <w14:schemeClr w14:val="tx1"/>
                        </w14:solidFill>
                      </w14:textFill>
                    </w:rPr>
                  </w:pPr>
                </w:p>
              </w:tc>
              <w:tc>
                <w:tcPr>
                  <w:tcW w:w="964" w:type="pct"/>
                  <w:tcBorders>
                    <w:tl2br w:val="nil"/>
                    <w:tr2bl w:val="nil"/>
                  </w:tcBorders>
                  <w:noWrap w:val="0"/>
                  <w:vAlign w:val="center"/>
                </w:tcPr>
                <w:p w14:paraId="54D5CF3A">
                  <w:pPr>
                    <w:pStyle w:val="26"/>
                    <w:bidi w:val="0"/>
                    <w:ind w:firstLine="0" w:firstLineChars="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达标</w:t>
                  </w:r>
                </w:p>
              </w:tc>
            </w:tr>
          </w:tbl>
          <w:p w14:paraId="1FB8DA9D">
            <w:pPr>
              <w:bidi w:val="0"/>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本项目为昼间、夜间均有生产，由</w: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begin"/>
            </w:r>
            <w:r>
              <w:rPr>
                <w:rFonts w:hint="default" w:ascii="Times New Roman" w:hAnsi="Times New Roman" w:cs="Times New Roman"/>
                <w:color w:val="000000" w:themeColor="text1"/>
                <w:highlight w:val="none"/>
                <w:lang w:val="en-US" w:eastAsia="zh-CN"/>
                <w14:textFill>
                  <w14:solidFill>
                    <w14:schemeClr w14:val="tx1"/>
                  </w14:solidFill>
                </w14:textFill>
              </w:rPr>
              <w:instrText xml:space="preserve"> REF _Ref25797 \n \h </w:instrTex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separate"/>
            </w:r>
            <w:r>
              <w:rPr>
                <w:rFonts w:hint="default" w:ascii="Times New Roman" w:hAnsi="Times New Roman" w:cs="Times New Roman"/>
                <w:color w:val="000000" w:themeColor="text1"/>
                <w:highlight w:val="none"/>
                <w:lang w:val="en-US" w:eastAsia="zh-CN"/>
                <w14:textFill>
                  <w14:solidFill>
                    <w14:schemeClr w14:val="tx1"/>
                  </w14:solidFill>
                </w14:textFill>
              </w:rPr>
              <w:t>表4.3-3</w: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end"/>
            </w:r>
            <w:r>
              <w:rPr>
                <w:rFonts w:hint="default" w:ascii="Times New Roman" w:hAnsi="Times New Roman" w:cs="Times New Roman"/>
                <w:color w:val="000000" w:themeColor="text1"/>
                <w:highlight w:val="none"/>
                <w:lang w:eastAsia="zh-CN"/>
                <w14:textFill>
                  <w14:solidFill>
                    <w14:schemeClr w14:val="tx1"/>
                  </w14:solidFill>
                </w14:textFill>
              </w:rPr>
              <w:t>可知，项目设备产生的噪声在考虑采取设备噪声消声、隔声和距离衰减</w:t>
            </w:r>
            <w:r>
              <w:rPr>
                <w:rFonts w:hint="default" w:ascii="Times New Roman" w:hAnsi="Times New Roman" w:cs="Times New Roman"/>
                <w:color w:val="000000" w:themeColor="text1"/>
                <w:highlight w:val="none"/>
                <w:lang w:val="en-US" w:eastAsia="zh-CN"/>
                <w14:textFill>
                  <w14:solidFill>
                    <w14:schemeClr w14:val="tx1"/>
                  </w14:solidFill>
                </w14:textFill>
              </w:rPr>
              <w:t>等综合降噪措施</w:t>
            </w:r>
            <w:r>
              <w:rPr>
                <w:rFonts w:hint="default" w:ascii="Times New Roman" w:hAnsi="Times New Roman" w:cs="Times New Roman"/>
                <w:color w:val="000000" w:themeColor="text1"/>
                <w:highlight w:val="none"/>
                <w:lang w:eastAsia="zh-CN"/>
                <w14:textFill>
                  <w14:solidFill>
                    <w14:schemeClr w14:val="tx1"/>
                  </w14:solidFill>
                </w14:textFill>
              </w:rPr>
              <w:t>的情况下，各厂界噪声</w:t>
            </w:r>
            <w:r>
              <w:rPr>
                <w:rFonts w:hint="eastAsia" w:cs="Times New Roman"/>
                <w:color w:val="000000" w:themeColor="text1"/>
                <w:highlight w:val="none"/>
                <w:lang w:eastAsia="zh-CN"/>
                <w14:textFill>
                  <w14:solidFill>
                    <w14:schemeClr w14:val="tx1"/>
                  </w14:solidFill>
                </w14:textFill>
              </w:rPr>
              <w:t>的</w:t>
            </w:r>
            <w:r>
              <w:rPr>
                <w:rFonts w:hint="eastAsia" w:cs="Times New Roman"/>
                <w:color w:val="000000" w:themeColor="text1"/>
                <w:highlight w:val="none"/>
                <w:lang w:val="en-US" w:eastAsia="zh-CN"/>
                <w14:textFill>
                  <w14:solidFill>
                    <w14:schemeClr w14:val="tx1"/>
                  </w14:solidFill>
                </w14:textFill>
              </w:rPr>
              <w:t>贡献值</w:t>
            </w:r>
            <w:r>
              <w:rPr>
                <w:rFonts w:hint="default" w:ascii="Times New Roman" w:hAnsi="Times New Roman" w:cs="Times New Roman"/>
                <w:color w:val="000000" w:themeColor="text1"/>
                <w:highlight w:val="none"/>
                <w:lang w:eastAsia="zh-CN"/>
                <w14:textFill>
                  <w14:solidFill>
                    <w14:schemeClr w14:val="tx1"/>
                  </w14:solidFill>
                </w14:textFill>
              </w:rPr>
              <w:t>可满足《工业企业厂界环境噪声排放标准》（GB12348-2008）3类标准的要求。</w:t>
            </w:r>
          </w:p>
          <w:p w14:paraId="156AEA9B">
            <w:pPr>
              <w:pStyle w:val="3"/>
              <w:numPr>
                <w:ilvl w:val="2"/>
                <w:numId w:val="4"/>
              </w:numPr>
              <w:bidi w:val="0"/>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噪声污染防治措施</w:t>
            </w:r>
          </w:p>
          <w:p w14:paraId="2589FBCE">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为尽可能降低噪声对周围环境的影响，要求企业采取如下防治措施：</w:t>
            </w:r>
          </w:p>
          <w:p w14:paraId="0574A37F">
            <w:pP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（1）从声源上降低噪声是最积极的措施，设备选型尽可能</w:t>
            </w:r>
            <w:r>
              <w:rPr>
                <w:rFonts w:hint="default" w:ascii="Times New Roman" w:hAnsi="Times New Roman" w:cs="Times New Roman"/>
                <w:color w:val="000000" w:themeColor="text1"/>
                <w:highlight w:val="none"/>
                <w:lang w:val="en-US" w:eastAsia="zh-CN"/>
                <w14:textFill>
                  <w14:solidFill>
                    <w14:schemeClr w14:val="tx1"/>
                  </w14:solidFill>
                </w14:textFill>
              </w:rPr>
              <w:t>选用</w:t>
            </w:r>
            <w:r>
              <w:rPr>
                <w:rFonts w:hint="default" w:ascii="Times New Roman" w:hAnsi="Times New Roman" w:cs="Times New Roman"/>
                <w:color w:val="000000" w:themeColor="text1"/>
                <w:highlight w:val="none"/>
                <w:lang w:eastAsia="zh-CN"/>
                <w14:textFill>
                  <w14:solidFill>
                    <w14:schemeClr w14:val="tx1"/>
                  </w14:solidFill>
                </w14:textFill>
              </w:rPr>
              <w:t>低噪声设备。</w:t>
            </w:r>
          </w:p>
          <w:p w14:paraId="624BF4C4">
            <w:pP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对于</w:t>
            </w:r>
            <w:r>
              <w:rPr>
                <w:rFonts w:hint="default" w:ascii="Times New Roman" w:hAnsi="Times New Roman" w:cs="Times New Roman"/>
                <w:color w:val="000000" w:themeColor="text1"/>
                <w:highlight w:val="none"/>
                <w:lang w:eastAsia="zh-CN"/>
                <w14:textFill>
                  <w14:solidFill>
                    <w14:schemeClr w14:val="tx1"/>
                  </w14:solidFill>
                </w14:textFill>
              </w:rPr>
              <w:t>高噪声设备</w:t>
            </w:r>
            <w:r>
              <w:rPr>
                <w:rFonts w:hint="default" w:ascii="Times New Roman" w:hAnsi="Times New Roman" w:cs="Times New Roman"/>
                <w:color w:val="000000" w:themeColor="text1"/>
                <w:highlight w:val="none"/>
                <w:lang w:val="en-US" w:eastAsia="zh-CN"/>
                <w14:textFill>
                  <w14:solidFill>
                    <w14:schemeClr w14:val="tx1"/>
                  </w14:solidFill>
                </w14:textFill>
              </w:rPr>
              <w:t>采用</w:t>
            </w:r>
            <w:r>
              <w:rPr>
                <w:rFonts w:hint="eastAsia" w:cs="Times New Roman"/>
                <w:color w:val="000000" w:themeColor="text1"/>
                <w:highlight w:val="none"/>
                <w:lang w:val="en-US" w:eastAsia="zh-CN"/>
                <w14:textFill>
                  <w14:solidFill>
                    <w14:schemeClr w14:val="tx1"/>
                  </w14:solidFill>
                </w14:textFill>
              </w:rPr>
              <w:t>减振</w:t>
            </w:r>
            <w:r>
              <w:rPr>
                <w:rFonts w:hint="default" w:ascii="Times New Roman" w:hAnsi="Times New Roman" w:cs="Times New Roman"/>
                <w:color w:val="000000" w:themeColor="text1"/>
                <w:highlight w:val="none"/>
                <w:lang w:val="en-US" w:eastAsia="zh-CN"/>
                <w14:textFill>
                  <w14:solidFill>
                    <w14:schemeClr w14:val="tx1"/>
                  </w14:solidFill>
                </w14:textFill>
              </w:rPr>
              <w:t>、消声</w:t>
            </w:r>
            <w:r>
              <w:rPr>
                <w:rFonts w:hint="default" w:ascii="Times New Roman" w:hAnsi="Times New Roman" w:cs="Times New Roman"/>
                <w:color w:val="000000" w:themeColor="text1"/>
                <w:highlight w:val="none"/>
                <w:lang w:eastAsia="zh-CN"/>
                <w14:textFill>
                  <w14:solidFill>
                    <w14:schemeClr w14:val="tx1"/>
                  </w14:solidFill>
                </w14:textFill>
              </w:rPr>
              <w:t>等</w:t>
            </w:r>
            <w:r>
              <w:rPr>
                <w:rFonts w:hint="default" w:ascii="Times New Roman" w:hAnsi="Times New Roman" w:cs="Times New Roman"/>
                <w:color w:val="000000" w:themeColor="text1"/>
                <w:highlight w:val="none"/>
                <w:lang w:val="en-US" w:eastAsia="zh-CN"/>
                <w14:textFill>
                  <w14:solidFill>
                    <w14:schemeClr w14:val="tx1"/>
                  </w14:solidFill>
                </w14:textFill>
              </w:rPr>
              <w:t>措施</w:t>
            </w:r>
            <w:r>
              <w:rPr>
                <w:rFonts w:hint="eastAsia" w:cs="Times New Roman"/>
                <w:color w:val="000000" w:themeColor="text1"/>
                <w:highlight w:val="none"/>
                <w:lang w:val="en-US" w:eastAsia="zh-CN"/>
                <w14:textFill>
                  <w14:solidFill>
                    <w14:schemeClr w14:val="tx1"/>
                  </w14:solidFill>
                </w14:textFill>
              </w:rPr>
              <w:t>。</w:t>
            </w:r>
          </w:p>
          <w:p w14:paraId="1EF2FFED">
            <w:pP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lang w:eastAsia="zh-CN"/>
                <w14:textFill>
                  <w14:solidFill>
                    <w14:schemeClr w14:val="tx1"/>
                  </w14:solidFill>
                </w14:textFill>
              </w:rPr>
              <w:t>）合理布局。在厂区的布局上，生产</w:t>
            </w:r>
            <w:r>
              <w:rPr>
                <w:rFonts w:hint="default" w:ascii="Times New Roman" w:hAnsi="Times New Roman" w:cs="Times New Roman"/>
                <w:color w:val="000000" w:themeColor="text1"/>
                <w:highlight w:val="none"/>
                <w:lang w:val="en-US" w:eastAsia="zh-CN"/>
                <w14:textFill>
                  <w14:solidFill>
                    <w14:schemeClr w14:val="tx1"/>
                  </w14:solidFill>
                </w14:textFill>
              </w:rPr>
              <w:t>主要噪声设备应尽可能布设于距办公</w:t>
            </w:r>
            <w:r>
              <w:rPr>
                <w:rFonts w:hint="eastAsia" w:ascii="Times New Roman" w:hAnsi="Times New Roman" w:cs="Times New Roman"/>
                <w:color w:val="000000" w:themeColor="text1"/>
                <w:highlight w:val="none"/>
                <w:lang w:val="en-US" w:eastAsia="zh-CN"/>
                <w14:textFill>
                  <w14:solidFill>
                    <w14:schemeClr w14:val="tx1"/>
                  </w14:solidFill>
                </w14:textFill>
              </w:rPr>
              <w:t>区</w:t>
            </w:r>
            <w:r>
              <w:rPr>
                <w:rFonts w:hint="default" w:ascii="Times New Roman" w:hAnsi="Times New Roman" w:cs="Times New Roman"/>
                <w:color w:val="000000" w:themeColor="text1"/>
                <w:highlight w:val="none"/>
                <w:lang w:val="en-US" w:eastAsia="zh-CN"/>
                <w14:textFill>
                  <w14:solidFill>
                    <w14:schemeClr w14:val="tx1"/>
                  </w14:solidFill>
                </w14:textFill>
              </w:rPr>
              <w:t>较远的位置</w:t>
            </w:r>
            <w:r>
              <w:rPr>
                <w:rFonts w:hint="default" w:ascii="Times New Roman" w:hAnsi="Times New Roman" w:cs="Times New Roman"/>
                <w:color w:val="000000" w:themeColor="text1"/>
                <w:highlight w:val="none"/>
                <w14:textFill>
                  <w14:solidFill>
                    <w14:schemeClr w14:val="tx1"/>
                  </w14:solidFill>
                </w14:textFill>
              </w:rPr>
              <w:t>，以防噪声对工作、休息环境产生影响</w:t>
            </w:r>
            <w:r>
              <w:rPr>
                <w:rFonts w:hint="default" w:ascii="Times New Roman" w:hAnsi="Times New Roman" w:cs="Times New Roman"/>
                <w:color w:val="000000" w:themeColor="text1"/>
                <w:highlight w:val="none"/>
                <w:lang w:eastAsia="zh-CN"/>
                <w14:textFill>
                  <w14:solidFill>
                    <w14:schemeClr w14:val="tx1"/>
                  </w14:solidFill>
                </w14:textFill>
              </w:rPr>
              <w:t>。</w:t>
            </w:r>
          </w:p>
          <w:p w14:paraId="4E7CD2BD">
            <w:pP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lang w:eastAsia="zh-CN"/>
                <w14:textFill>
                  <w14:solidFill>
                    <w14:schemeClr w14:val="tx1"/>
                  </w14:solidFill>
                </w14:textFill>
              </w:rPr>
              <w:t>）定期检查、维修设备，使设备处于良好的运行状态，防止机械噪声的升高。</w:t>
            </w:r>
          </w:p>
          <w:p w14:paraId="2F6CE086">
            <w:pPr>
              <w:pStyle w:val="3"/>
              <w:numPr>
                <w:ilvl w:val="2"/>
                <w:numId w:val="4"/>
              </w:numPr>
              <w:bidi w:val="0"/>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噪声监测计划</w:t>
            </w:r>
          </w:p>
          <w:p w14:paraId="3391EE2C">
            <w:pPr>
              <w:rPr>
                <w:rFonts w:hint="default"/>
                <w:color w:val="000000" w:themeColor="text1"/>
                <w:highlight w:val="none"/>
                <w:lang w:eastAsia="zh-CN"/>
                <w14:textFill>
                  <w14:solidFill>
                    <w14:schemeClr w14:val="tx1"/>
                  </w14:solidFill>
                </w14:textFill>
              </w:rPr>
            </w:pPr>
            <w:r>
              <w:rPr>
                <w:rFonts w:hint="default"/>
                <w:color w:val="000000" w:themeColor="text1"/>
                <w:highlight w:val="none"/>
                <w:lang w:eastAsia="zh-CN"/>
                <w14:textFill>
                  <w14:solidFill>
                    <w14:schemeClr w14:val="tx1"/>
                  </w14:solidFill>
                </w14:textFill>
              </w:rPr>
              <w:t>参照《排污单位自行监测技术指南 总则》（HJ819-2017）、《排污许可证申请与核发技术规范 石墨及其他非金属矿物制品制造》（HJ1119-2020）规定，项目运营期应按照本项目环评要求开展声环境自行监测，本次项目噪声自行监测计划如下：</w:t>
            </w:r>
          </w:p>
          <w:p w14:paraId="10704130">
            <w:pPr>
              <w:pStyle w:val="30"/>
              <w:numPr>
                <w:ilvl w:val="4"/>
                <w:numId w:val="4"/>
              </w:numPr>
              <w:tabs>
                <w:tab w:val="left" w:pos="0"/>
              </w:tabs>
              <w:bidi w:val="0"/>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噪声监测计划</w:t>
            </w:r>
          </w:p>
          <w:tbl>
            <w:tblPr>
              <w:tblStyle w:val="1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56"/>
              <w:gridCol w:w="1261"/>
              <w:gridCol w:w="3323"/>
              <w:gridCol w:w="1456"/>
            </w:tblGrid>
            <w:tr w14:paraId="7B5156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9" w:type="pct"/>
                  <w:tcBorders>
                    <w:tl2br w:val="nil"/>
                    <w:tr2bl w:val="nil"/>
                  </w:tcBorders>
                  <w:noWrap w:val="0"/>
                  <w:vAlign w:val="center"/>
                </w:tcPr>
                <w:p w14:paraId="68AD45A1">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监测点位</w:t>
                  </w:r>
                </w:p>
              </w:tc>
              <w:tc>
                <w:tcPr>
                  <w:tcW w:w="760" w:type="pct"/>
                  <w:tcBorders>
                    <w:tl2br w:val="nil"/>
                    <w:tr2bl w:val="nil"/>
                  </w:tcBorders>
                  <w:noWrap w:val="0"/>
                  <w:vAlign w:val="center"/>
                </w:tcPr>
                <w:p w14:paraId="208D308F">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监测项目</w:t>
                  </w:r>
                </w:p>
              </w:tc>
              <w:tc>
                <w:tcPr>
                  <w:tcW w:w="2002" w:type="pct"/>
                  <w:tcBorders>
                    <w:tl2br w:val="nil"/>
                    <w:tr2bl w:val="nil"/>
                  </w:tcBorders>
                  <w:noWrap w:val="0"/>
                  <w:vAlign w:val="center"/>
                </w:tcPr>
                <w:p w14:paraId="2D3DAF4B">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执行标准</w:t>
                  </w:r>
                </w:p>
              </w:tc>
              <w:tc>
                <w:tcPr>
                  <w:tcW w:w="877" w:type="pct"/>
                  <w:tcBorders>
                    <w:tl2br w:val="nil"/>
                    <w:tr2bl w:val="nil"/>
                  </w:tcBorders>
                  <w:noWrap w:val="0"/>
                  <w:vAlign w:val="center"/>
                </w:tcPr>
                <w:p w14:paraId="3CD0840C">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监测频次</w:t>
                  </w:r>
                </w:p>
              </w:tc>
            </w:tr>
            <w:tr w14:paraId="548349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9" w:type="pct"/>
                  <w:tcBorders>
                    <w:tl2br w:val="nil"/>
                    <w:tr2bl w:val="nil"/>
                  </w:tcBorders>
                  <w:noWrap w:val="0"/>
                  <w:vAlign w:val="center"/>
                </w:tcPr>
                <w:p w14:paraId="5AFEA7C8">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厂界边界外1 m</w:t>
                  </w:r>
                  <w:r>
                    <w:rPr>
                      <w:rFonts w:hint="eastAsia"/>
                      <w:color w:val="000000" w:themeColor="text1"/>
                      <w:highlight w:val="none"/>
                      <w:lang w:val="en-US" w:eastAsia="zh-CN" w:bidi="ar-SA"/>
                      <w14:textFill>
                        <w14:solidFill>
                          <w14:schemeClr w14:val="tx1"/>
                        </w14:solidFill>
                      </w14:textFill>
                    </w:rPr>
                    <w:t>（共5个监测点，见</w:t>
                  </w:r>
                  <w:r>
                    <w:rPr>
                      <w:rFonts w:hint="eastAsia"/>
                      <w:color w:val="000000" w:themeColor="text1"/>
                      <w:highlight w:val="none"/>
                      <w:lang w:val="en-US" w:eastAsia="zh-CN" w:bidi="ar-SA"/>
                      <w14:textFill>
                        <w14:solidFill>
                          <w14:schemeClr w14:val="tx1"/>
                        </w14:solidFill>
                      </w14:textFill>
                    </w:rPr>
                    <w:fldChar w:fldCharType="begin"/>
                  </w:r>
                  <w:r>
                    <w:rPr>
                      <w:rFonts w:hint="eastAsia"/>
                      <w:color w:val="000000" w:themeColor="text1"/>
                      <w:highlight w:val="none"/>
                      <w:lang w:val="en-US" w:eastAsia="zh-CN" w:bidi="ar-SA"/>
                      <w14:textFill>
                        <w14:solidFill>
                          <w14:schemeClr w14:val="tx1"/>
                        </w14:solidFill>
                      </w14:textFill>
                    </w:rPr>
                    <w:instrText xml:space="preserve"> REF _Ref19952 \n \h </w:instrText>
                  </w:r>
                  <w:r>
                    <w:rPr>
                      <w:rFonts w:hint="eastAsia"/>
                      <w:color w:val="000000" w:themeColor="text1"/>
                      <w:highlight w:val="none"/>
                      <w:lang w:val="en-US" w:eastAsia="zh-CN" w:bidi="ar-SA"/>
                      <w14:textFill>
                        <w14:solidFill>
                          <w14:schemeClr w14:val="tx1"/>
                        </w14:solidFill>
                      </w14:textFill>
                    </w:rPr>
                    <w:fldChar w:fldCharType="separate"/>
                  </w:r>
                  <w:r>
                    <w:rPr>
                      <w:rFonts w:hint="eastAsia"/>
                      <w:color w:val="000000" w:themeColor="text1"/>
                      <w:highlight w:val="none"/>
                      <w:lang w:val="en-US" w:eastAsia="zh-CN" w:bidi="ar-SA"/>
                      <w14:textFill>
                        <w14:solidFill>
                          <w14:schemeClr w14:val="tx1"/>
                        </w14:solidFill>
                      </w14:textFill>
                    </w:rPr>
                    <w:t>图4.3-1</w:t>
                  </w:r>
                  <w:r>
                    <w:rPr>
                      <w:rFonts w:hint="eastAsia"/>
                      <w:color w:val="000000" w:themeColor="text1"/>
                      <w:highlight w:val="none"/>
                      <w:lang w:val="en-US" w:eastAsia="zh-CN" w:bidi="ar-SA"/>
                      <w14:textFill>
                        <w14:solidFill>
                          <w14:schemeClr w14:val="tx1"/>
                        </w14:solidFill>
                      </w14:textFill>
                    </w:rPr>
                    <w:fldChar w:fldCharType="end"/>
                  </w:r>
                  <w:r>
                    <w:rPr>
                      <w:rFonts w:hint="eastAsia"/>
                      <w:color w:val="000000" w:themeColor="text1"/>
                      <w:highlight w:val="none"/>
                      <w:lang w:val="en-US" w:eastAsia="zh-CN" w:bidi="ar-SA"/>
                      <w14:textFill>
                        <w14:solidFill>
                          <w14:schemeClr w14:val="tx1"/>
                        </w14:solidFill>
                      </w14:textFill>
                    </w:rPr>
                    <w:t>）</w:t>
                  </w:r>
                </w:p>
              </w:tc>
              <w:tc>
                <w:tcPr>
                  <w:tcW w:w="760" w:type="pct"/>
                  <w:tcBorders>
                    <w:tl2br w:val="nil"/>
                    <w:tr2bl w:val="nil"/>
                  </w:tcBorders>
                  <w:noWrap w:val="0"/>
                  <w:vAlign w:val="center"/>
                </w:tcPr>
                <w:p w14:paraId="6E6CA0A8">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等效连续A声级</w:t>
                  </w:r>
                </w:p>
              </w:tc>
              <w:tc>
                <w:tcPr>
                  <w:tcW w:w="2002" w:type="pct"/>
                  <w:tcBorders>
                    <w:tl2br w:val="nil"/>
                    <w:tr2bl w:val="nil"/>
                  </w:tcBorders>
                  <w:noWrap w:val="0"/>
                  <w:vAlign w:val="center"/>
                </w:tcPr>
                <w:p w14:paraId="0DD441EC">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《工业企业厂界环境噪声排放标准》（GB12348-2008）表1中的3类标准</w:t>
                  </w:r>
                </w:p>
              </w:tc>
              <w:tc>
                <w:tcPr>
                  <w:tcW w:w="877" w:type="pct"/>
                  <w:tcBorders>
                    <w:tl2br w:val="nil"/>
                    <w:tr2bl w:val="nil"/>
                  </w:tcBorders>
                  <w:noWrap w:val="0"/>
                  <w:vAlign w:val="center"/>
                </w:tcPr>
                <w:p w14:paraId="5316D82F">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1次/季</w:t>
                  </w:r>
                </w:p>
              </w:tc>
            </w:tr>
          </w:tbl>
          <w:p w14:paraId="27E5ADC6">
            <w:pPr>
              <w:pStyle w:val="2"/>
              <w:numPr>
                <w:ilvl w:val="1"/>
                <w:numId w:val="4"/>
              </w:numPr>
              <w:tabs>
                <w:tab w:val="left" w:pos="420"/>
              </w:tabs>
              <w:bidi w:val="0"/>
              <w:rPr>
                <w:rFonts w:hint="default" w:ascii="Times New Roman" w:hAnsi="Times New Roman" w:cs="Times New Roman"/>
                <w:color w:val="000000" w:themeColor="text1"/>
                <w:highlight w:val="none"/>
                <w:lang w:eastAsia="zh-CN"/>
                <w14:textFill>
                  <w14:solidFill>
                    <w14:schemeClr w14:val="tx1"/>
                  </w14:solidFill>
                </w14:textFill>
              </w:rPr>
            </w:pPr>
            <w:bookmarkStart w:id="223" w:name="_Toc25761"/>
            <w:bookmarkStart w:id="224" w:name="_Toc6235"/>
            <w:bookmarkStart w:id="225" w:name="_Toc17256"/>
            <w:bookmarkStart w:id="226" w:name="_Toc6267"/>
            <w:bookmarkStart w:id="227" w:name="_Toc2662"/>
            <w:bookmarkStart w:id="228" w:name="_Toc11625"/>
            <w:r>
              <w:rPr>
                <w:rFonts w:hint="default" w:ascii="Times New Roman" w:hAnsi="Times New Roman" w:cs="Times New Roman"/>
                <w:color w:val="000000" w:themeColor="text1"/>
                <w:highlight w:val="none"/>
                <w:lang w:val="en-US" w:eastAsia="zh-CN"/>
                <w14:textFill>
                  <w14:solidFill>
                    <w14:schemeClr w14:val="tx1"/>
                  </w14:solidFill>
                </w14:textFill>
              </w:rPr>
              <w:t>固体废物</w:t>
            </w:r>
            <w:bookmarkEnd w:id="223"/>
            <w:bookmarkEnd w:id="224"/>
            <w:bookmarkEnd w:id="225"/>
            <w:bookmarkEnd w:id="226"/>
            <w:bookmarkEnd w:id="227"/>
            <w:bookmarkEnd w:id="228"/>
          </w:p>
          <w:p w14:paraId="2E77109D">
            <w:pPr>
              <w:pStyle w:val="3"/>
              <w:numPr>
                <w:ilvl w:val="2"/>
                <w:numId w:val="4"/>
              </w:numPr>
              <w:bidi w:val="0"/>
              <w:rPr>
                <w:rFonts w:hint="default" w:ascii="Times New Roman" w:hAnsi="Times New Roman" w:cs="Times New Roman"/>
                <w:color w:val="000000" w:themeColor="text1"/>
                <w:highlight w:val="none"/>
                <w:lang w:eastAsia="zh-CN"/>
                <w14:textFill>
                  <w14:solidFill>
                    <w14:schemeClr w14:val="tx1"/>
                  </w14:solidFill>
                </w14:textFill>
              </w:rPr>
            </w:pPr>
            <w:bookmarkStart w:id="229" w:name="_Toc11347"/>
            <w:bookmarkStart w:id="230" w:name="_Toc2608"/>
            <w:bookmarkStart w:id="231" w:name="_Toc7240"/>
            <w:r>
              <w:rPr>
                <w:rFonts w:hint="default" w:ascii="Times New Roman" w:hAnsi="Times New Roman" w:cs="Times New Roman"/>
                <w:color w:val="000000" w:themeColor="text1"/>
                <w:highlight w:val="none"/>
                <w:lang w:val="en-US" w:eastAsia="zh-CN"/>
                <w14:textFill>
                  <w14:solidFill>
                    <w14:schemeClr w14:val="tx1"/>
                  </w14:solidFill>
                </w14:textFill>
              </w:rPr>
              <w:t>固体废物产生情况及处置情况</w:t>
            </w:r>
            <w:bookmarkEnd w:id="229"/>
            <w:bookmarkEnd w:id="230"/>
            <w:bookmarkEnd w:id="231"/>
          </w:p>
          <w:p w14:paraId="67434C7F">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项目运营期产生的主要固体废物包括一般工业固体废物、危险废物和生活垃圾。</w:t>
            </w:r>
          </w:p>
          <w:p w14:paraId="512DA736">
            <w:pPr>
              <w:pStyle w:val="4"/>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一期工程固体废物产生情况</w:t>
            </w:r>
          </w:p>
          <w:p w14:paraId="59BA0585">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lang w:val="en-US" w:eastAsia="zh-CN"/>
                <w14:textFill>
                  <w14:solidFill>
                    <w14:schemeClr w14:val="tx1"/>
                  </w14:solidFill>
                </w14:textFill>
              </w:rPr>
              <w:t>一般工业固体废物</w:t>
            </w:r>
          </w:p>
          <w:p w14:paraId="650998F9">
            <w:pPr>
              <w:bidi w:val="0"/>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①原辅材料废包装袋</w:t>
            </w:r>
          </w:p>
          <w:p w14:paraId="58B932EF">
            <w:pPr>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项目碳粉、硅粉、石墨粉等一般原料使用过程中及产品包装过程中，产生废包装袋，根据建设单位提供资料，废包装袋产生量约为0.3 t/a</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根据生态环境部发布的《固体废物分类和代码目录》（公告2024年第4号），</w:t>
            </w:r>
            <w:r>
              <w:rPr>
                <w:rFonts w:hint="eastAsia" w:cs="Times New Roman"/>
                <w:color w:val="000000" w:themeColor="text1"/>
                <w:highlight w:val="none"/>
                <w:lang w:val="en-US" w:eastAsia="zh-CN"/>
                <w14:textFill>
                  <w14:solidFill>
                    <w14:schemeClr w14:val="tx1"/>
                  </w14:solidFill>
                </w14:textFill>
              </w:rPr>
              <w:t>废包装袋</w:t>
            </w:r>
            <w:r>
              <w:rPr>
                <w:rFonts w:hint="eastAsia" w:ascii="Times New Roman" w:hAnsi="Times New Roman" w:cs="Times New Roman"/>
                <w:color w:val="000000" w:themeColor="text1"/>
                <w:highlight w:val="none"/>
                <w:lang w:val="en-US" w:eastAsia="zh-CN"/>
                <w14:textFill>
                  <w14:solidFill>
                    <w14:schemeClr w14:val="tx1"/>
                  </w14:solidFill>
                </w14:textFill>
              </w:rPr>
              <w:t>属于SW17 可再生类废物-非特定行业-废塑料（工业生产活动中产生的塑料废弃边角料、废弃塑料包装等废物），代码为900-003-S17，收集后贮存于一般工业固体废物贮存间，定期交由物资回收单位综合利用。</w:t>
            </w:r>
          </w:p>
          <w:p w14:paraId="6C69DD5B">
            <w:pPr>
              <w:bidi w:val="0"/>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②</w:t>
            </w:r>
            <w:r>
              <w:rPr>
                <w:rFonts w:hint="eastAsia"/>
                <w:color w:val="000000" w:themeColor="text1"/>
                <w:highlight w:val="none"/>
                <w:lang w:val="en-US" w:eastAsia="zh-CN"/>
                <w14:textFill>
                  <w14:solidFill>
                    <w14:schemeClr w14:val="tx1"/>
                  </w14:solidFill>
                </w14:textFill>
              </w:rPr>
              <w:t>碳渣</w:t>
            </w:r>
          </w:p>
          <w:p w14:paraId="54ED4971">
            <w:pPr>
              <w:bidi w:val="0"/>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一期工程产生的碳渣主要来源于引弧放电（单壁碳纳米管生产线）产生的碳渣以及碳化（硅碳负极材料生产线）产生的碳渣。根据建设单位提供资料，引弧放电过程碳渣产生量约占原辅材料（碳粉、金属粉末、活性助剂、粘结剂）的40%，则碳渣产生量为49.92 t/a，碳化过程碳渣产生量约占原辅材料（硅粉、沥青、石墨粉、碳纳米管、石墨烯）的18%，则碳渣产生量为68.58 t/a。根据</w:t>
            </w:r>
            <w:r>
              <w:rPr>
                <w:rFonts w:hint="eastAsia" w:ascii="Times New Roman" w:hAnsi="Times New Roman" w:cs="Times New Roman"/>
                <w:color w:val="000000" w:themeColor="text1"/>
                <w:highlight w:val="none"/>
                <w:lang w:val="en-US" w:eastAsia="zh-CN"/>
                <w14:textFill>
                  <w14:solidFill>
                    <w14:schemeClr w14:val="tx1"/>
                  </w14:solidFill>
                </w14:textFill>
              </w:rPr>
              <w:t>生态环境部发布的《固体废物分类和代码目录》（公告2024年第4号），碳渣属于SW03 炉渣-非特定行业-其他炉渣（工业生产过程中产生的其他炉渣，包括农林生物质燃烧产生的炉渣等），代码为900-099-S03，收集后贮存于一般工业固体废物贮存间，定期交由物资回收单位综合利用。</w:t>
            </w:r>
          </w:p>
          <w:p w14:paraId="00124C69">
            <w:pPr>
              <w:bidi w:val="0"/>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③</w:t>
            </w:r>
            <w:r>
              <w:rPr>
                <w:rFonts w:hint="eastAsia"/>
                <w:color w:val="000000" w:themeColor="text1"/>
                <w:highlight w:val="none"/>
                <w:lang w:val="en-US" w:eastAsia="zh-CN"/>
                <w14:textFill>
                  <w14:solidFill>
                    <w14:schemeClr w14:val="tx1"/>
                  </w14:solidFill>
                </w14:textFill>
              </w:rPr>
              <w:t>不合格品</w:t>
            </w:r>
          </w:p>
          <w:p w14:paraId="10672943">
            <w:pPr>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一期工程产生的不合格品主要来源于检验过程，根据建设单位提供资料，</w:t>
            </w:r>
            <w:r>
              <w:rPr>
                <w:rFonts w:hint="eastAsia" w:cs="Times New Roman"/>
                <w:color w:val="000000" w:themeColor="text1"/>
                <w:highlight w:val="none"/>
                <w:lang w:val="en-US" w:eastAsia="zh-CN"/>
                <w14:textFill>
                  <w14:solidFill>
                    <w14:schemeClr w14:val="tx1"/>
                  </w14:solidFill>
                </w14:textFill>
              </w:rPr>
              <w:t>单壁碳纳米管生产线产生的不合格品约占成品的5%，即不合格品产生量为1.5 t/a；硅碳负极材料生产线不合格品产生量约占成品的1%，即不合格品产生量为3.0 t/a</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根据</w:t>
            </w:r>
            <w:r>
              <w:rPr>
                <w:rFonts w:hint="eastAsia" w:ascii="Times New Roman" w:hAnsi="Times New Roman" w:cs="Times New Roman"/>
                <w:color w:val="000000" w:themeColor="text1"/>
                <w:highlight w:val="none"/>
                <w:lang w:val="en-US" w:eastAsia="zh-CN"/>
                <w14:textFill>
                  <w14:solidFill>
                    <w14:schemeClr w14:val="tx1"/>
                  </w14:solidFill>
                </w14:textFill>
              </w:rPr>
              <w:t>生态环境部发布的《固体废物分类和代码目录》（公告2024年第4号），不合格品属于SW17 可再生类废物-非特定行业-其他可再生类废物（工业生产活动中产生的其他可再生类废物），代码为900-099-S17，收集后贮存于一般工业固体废物贮存间，定期交由物资回收单位综合利用。</w:t>
            </w:r>
          </w:p>
          <w:p w14:paraId="4AE65A30">
            <w:pPr>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④废</w:t>
            </w:r>
            <w:r>
              <w:rPr>
                <w:rFonts w:hint="eastAsia"/>
                <w:color w:val="000000" w:themeColor="text1"/>
                <w:highlight w:val="none"/>
                <w:lang w:val="en-US" w:eastAsia="zh-CN"/>
                <w14:textFill>
                  <w14:solidFill>
                    <w14:schemeClr w14:val="tx1"/>
                  </w14:solidFill>
                </w14:textFill>
              </w:rPr>
              <w:t>滤芯、废分子筛</w:t>
            </w:r>
          </w:p>
          <w:p w14:paraId="7D2FCC60">
            <w:pPr>
              <w:bidi w:val="0"/>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一期工程</w:t>
            </w:r>
            <w:r>
              <w:rPr>
                <w:rFonts w:hint="default" w:ascii="Times New Roman" w:hAnsi="Times New Roman" w:cs="Times New Roman"/>
                <w:color w:val="000000" w:themeColor="text1"/>
                <w:highlight w:val="none"/>
                <w:lang w:val="en-US" w:eastAsia="zh-CN"/>
                <w14:textFill>
                  <w14:solidFill>
                    <w14:schemeClr w14:val="tx1"/>
                  </w14:solidFill>
                </w14:textFill>
              </w:rPr>
              <w:t>制氮系统中去除粉尘用的玻璃纤维滤芯每半年更换一次，每次更换废玻璃纤维滤芯约0.05</w:t>
            </w:r>
            <w:r>
              <w:rPr>
                <w:rFonts w:hint="eastAsia" w:ascii="Times New Roman" w:hAnsi="Times New Roman" w:cs="Times New Roman"/>
                <w:color w:val="000000" w:themeColor="text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highlight w:val="none"/>
                <w:lang w:val="en-US" w:eastAsia="zh-CN"/>
                <w14:textFill>
                  <w14:solidFill>
                    <w14:schemeClr w14:val="tx1"/>
                  </w14:solidFill>
                </w14:textFill>
              </w:rPr>
              <w:t>t（合计0.1</w:t>
            </w:r>
            <w:r>
              <w:rPr>
                <w:rFonts w:hint="eastAsia" w:ascii="Times New Roman" w:hAnsi="Times New Roman" w:cs="Times New Roman"/>
                <w:color w:val="000000" w:themeColor="text1"/>
                <w:highlight w:val="none"/>
                <w:lang w:val="en-US" w:eastAsia="zh-CN"/>
                <w14:textFill>
                  <w14:solidFill>
                    <w14:schemeClr w14:val="tx1"/>
                  </w14:solidFill>
                </w14:textFill>
              </w:rPr>
              <w:t xml:space="preserve">0 </w:t>
            </w:r>
            <w:r>
              <w:rPr>
                <w:rFonts w:hint="default" w:ascii="Times New Roman" w:hAnsi="Times New Roman" w:cs="Times New Roman"/>
                <w:color w:val="000000" w:themeColor="text1"/>
                <w:highlight w:val="none"/>
                <w:lang w:val="en-US" w:eastAsia="zh-CN"/>
                <w14:textFill>
                  <w14:solidFill>
                    <w14:schemeClr w14:val="tx1"/>
                  </w14:solidFill>
                </w14:textFill>
              </w:rPr>
              <w:t>t/a）</w:t>
            </w:r>
            <w:r>
              <w:rPr>
                <w:rFonts w:hint="eastAsia" w:ascii="Times New Roman" w:hAnsi="Times New Roman" w:cs="Times New Roman"/>
                <w:color w:val="000000" w:themeColor="text1"/>
                <w:highlight w:val="none"/>
                <w:lang w:val="en-US" w:eastAsia="zh-CN"/>
                <w14:textFill>
                  <w14:solidFill>
                    <w14:schemeClr w14:val="tx1"/>
                  </w14:solidFill>
                </w14:textFill>
              </w:rPr>
              <w:t>；碳分子筛每3年更换一次，每次更换废碳分子筛约0.60 t（折算0.20 t/a）。</w:t>
            </w:r>
            <w:r>
              <w:rPr>
                <w:rFonts w:hint="default" w:ascii="Times New Roman" w:hAnsi="Times New Roman" w:cs="Times New Roman"/>
                <w:color w:val="000000" w:themeColor="text1"/>
                <w:highlight w:val="none"/>
                <w:lang w:val="en-US" w:eastAsia="zh-CN"/>
                <w14:textFill>
                  <w14:solidFill>
                    <w14:schemeClr w14:val="tx1"/>
                  </w14:solidFill>
                </w14:textFill>
              </w:rPr>
              <w:t>本项目废滤芯</w:t>
            </w:r>
            <w:r>
              <w:rPr>
                <w:rFonts w:hint="eastAsia" w:ascii="Times New Roman" w:hAnsi="Times New Roman" w:cs="Times New Roman"/>
                <w:color w:val="000000" w:themeColor="text1"/>
                <w:highlight w:val="none"/>
                <w:lang w:val="en-US" w:eastAsia="zh-CN"/>
                <w14:textFill>
                  <w14:solidFill>
                    <w14:schemeClr w14:val="tx1"/>
                  </w14:solidFill>
                </w14:textFill>
              </w:rPr>
              <w:t>、废分子筛</w:t>
            </w:r>
            <w:r>
              <w:rPr>
                <w:rFonts w:hint="default" w:ascii="Times New Roman" w:hAnsi="Times New Roman" w:cs="Times New Roman"/>
                <w:color w:val="000000" w:themeColor="text1"/>
                <w:highlight w:val="none"/>
                <w:lang w:val="en-US" w:eastAsia="zh-CN"/>
                <w14:textFill>
                  <w14:solidFill>
                    <w14:schemeClr w14:val="tx1"/>
                  </w14:solidFill>
                </w14:textFill>
              </w:rPr>
              <w:t>袋装收集，</w:t>
            </w:r>
            <w:r>
              <w:rPr>
                <w:rFonts w:hint="eastAsia" w:ascii="Times New Roman" w:hAnsi="Times New Roman" w:cs="Times New Roman"/>
                <w:color w:val="000000" w:themeColor="text1"/>
                <w:highlight w:val="none"/>
                <w:lang w:val="en-US" w:eastAsia="zh-CN"/>
                <w14:textFill>
                  <w14:solidFill>
                    <w14:schemeClr w14:val="tx1"/>
                  </w14:solidFill>
                </w14:textFill>
              </w:rPr>
              <w:t>均由</w:t>
            </w:r>
            <w:r>
              <w:rPr>
                <w:rFonts w:hint="default" w:ascii="Times New Roman" w:hAnsi="Times New Roman" w:cs="Times New Roman"/>
                <w:color w:val="000000" w:themeColor="text1"/>
                <w:highlight w:val="none"/>
                <w:lang w:val="en-US" w:eastAsia="zh-CN"/>
                <w14:textFill>
                  <w14:solidFill>
                    <w14:schemeClr w14:val="tx1"/>
                  </w14:solidFill>
                </w14:textFill>
              </w:rPr>
              <w:t>供应商回收。</w:t>
            </w:r>
            <w:r>
              <w:rPr>
                <w:rFonts w:hint="eastAsia" w:cs="Times New Roman"/>
                <w:color w:val="000000" w:themeColor="text1"/>
                <w:highlight w:val="none"/>
                <w:lang w:val="en-US" w:eastAsia="zh-CN"/>
                <w14:textFill>
                  <w14:solidFill>
                    <w14:schemeClr w14:val="tx1"/>
                  </w14:solidFill>
                </w14:textFill>
              </w:rPr>
              <w:t>根据</w:t>
            </w:r>
            <w:r>
              <w:rPr>
                <w:rFonts w:hint="eastAsia" w:ascii="Times New Roman" w:hAnsi="Times New Roman" w:cs="Times New Roman"/>
                <w:color w:val="000000" w:themeColor="text1"/>
                <w:highlight w:val="none"/>
                <w:lang w:val="en-US" w:eastAsia="zh-CN"/>
                <w14:textFill>
                  <w14:solidFill>
                    <w14:schemeClr w14:val="tx1"/>
                  </w14:solidFill>
                </w14:textFill>
              </w:rPr>
              <w:t>生态环境部发布的《固体废物分类和代码目录》（公告2024年第4号），废</w:t>
            </w:r>
            <w:r>
              <w:rPr>
                <w:rFonts w:hint="eastAsia"/>
                <w:color w:val="000000" w:themeColor="text1"/>
                <w:highlight w:val="none"/>
                <w:lang w:val="en-US" w:eastAsia="zh-CN"/>
                <w14:textFill>
                  <w14:solidFill>
                    <w14:schemeClr w14:val="tx1"/>
                  </w14:solidFill>
                </w14:textFill>
              </w:rPr>
              <w:t>滤芯、废分子筛</w:t>
            </w:r>
            <w:r>
              <w:rPr>
                <w:rFonts w:hint="eastAsia" w:ascii="Times New Roman" w:hAnsi="Times New Roman" w:cs="Times New Roman"/>
                <w:color w:val="000000" w:themeColor="text1"/>
                <w:highlight w:val="none"/>
                <w:lang w:val="en-US" w:eastAsia="zh-CN"/>
                <w14:textFill>
                  <w14:solidFill>
                    <w14:schemeClr w14:val="tx1"/>
                  </w14:solidFill>
                </w14:textFill>
              </w:rPr>
              <w:t>属于SW59 其他工业固体废物-非特定行业-废过滤材料（工业生产活动中产生的废过滤袋、过滤器等过滤材料），代码为900-009-S59。</w:t>
            </w:r>
          </w:p>
          <w:p w14:paraId="4890D325">
            <w:pPr>
              <w:bidi w:val="0"/>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⑤布袋除尘器截留粉尘</w:t>
            </w:r>
          </w:p>
          <w:p w14:paraId="26215BE0">
            <w:pPr>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根据物料平衡，硅碳负极材料生产线碳化过程产生的烟尘被布袋除尘器捕集量为1.8482 t/a，</w:t>
            </w:r>
            <w:r>
              <w:rPr>
                <w:rFonts w:hint="eastAsia" w:cs="Times New Roman"/>
                <w:color w:val="000000" w:themeColor="text1"/>
                <w:highlight w:val="none"/>
                <w:lang w:val="en-US" w:eastAsia="zh-CN"/>
                <w14:textFill>
                  <w14:solidFill>
                    <w14:schemeClr w14:val="tx1"/>
                  </w14:solidFill>
                </w14:textFill>
              </w:rPr>
              <w:t>根据</w:t>
            </w:r>
            <w:r>
              <w:rPr>
                <w:rFonts w:hint="eastAsia" w:ascii="Times New Roman" w:hAnsi="Times New Roman" w:cs="Times New Roman"/>
                <w:color w:val="000000" w:themeColor="text1"/>
                <w:highlight w:val="none"/>
                <w:lang w:val="en-US" w:eastAsia="zh-CN"/>
                <w14:textFill>
                  <w14:solidFill>
                    <w14:schemeClr w14:val="tx1"/>
                  </w14:solidFill>
                </w14:textFill>
              </w:rPr>
              <w:t xml:space="preserve">生态环境部发布的《固体废物分类和代码目录》（公告2024年第4号），收集的粉尘属于SW17 </w:t>
            </w:r>
            <w:r>
              <w:rPr>
                <w:rFonts w:hint="eastAsia" w:cs="Times New Roman"/>
                <w:color w:val="000000" w:themeColor="text1"/>
                <w:highlight w:val="none"/>
                <w:lang w:val="en-US" w:eastAsia="zh-CN"/>
                <w14:textFill>
                  <w14:solidFill>
                    <w14:schemeClr w14:val="tx1"/>
                  </w14:solidFill>
                </w14:textFill>
              </w:rPr>
              <w:t>可再生类废物</w:t>
            </w:r>
            <w:r>
              <w:rPr>
                <w:rFonts w:hint="eastAsia" w:ascii="Times New Roman" w:hAnsi="Times New Roman" w:cs="Times New Roman"/>
                <w:color w:val="000000" w:themeColor="text1"/>
                <w:highlight w:val="none"/>
                <w:lang w:val="en-US" w:eastAsia="zh-CN"/>
                <w14:textFill>
                  <w14:solidFill>
                    <w14:schemeClr w14:val="tx1"/>
                  </w14:solidFill>
                </w14:textFill>
              </w:rPr>
              <w:t>-非特定行业-其他可再生类废物（工业生产活动中产生的其他可再生类废物），代码为900-099-S17，收集后贮存于一般工业固体废物贮存间，定期交由物资回收单位综合利用。</w:t>
            </w:r>
          </w:p>
          <w:p w14:paraId="7BDC0B41">
            <w:pPr>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危险废物</w:t>
            </w:r>
          </w:p>
          <w:p w14:paraId="4F3D9628">
            <w:pPr>
              <w:bidi w:val="0"/>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①检验室废液</w:t>
            </w:r>
          </w:p>
          <w:p w14:paraId="07F5A0CA">
            <w:pPr>
              <w:bidi w:val="0"/>
              <w:rPr>
                <w:rFonts w:hint="eastAsia"/>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一期工程检验室废液产生量约为3.42 t/a。因检验室废液含有无机、酸等有毒有害物质，因此应作为危险废物委托有资质单位处置，根据《国家危险废物名录》（2025年版），检验室废液废物类别为</w:t>
            </w:r>
            <w:r>
              <w:rPr>
                <w:rFonts w:hint="eastAsia"/>
                <w:color w:val="000000" w:themeColor="text1"/>
                <w:highlight w:val="none"/>
                <w:lang w:val="en-US" w:eastAsia="zh-CN"/>
                <w14:textFill>
                  <w14:solidFill>
                    <w14:schemeClr w14:val="tx1"/>
                  </w14:solidFill>
                </w14:textFill>
              </w:rPr>
              <w:t>HW49，废物代码</w:t>
            </w:r>
            <w:r>
              <w:rPr>
                <w:rFonts w:hint="eastAsia" w:cs="Times New Roman"/>
                <w:color w:val="000000" w:themeColor="text1"/>
                <w:highlight w:val="none"/>
                <w:lang w:val="en-US" w:eastAsia="zh-CN"/>
                <w14:textFill>
                  <w14:solidFill>
                    <w14:schemeClr w14:val="tx1"/>
                  </w14:solidFill>
                </w14:textFill>
              </w:rPr>
              <w:t>为</w:t>
            </w:r>
            <w:r>
              <w:rPr>
                <w:rFonts w:hint="eastAsia"/>
                <w:color w:val="000000" w:themeColor="text1"/>
                <w:highlight w:val="none"/>
                <w:lang w:val="en-US" w:eastAsia="zh-CN"/>
                <w14:textFill>
                  <w14:solidFill>
                    <w14:schemeClr w14:val="tx1"/>
                  </w14:solidFill>
                </w14:textFill>
              </w:rPr>
              <w:t>900-047-49。</w:t>
            </w:r>
          </w:p>
          <w:p w14:paraId="2D85541B">
            <w:pPr>
              <w:bidi w:val="0"/>
              <w:rPr>
                <w:rFonts w:hint="eastAsia" w:cs="Times New Roman"/>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w:t>
            </w:r>
            <w:r>
              <w:rPr>
                <w:rFonts w:hint="eastAsia" w:cs="Times New Roman"/>
                <w:color w:val="000000" w:themeColor="text1"/>
                <w:highlight w:val="none"/>
                <w:lang w:val="en-US" w:eastAsia="zh-CN"/>
                <w14:textFill>
                  <w14:solidFill>
                    <w14:schemeClr w14:val="tx1"/>
                  </w14:solidFill>
                </w14:textFill>
              </w:rPr>
              <w:t>废试剂瓶</w:t>
            </w:r>
          </w:p>
          <w:p w14:paraId="24CABC67">
            <w:pPr>
              <w:bidi w:val="0"/>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一期工程废试剂瓶产生量约为0.01 t/a。因检验室废液含有无机、酸等有毒有害物质，因此应作为危险废物委托有资质单位处置，废物类别为</w:t>
            </w:r>
            <w:r>
              <w:rPr>
                <w:rFonts w:hint="eastAsia"/>
                <w:color w:val="000000" w:themeColor="text1"/>
                <w:highlight w:val="none"/>
                <w:lang w:val="en-US" w:eastAsia="zh-CN"/>
                <w14:textFill>
                  <w14:solidFill>
                    <w14:schemeClr w14:val="tx1"/>
                  </w14:solidFill>
                </w14:textFill>
              </w:rPr>
              <w:t>HW49，废物代码</w:t>
            </w:r>
            <w:r>
              <w:rPr>
                <w:rFonts w:hint="eastAsia" w:cs="Times New Roman"/>
                <w:color w:val="000000" w:themeColor="text1"/>
                <w:highlight w:val="none"/>
                <w:lang w:val="en-US" w:eastAsia="zh-CN"/>
                <w14:textFill>
                  <w14:solidFill>
                    <w14:schemeClr w14:val="tx1"/>
                  </w14:solidFill>
                </w14:textFill>
              </w:rPr>
              <w:t>为</w:t>
            </w:r>
            <w:r>
              <w:rPr>
                <w:rFonts w:hint="eastAsia"/>
                <w:color w:val="000000" w:themeColor="text1"/>
                <w:highlight w:val="none"/>
                <w:lang w:val="en-US" w:eastAsia="zh-CN"/>
                <w14:textFill>
                  <w14:solidFill>
                    <w14:schemeClr w14:val="tx1"/>
                  </w14:solidFill>
                </w14:textFill>
              </w:rPr>
              <w:t>900-047-49。</w:t>
            </w:r>
          </w:p>
          <w:p w14:paraId="76391754">
            <w:pPr>
              <w:bidi w:val="0"/>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③</w:t>
            </w:r>
            <w:r>
              <w:rPr>
                <w:rFonts w:hint="eastAsia"/>
                <w:color w:val="000000" w:themeColor="text1"/>
                <w:highlight w:val="none"/>
                <w:lang w:val="en-US" w:eastAsia="zh-CN"/>
                <w14:textFill>
                  <w14:solidFill>
                    <w14:schemeClr w14:val="tx1"/>
                  </w14:solidFill>
                </w14:textFill>
              </w:rPr>
              <w:t>废活性炭</w:t>
            </w:r>
          </w:p>
          <w:p w14:paraId="5AFA3018">
            <w:pPr>
              <w:bidi w:val="0"/>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项目使用活性炭吸附有机废气，</w:t>
            </w:r>
            <w:r>
              <w:rPr>
                <w:rFonts w:hint="eastAsia"/>
                <w:color w:val="000000" w:themeColor="text1"/>
                <w:highlight w:val="none"/>
                <w:lang w:val="en-US" w:eastAsia="zh-CN"/>
                <w14:textFill>
                  <w14:solidFill>
                    <w14:schemeClr w14:val="tx1"/>
                  </w14:solidFill>
                </w14:textFill>
              </w:rPr>
              <w:t>活性炭吸附装置须定期更换活性炭以保证有机废气吸附效率，</w:t>
            </w:r>
            <w:r>
              <w:rPr>
                <w:rFonts w:hint="default" w:ascii="Times New Roman" w:hAnsi="Times New Roman" w:cs="Times New Roman"/>
                <w:color w:val="000000" w:themeColor="text1"/>
                <w:highlight w:val="none"/>
                <w:u w:val="none"/>
                <w:lang w:val="en-US" w:eastAsia="zh-CN"/>
                <w14:textFill>
                  <w14:solidFill>
                    <w14:schemeClr w14:val="tx1"/>
                  </w14:solidFill>
                </w14:textFill>
              </w:rPr>
              <w:t>根据中国建筑出版社（1997年）出版的《简明通风设计手册》第十章中关于活性炭吸附处理治理废气的方法中提供的数据：每1.0 kg活性炭吸附有机废气的平衡量为0.43~0.61 kg，本项目按1 t活性炭吸附0.5</w:t>
            </w:r>
            <w:r>
              <w:rPr>
                <w:rFonts w:hint="eastAsia" w:ascii="Times New Roman" w:hAnsi="Times New Roman" w:cs="Times New Roman"/>
                <w:color w:val="000000" w:themeColor="text1"/>
                <w:highlight w:val="none"/>
                <w:u w:val="none"/>
                <w:lang w:val="en-US" w:eastAsia="zh-CN"/>
                <w14:textFill>
                  <w14:solidFill>
                    <w14:schemeClr w14:val="tx1"/>
                  </w14:solidFill>
                </w14:textFill>
              </w:rPr>
              <w:t>2</w:t>
            </w:r>
            <w:r>
              <w:rPr>
                <w:rFonts w:hint="default" w:ascii="Times New Roman" w:hAnsi="Times New Roman" w:cs="Times New Roman"/>
                <w:color w:val="000000" w:themeColor="text1"/>
                <w:highlight w:val="none"/>
                <w:u w:val="none"/>
                <w:lang w:val="en-US" w:eastAsia="zh-CN"/>
                <w14:textFill>
                  <w14:solidFill>
                    <w14:schemeClr w14:val="tx1"/>
                  </w14:solidFill>
                </w14:textFill>
              </w:rPr>
              <w:t xml:space="preserve"> t有机废气计算</w:t>
            </w:r>
            <w:r>
              <w:rPr>
                <w:rFonts w:hint="eastAsia"/>
                <w:color w:val="000000" w:themeColor="text1"/>
                <w:highlight w:val="none"/>
                <w:lang w:val="en-US" w:eastAsia="zh-CN"/>
                <w14:textFill>
                  <w14:solidFill>
                    <w14:schemeClr w14:val="tx1"/>
                  </w14:solidFill>
                </w14:textFill>
              </w:rPr>
              <w:t>。根据前文废气源强计算，一期工程非甲烷总烃的去除量为9.5410 t/a，则需要活性炭约18.3480 t/a。根据同行业废气处理设计资料，活性炭设施通常装填量要求每万立方风机配套1立方活性炭，项目蜂窝状活性炭体积密度在0.5~1.5 t/m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之间，本次取1.5 t/m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vertAlign w:val="baseline"/>
                <w:lang w:val="en-US" w:eastAsia="zh-CN"/>
                <w14:textFill>
                  <w14:solidFill>
                    <w14:schemeClr w14:val="tx1"/>
                  </w14:solidFill>
                </w14:textFill>
              </w:rPr>
              <w:t>，项目风机设计风量为10000 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vertAlign w:val="baseline"/>
                <w:lang w:val="en-US" w:eastAsia="zh-CN"/>
                <w14:textFill>
                  <w14:solidFill>
                    <w14:schemeClr w14:val="tx1"/>
                  </w14:solidFill>
                </w14:textFill>
              </w:rPr>
              <w:t>/h，则活性炭吸附装置一次装填活性炭量为1.5 t。活性炭一年更换次数为18.3480÷1.5=13次（取整），年生产300天，更换周期约为23天更换1次。最终废活性炭产生量为27.889 t/a（含有机废气）。</w:t>
            </w:r>
            <w:r>
              <w:rPr>
                <w:rFonts w:hint="eastAsia" w:cs="Times New Roman"/>
                <w:color w:val="000000" w:themeColor="text1"/>
                <w:highlight w:val="none"/>
                <w:lang w:val="en-US" w:eastAsia="zh-CN"/>
                <w14:textFill>
                  <w14:solidFill>
                    <w14:schemeClr w14:val="tx1"/>
                  </w14:solidFill>
                </w14:textFill>
              </w:rPr>
              <w:t>根据《国家危险废物名录》（2025年版），</w:t>
            </w:r>
            <w:r>
              <w:rPr>
                <w:rFonts w:hint="eastAsia"/>
                <w:color w:val="000000" w:themeColor="text1"/>
                <w:highlight w:val="none"/>
                <w:lang w:val="en-US" w:eastAsia="zh-CN"/>
                <w14:textFill>
                  <w14:solidFill>
                    <w14:schemeClr w14:val="tx1"/>
                  </w14:solidFill>
                </w14:textFill>
              </w:rPr>
              <w:t>废活性炭废物类别</w:t>
            </w:r>
            <w:r>
              <w:rPr>
                <w:rFonts w:hint="eastAsia" w:cs="Times New Roman"/>
                <w:color w:val="000000" w:themeColor="text1"/>
                <w:highlight w:val="none"/>
                <w:lang w:val="en-US" w:eastAsia="zh-CN"/>
                <w14:textFill>
                  <w14:solidFill>
                    <w14:schemeClr w14:val="tx1"/>
                  </w14:solidFill>
                </w14:textFill>
              </w:rPr>
              <w:t>为</w:t>
            </w:r>
            <w:r>
              <w:rPr>
                <w:rFonts w:hint="eastAsia"/>
                <w:color w:val="000000" w:themeColor="text1"/>
                <w:highlight w:val="none"/>
                <w:lang w:val="en-US" w:eastAsia="zh-CN"/>
                <w14:textFill>
                  <w14:solidFill>
                    <w14:schemeClr w14:val="tx1"/>
                  </w14:solidFill>
                </w14:textFill>
              </w:rPr>
              <w:t>HW49，废物代码</w:t>
            </w:r>
            <w:r>
              <w:rPr>
                <w:rFonts w:hint="eastAsia" w:cs="Times New Roman"/>
                <w:color w:val="000000" w:themeColor="text1"/>
                <w:highlight w:val="none"/>
                <w:lang w:val="en-US" w:eastAsia="zh-CN"/>
                <w14:textFill>
                  <w14:solidFill>
                    <w14:schemeClr w14:val="tx1"/>
                  </w14:solidFill>
                </w14:textFill>
              </w:rPr>
              <w:t>为</w:t>
            </w:r>
            <w:r>
              <w:rPr>
                <w:rFonts w:hint="eastAsia"/>
                <w:color w:val="000000" w:themeColor="text1"/>
                <w:highlight w:val="none"/>
                <w:lang w:val="en-US" w:eastAsia="zh-CN"/>
                <w14:textFill>
                  <w14:solidFill>
                    <w14:schemeClr w14:val="tx1"/>
                  </w14:solidFill>
                </w14:textFill>
              </w:rPr>
              <w:t>900-039-49，</w:t>
            </w:r>
            <w:r>
              <w:rPr>
                <w:rFonts w:hint="eastAsia" w:cs="Times New Roman"/>
                <w:color w:val="000000" w:themeColor="text1"/>
                <w:highlight w:val="none"/>
                <w:lang w:val="en-US" w:eastAsia="zh-CN"/>
                <w14:textFill>
                  <w14:solidFill>
                    <w14:schemeClr w14:val="tx1"/>
                  </w14:solidFill>
                </w14:textFill>
              </w:rPr>
              <w:t>废活性炭</w:t>
            </w:r>
            <w:r>
              <w:rPr>
                <w:rFonts w:hint="default" w:ascii="Times New Roman" w:hAnsi="Times New Roman" w:cs="Times New Roman"/>
                <w:color w:val="000000" w:themeColor="text1"/>
                <w:highlight w:val="none"/>
                <w:lang w:val="en-US" w:eastAsia="zh-CN"/>
                <w14:textFill>
                  <w14:solidFill>
                    <w14:schemeClr w14:val="tx1"/>
                  </w14:solidFill>
                </w14:textFill>
              </w:rPr>
              <w:t>收集后暂存于危险废物贮存间，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定期委托有资质单位处置</w:t>
            </w:r>
            <w:r>
              <w:rPr>
                <w:rFonts w:hint="eastAsia" w:cs="Times New Roman"/>
                <w:color w:val="000000" w:themeColor="text1"/>
                <w:highlight w:val="none"/>
                <w:lang w:val="en-US" w:eastAsia="zh-CN"/>
                <w14:textFill>
                  <w14:solidFill>
                    <w14:schemeClr w14:val="tx1"/>
                  </w14:solidFill>
                </w14:textFill>
              </w:rPr>
              <w:t>。</w:t>
            </w:r>
          </w:p>
          <w:p w14:paraId="56D01033">
            <w:pPr>
              <w:bidi w:val="0"/>
              <w:rPr>
                <w:rFonts w:hint="eastAsia"/>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④</w:t>
            </w:r>
            <w:r>
              <w:rPr>
                <w:rFonts w:hint="eastAsia"/>
                <w:color w:val="000000" w:themeColor="text1"/>
                <w:highlight w:val="none"/>
                <w:lang w:val="en-US" w:eastAsia="zh-CN"/>
                <w14:textFill>
                  <w14:solidFill>
                    <w14:schemeClr w14:val="tx1"/>
                  </w14:solidFill>
                </w14:textFill>
              </w:rPr>
              <w:t>废机油</w:t>
            </w:r>
          </w:p>
          <w:p w14:paraId="30F7ABF0">
            <w:pPr>
              <w:bidi w:val="0"/>
              <w:rPr>
                <w:rFonts w:hint="eastAsia"/>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项目在设备日常维护过程中会产生少量的废机械润滑油，废机油产生量约为</w:t>
            </w:r>
            <w:r>
              <w:rPr>
                <w:rFonts w:hint="eastAsia" w:ascii="Times New Roman" w:hAnsi="Times New Roman" w:cs="Times New Roman"/>
                <w:color w:val="000000" w:themeColor="text1"/>
                <w:highlight w:val="none"/>
                <w:lang w:val="en-US" w:eastAsia="zh-CN"/>
                <w14:textFill>
                  <w14:solidFill>
                    <w14:schemeClr w14:val="tx1"/>
                  </w14:solidFill>
                </w14:textFill>
              </w:rPr>
              <w:t>0.90</w:t>
            </w:r>
            <w:r>
              <w:rPr>
                <w:rFonts w:hint="default" w:ascii="Times New Roman" w:hAnsi="Times New Roman" w:cs="Times New Roman"/>
                <w:color w:val="000000" w:themeColor="text1"/>
                <w:highlight w:val="none"/>
                <w:lang w:val="en-US" w:eastAsia="zh-CN"/>
                <w14:textFill>
                  <w14:solidFill>
                    <w14:schemeClr w14:val="tx1"/>
                  </w14:solidFill>
                </w14:textFill>
              </w:rPr>
              <w:t xml:space="preserve"> t/a</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根据《国家危险废物名录》（2025年版），废机油</w:t>
            </w:r>
            <w:r>
              <w:rPr>
                <w:rFonts w:hint="eastAsia"/>
                <w:color w:val="000000" w:themeColor="text1"/>
                <w:highlight w:val="none"/>
                <w:lang w:val="en-US" w:eastAsia="zh-CN"/>
                <w14:textFill>
                  <w14:solidFill>
                    <w14:schemeClr w14:val="tx1"/>
                  </w14:solidFill>
                </w14:textFill>
              </w:rPr>
              <w:t>废物类别</w:t>
            </w:r>
            <w:r>
              <w:rPr>
                <w:rFonts w:hint="eastAsia" w:cs="Times New Roman"/>
                <w:color w:val="000000" w:themeColor="text1"/>
                <w:highlight w:val="none"/>
                <w:lang w:val="en-US" w:eastAsia="zh-CN"/>
                <w14:textFill>
                  <w14:solidFill>
                    <w14:schemeClr w14:val="tx1"/>
                  </w14:solidFill>
                </w14:textFill>
              </w:rPr>
              <w:t>为</w:t>
            </w:r>
            <w:r>
              <w:rPr>
                <w:rFonts w:hint="eastAsia"/>
                <w:color w:val="000000" w:themeColor="text1"/>
                <w:highlight w:val="none"/>
                <w:lang w:val="en-US" w:eastAsia="zh-CN"/>
                <w14:textFill>
                  <w14:solidFill>
                    <w14:schemeClr w14:val="tx1"/>
                  </w14:solidFill>
                </w14:textFill>
              </w:rPr>
              <w:t>HW08，废物代码</w:t>
            </w:r>
            <w:r>
              <w:rPr>
                <w:rFonts w:hint="eastAsia" w:cs="Times New Roman"/>
                <w:color w:val="000000" w:themeColor="text1"/>
                <w:highlight w:val="none"/>
                <w:lang w:val="en-US" w:eastAsia="zh-CN"/>
                <w14:textFill>
                  <w14:solidFill>
                    <w14:schemeClr w14:val="tx1"/>
                  </w14:solidFill>
                </w14:textFill>
              </w:rPr>
              <w:t>为</w:t>
            </w:r>
            <w:r>
              <w:rPr>
                <w:rFonts w:hint="eastAsia"/>
                <w:color w:val="000000" w:themeColor="text1"/>
                <w:highlight w:val="none"/>
                <w:lang w:val="en-US" w:eastAsia="zh-CN"/>
                <w14:textFill>
                  <w14:solidFill>
                    <w14:schemeClr w14:val="tx1"/>
                  </w14:solidFill>
                </w14:textFill>
              </w:rPr>
              <w:t>900-214-08</w:t>
            </w:r>
            <w:r>
              <w:rPr>
                <w:rFonts w:hint="default" w:ascii="Times New Roman" w:hAnsi="Times New Roman" w:cs="Times New Roman"/>
                <w:color w:val="000000" w:themeColor="text1"/>
                <w:highlight w:val="none"/>
                <w:lang w:val="en-US" w:eastAsia="zh-CN"/>
                <w14:textFill>
                  <w14:solidFill>
                    <w14:schemeClr w14:val="tx1"/>
                  </w14:solidFill>
                </w14:textFill>
              </w:rPr>
              <w:t>，废机油经收集后暂存于危险废物贮存间，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定期委托有资质单位处置</w:t>
            </w:r>
            <w:r>
              <w:rPr>
                <w:rFonts w:hint="eastAsia"/>
                <w:color w:val="000000" w:themeColor="text1"/>
                <w:highlight w:val="none"/>
                <w:lang w:val="en-US" w:eastAsia="zh-CN"/>
                <w14:textFill>
                  <w14:solidFill>
                    <w14:schemeClr w14:val="tx1"/>
                  </w14:solidFill>
                </w14:textFill>
              </w:rPr>
              <w:t>。</w:t>
            </w:r>
          </w:p>
          <w:p w14:paraId="0B0E942F">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⑤废含油抹布、手套</w:t>
            </w:r>
          </w:p>
          <w:p w14:paraId="7D03FC8D">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废含油抹布、手套产生于设备维修过程，产生量约为0.005 t/a，废物类别</w:t>
            </w:r>
            <w:r>
              <w:rPr>
                <w:rFonts w:hint="eastAsia" w:cs="Times New Roman"/>
                <w:color w:val="000000" w:themeColor="text1"/>
                <w:highlight w:val="none"/>
                <w:lang w:val="en-US" w:eastAsia="zh-CN"/>
                <w14:textFill>
                  <w14:solidFill>
                    <w14:schemeClr w14:val="tx1"/>
                  </w14:solidFill>
                </w14:textFill>
              </w:rPr>
              <w:t>为</w:t>
            </w:r>
            <w:r>
              <w:rPr>
                <w:rFonts w:hint="eastAsia"/>
                <w:color w:val="000000" w:themeColor="text1"/>
                <w:highlight w:val="none"/>
                <w:lang w:val="en-US" w:eastAsia="zh-CN"/>
                <w14:textFill>
                  <w14:solidFill>
                    <w14:schemeClr w14:val="tx1"/>
                  </w14:solidFill>
                </w14:textFill>
              </w:rPr>
              <w:t>HW49，废物代码</w:t>
            </w:r>
            <w:r>
              <w:rPr>
                <w:rFonts w:hint="eastAsia" w:cs="Times New Roman"/>
                <w:color w:val="000000" w:themeColor="text1"/>
                <w:highlight w:val="none"/>
                <w:lang w:val="en-US" w:eastAsia="zh-CN"/>
                <w14:textFill>
                  <w14:solidFill>
                    <w14:schemeClr w14:val="tx1"/>
                  </w14:solidFill>
                </w14:textFill>
              </w:rPr>
              <w:t>为</w:t>
            </w:r>
            <w:r>
              <w:rPr>
                <w:rFonts w:hint="eastAsia"/>
                <w:color w:val="000000" w:themeColor="text1"/>
                <w:highlight w:val="none"/>
                <w:lang w:val="en-US" w:eastAsia="zh-CN"/>
                <w14:textFill>
                  <w14:solidFill>
                    <w14:schemeClr w14:val="tx1"/>
                  </w14:solidFill>
                </w14:textFill>
              </w:rPr>
              <w:t>900-041-49，经收集后暂存于危废间，委托有资质的单位进行处置。</w:t>
            </w:r>
          </w:p>
          <w:p w14:paraId="3DF9A429">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⑥废布袋</w:t>
            </w:r>
          </w:p>
          <w:p w14:paraId="40BD263C">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根据设计单位提供资料，一般布袋平均更换周期为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1~2年/次，约0.</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01</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 xml:space="preserve"> t/a</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根据《国家危险废物名录》（2025年版），</w:t>
            </w:r>
            <w:r>
              <w:rPr>
                <w:rFonts w:hint="eastAsia"/>
                <w:color w:val="000000" w:themeColor="text1"/>
                <w:highlight w:val="none"/>
                <w:lang w:val="en-US" w:eastAsia="zh-CN"/>
                <w14:textFill>
                  <w14:solidFill>
                    <w14:schemeClr w14:val="tx1"/>
                  </w14:solidFill>
                </w14:textFill>
              </w:rPr>
              <w:t>废物类别</w:t>
            </w:r>
            <w:r>
              <w:rPr>
                <w:rFonts w:hint="eastAsia" w:cs="Times New Roman"/>
                <w:color w:val="000000" w:themeColor="text1"/>
                <w:highlight w:val="none"/>
                <w:lang w:val="en-US" w:eastAsia="zh-CN"/>
                <w14:textFill>
                  <w14:solidFill>
                    <w14:schemeClr w14:val="tx1"/>
                  </w14:solidFill>
                </w14:textFill>
              </w:rPr>
              <w:t>为</w:t>
            </w:r>
            <w:r>
              <w:rPr>
                <w:rFonts w:hint="eastAsia"/>
                <w:color w:val="000000" w:themeColor="text1"/>
                <w:highlight w:val="none"/>
                <w:lang w:val="en-US" w:eastAsia="zh-CN"/>
                <w14:textFill>
                  <w14:solidFill>
                    <w14:schemeClr w14:val="tx1"/>
                  </w14:solidFill>
                </w14:textFill>
              </w:rPr>
              <w:t>HW49，废物代码</w:t>
            </w:r>
            <w:r>
              <w:rPr>
                <w:rFonts w:hint="eastAsia" w:cs="Times New Roman"/>
                <w:color w:val="000000" w:themeColor="text1"/>
                <w:highlight w:val="none"/>
                <w:lang w:val="en-US" w:eastAsia="zh-CN"/>
                <w14:textFill>
                  <w14:solidFill>
                    <w14:schemeClr w14:val="tx1"/>
                  </w14:solidFill>
                </w14:textFill>
              </w:rPr>
              <w:t>为</w:t>
            </w:r>
            <w:r>
              <w:rPr>
                <w:rFonts w:hint="eastAsia"/>
                <w:color w:val="000000" w:themeColor="text1"/>
                <w:highlight w:val="none"/>
                <w:lang w:val="en-US" w:eastAsia="zh-CN"/>
                <w14:textFill>
                  <w14:solidFill>
                    <w14:schemeClr w14:val="tx1"/>
                  </w14:solidFill>
                </w14:textFill>
              </w:rPr>
              <w:t>900-041-49，经收集后暂存于危废间，委托有资质的单位进行处置。</w:t>
            </w:r>
          </w:p>
          <w:p w14:paraId="2DC19120">
            <w:pPr>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（3）生活垃圾</w:t>
            </w:r>
          </w:p>
          <w:p w14:paraId="233AEF66">
            <w:pPr>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生活垃圾主要为果皮、塑料包装袋等。根据我国生活垃圾排放系数，不住厂职工生活垃圾排放系数取K=0.5 kg/（p·d），住厂职工生活垃圾排放系数取K=1 kg/（p·d），项目</w:t>
            </w:r>
            <w:r>
              <w:rPr>
                <w:rFonts w:hint="eastAsia" w:ascii="Times New Roman" w:hAnsi="Times New Roman" w:cs="Times New Roman"/>
                <w:color w:val="000000" w:themeColor="text1"/>
                <w:highlight w:val="none"/>
                <w:lang w:val="en-US" w:eastAsia="zh-CN"/>
                <w14:textFill>
                  <w14:solidFill>
                    <w14:schemeClr w14:val="tx1"/>
                  </w14:solidFill>
                </w14:textFill>
              </w:rPr>
              <w:t>一期工程拟聘用</w:t>
            </w:r>
            <w:r>
              <w:rPr>
                <w:rFonts w:hint="default" w:ascii="Times New Roman" w:hAnsi="Times New Roman" w:cs="Times New Roman"/>
                <w:color w:val="000000" w:themeColor="text1"/>
                <w:highlight w:val="none"/>
                <w:lang w:val="en-US" w:eastAsia="zh-CN"/>
                <w14:textFill>
                  <w14:solidFill>
                    <w14:schemeClr w14:val="tx1"/>
                  </w14:solidFill>
                </w14:textFill>
              </w:rPr>
              <w:t>职工</w:t>
            </w:r>
            <w:r>
              <w:rPr>
                <w:rFonts w:hint="eastAsia" w:cs="Times New Roman"/>
                <w:color w:val="000000" w:themeColor="text1"/>
                <w:highlight w:val="none"/>
                <w:lang w:val="en-US" w:eastAsia="zh-CN"/>
                <w14:textFill>
                  <w14:solidFill>
                    <w14:schemeClr w14:val="tx1"/>
                  </w14:solidFill>
                </w14:textFill>
              </w:rPr>
              <w:t>5</w:t>
            </w:r>
            <w:r>
              <w:rPr>
                <w:rFonts w:hint="default" w:ascii="Times New Roman" w:hAnsi="Times New Roman" w:cs="Times New Roman"/>
                <w:color w:val="000000" w:themeColor="text1"/>
                <w:highlight w:val="none"/>
                <w:lang w:val="en-US" w:eastAsia="zh-CN"/>
                <w14:textFill>
                  <w14:solidFill>
                    <w14:schemeClr w14:val="tx1"/>
                  </w14:solidFill>
                </w14:textFill>
              </w:rPr>
              <w:t>人，其中</w:t>
            </w:r>
            <w:r>
              <w:rPr>
                <w:rFonts w:hint="eastAsia"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lang w:val="en-US" w:eastAsia="zh-CN"/>
                <w14:textFill>
                  <w14:solidFill>
                    <w14:schemeClr w14:val="tx1"/>
                  </w14:solidFill>
                </w14:textFill>
              </w:rPr>
              <w:t>人在厂食宿，</w:t>
            </w:r>
            <w:r>
              <w:rPr>
                <w:rFonts w:hint="eastAsia"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人不在厂食宿，年工作300天，则项目生活垃圾产生量为</w:t>
            </w:r>
            <w:r>
              <w:rPr>
                <w:rFonts w:hint="eastAsia" w:cs="Times New Roman"/>
                <w:color w:val="000000" w:themeColor="text1"/>
                <w:highlight w:val="none"/>
                <w:lang w:val="en-US" w:eastAsia="zh-CN"/>
                <w14:textFill>
                  <w14:solidFill>
                    <w14:schemeClr w14:val="tx1"/>
                  </w14:solidFill>
                </w14:textFill>
              </w:rPr>
              <w:t>1.20</w:t>
            </w:r>
            <w:r>
              <w:rPr>
                <w:rFonts w:hint="default" w:ascii="Times New Roman" w:hAnsi="Times New Roman" w:cs="Times New Roman"/>
                <w:color w:val="000000" w:themeColor="text1"/>
                <w:highlight w:val="none"/>
                <w:lang w:val="en-US" w:eastAsia="zh-CN"/>
                <w14:textFill>
                  <w14:solidFill>
                    <w14:schemeClr w14:val="tx1"/>
                  </w14:solidFill>
                </w14:textFill>
              </w:rPr>
              <w:t xml:space="preserve"> t/a。生活垃圾分类收集后，由环卫部门统一清运处置。</w:t>
            </w:r>
          </w:p>
          <w:p w14:paraId="0BB0B064">
            <w:pPr>
              <w:pStyle w:val="4"/>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二期工程固体废物产生情况</w:t>
            </w:r>
          </w:p>
          <w:p w14:paraId="787DA13E">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lang w:val="en-US" w:eastAsia="zh-CN"/>
                <w14:textFill>
                  <w14:solidFill>
                    <w14:schemeClr w14:val="tx1"/>
                  </w14:solidFill>
                </w14:textFill>
              </w:rPr>
              <w:t>一般工业固体废物</w:t>
            </w:r>
          </w:p>
          <w:p w14:paraId="35BF17CE">
            <w:pPr>
              <w:bidi w:val="0"/>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①原辅材料废包装袋</w:t>
            </w:r>
          </w:p>
          <w:p w14:paraId="040CBF47">
            <w:pPr>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项目二期工程碳粉等一般原料使用过程中及产品包装过程中，产生废包装袋，根据建设单位提供资料，废包装袋产生量约为0.70 t/a</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废包装袋</w:t>
            </w:r>
            <w:r>
              <w:rPr>
                <w:rFonts w:hint="eastAsia" w:ascii="Times New Roman" w:hAnsi="Times New Roman" w:cs="Times New Roman"/>
                <w:color w:val="000000" w:themeColor="text1"/>
                <w:highlight w:val="none"/>
                <w:lang w:val="en-US" w:eastAsia="zh-CN"/>
                <w14:textFill>
                  <w14:solidFill>
                    <w14:schemeClr w14:val="tx1"/>
                  </w14:solidFill>
                </w14:textFill>
              </w:rPr>
              <w:t>收集后贮存于一般工业固体废物贮存间，定期交由物资回收单位综合利用。</w:t>
            </w:r>
          </w:p>
          <w:p w14:paraId="5B5D5856">
            <w:pPr>
              <w:bidi w:val="0"/>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②</w:t>
            </w:r>
            <w:r>
              <w:rPr>
                <w:rFonts w:hint="eastAsia"/>
                <w:color w:val="000000" w:themeColor="text1"/>
                <w:highlight w:val="none"/>
                <w:lang w:val="en-US" w:eastAsia="zh-CN"/>
                <w14:textFill>
                  <w14:solidFill>
                    <w14:schemeClr w14:val="tx1"/>
                  </w14:solidFill>
                </w14:textFill>
              </w:rPr>
              <w:t>碳渣</w:t>
            </w:r>
          </w:p>
          <w:p w14:paraId="1D6B048D">
            <w:pPr>
              <w:bidi w:val="0"/>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二期工程产生的碳渣主要来源于引弧放电（单壁碳纳米管生产线）产生的碳渣以及碳化（硅碳负极材料生产线）产生的碳渣。根据一期工程固体废物产生情况的计算，二期工程引弧放电过程碳渣产生量约为116.48 t/a，碳化过程碳渣产生量约为160.02 t/a。</w:t>
            </w:r>
            <w:r>
              <w:rPr>
                <w:rFonts w:hint="eastAsia" w:ascii="Times New Roman" w:hAnsi="Times New Roman" w:cs="Times New Roman"/>
                <w:color w:val="000000" w:themeColor="text1"/>
                <w:highlight w:val="none"/>
                <w:lang w:val="en-US" w:eastAsia="zh-CN"/>
                <w14:textFill>
                  <w14:solidFill>
                    <w14:schemeClr w14:val="tx1"/>
                  </w14:solidFill>
                </w14:textFill>
              </w:rPr>
              <w:t>碳渣收集后贮存于一般工业固体废物贮存间，定期交由物资回收单位综合利用。</w:t>
            </w:r>
          </w:p>
          <w:p w14:paraId="5C77B9BF">
            <w:pPr>
              <w:bidi w:val="0"/>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③</w:t>
            </w:r>
            <w:r>
              <w:rPr>
                <w:rFonts w:hint="eastAsia"/>
                <w:color w:val="000000" w:themeColor="text1"/>
                <w:highlight w:val="none"/>
                <w:lang w:val="en-US" w:eastAsia="zh-CN"/>
                <w14:textFill>
                  <w14:solidFill>
                    <w14:schemeClr w14:val="tx1"/>
                  </w14:solidFill>
                </w14:textFill>
              </w:rPr>
              <w:t>不合格品</w:t>
            </w:r>
          </w:p>
          <w:p w14:paraId="132AD1C1">
            <w:pPr>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二期工程产生的不合格品主要来源于检验过程，</w:t>
            </w:r>
            <w:r>
              <w:rPr>
                <w:rFonts w:hint="eastAsia" w:cs="Times New Roman"/>
                <w:color w:val="000000" w:themeColor="text1"/>
                <w:highlight w:val="none"/>
                <w:lang w:val="en-US" w:eastAsia="zh-CN"/>
                <w14:textFill>
                  <w14:solidFill>
                    <w14:schemeClr w14:val="tx1"/>
                  </w14:solidFill>
                </w14:textFill>
              </w:rPr>
              <w:t>根据一期工程固体废物产生情况的计算，二期工程单壁碳纳米管生产线产生的不合格品约为3.5 t/a，硅碳负极材料生产线不合格品产生量约为7.0 t/a</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不合格品</w:t>
            </w:r>
            <w:r>
              <w:rPr>
                <w:rFonts w:hint="eastAsia" w:ascii="Times New Roman" w:hAnsi="Times New Roman" w:cs="Times New Roman"/>
                <w:color w:val="000000" w:themeColor="text1"/>
                <w:highlight w:val="none"/>
                <w:lang w:val="en-US" w:eastAsia="zh-CN"/>
                <w14:textFill>
                  <w14:solidFill>
                    <w14:schemeClr w14:val="tx1"/>
                  </w14:solidFill>
                </w14:textFill>
              </w:rPr>
              <w:t>收集后贮存于一般工业固体废物贮存间，定期交由物资回收单位综合利用。</w:t>
            </w:r>
          </w:p>
          <w:p w14:paraId="16DF3341">
            <w:pPr>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④废</w:t>
            </w:r>
            <w:r>
              <w:rPr>
                <w:rFonts w:hint="eastAsia"/>
                <w:color w:val="000000" w:themeColor="text1"/>
                <w:highlight w:val="none"/>
                <w:lang w:val="en-US" w:eastAsia="zh-CN"/>
                <w14:textFill>
                  <w14:solidFill>
                    <w14:schemeClr w14:val="tx1"/>
                  </w14:solidFill>
                </w14:textFill>
              </w:rPr>
              <w:t>滤芯、废分子筛</w:t>
            </w:r>
          </w:p>
          <w:p w14:paraId="0C23009B">
            <w:pPr>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二期工程制氩</w:t>
            </w:r>
            <w:r>
              <w:rPr>
                <w:rFonts w:hint="default" w:ascii="Times New Roman" w:hAnsi="Times New Roman" w:cs="Times New Roman"/>
                <w:color w:val="000000" w:themeColor="text1"/>
                <w:highlight w:val="none"/>
                <w:lang w:val="en-US" w:eastAsia="zh-CN"/>
                <w14:textFill>
                  <w14:solidFill>
                    <w14:schemeClr w14:val="tx1"/>
                  </w14:solidFill>
                </w14:textFill>
              </w:rPr>
              <w:t>系统中去除粉尘用的玻璃纤维滤芯每半年更换一次，每次更换废玻璃纤维滤芯约0.05</w:t>
            </w:r>
            <w:r>
              <w:rPr>
                <w:rFonts w:hint="eastAsia" w:ascii="Times New Roman" w:hAnsi="Times New Roman" w:cs="Times New Roman"/>
                <w:color w:val="000000" w:themeColor="text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highlight w:val="none"/>
                <w:lang w:val="en-US" w:eastAsia="zh-CN"/>
                <w14:textFill>
                  <w14:solidFill>
                    <w14:schemeClr w14:val="tx1"/>
                  </w14:solidFill>
                </w14:textFill>
              </w:rPr>
              <w:t>t（合计0.1</w:t>
            </w:r>
            <w:r>
              <w:rPr>
                <w:rFonts w:hint="eastAsia" w:ascii="Times New Roman" w:hAnsi="Times New Roman" w:cs="Times New Roman"/>
                <w:color w:val="000000" w:themeColor="text1"/>
                <w:highlight w:val="none"/>
                <w:lang w:val="en-US" w:eastAsia="zh-CN"/>
                <w14:textFill>
                  <w14:solidFill>
                    <w14:schemeClr w14:val="tx1"/>
                  </w14:solidFill>
                </w14:textFill>
              </w:rPr>
              <w:t xml:space="preserve">0 </w:t>
            </w:r>
            <w:r>
              <w:rPr>
                <w:rFonts w:hint="default" w:ascii="Times New Roman" w:hAnsi="Times New Roman" w:cs="Times New Roman"/>
                <w:color w:val="000000" w:themeColor="text1"/>
                <w:highlight w:val="none"/>
                <w:lang w:val="en-US" w:eastAsia="zh-CN"/>
                <w14:textFill>
                  <w14:solidFill>
                    <w14:schemeClr w14:val="tx1"/>
                  </w14:solidFill>
                </w14:textFill>
              </w:rPr>
              <w:t>t/a）</w:t>
            </w:r>
            <w:r>
              <w:rPr>
                <w:rFonts w:hint="eastAsia" w:ascii="Times New Roman" w:hAnsi="Times New Roman" w:cs="Times New Roman"/>
                <w:color w:val="000000" w:themeColor="text1"/>
                <w:highlight w:val="none"/>
                <w:lang w:val="en-US" w:eastAsia="zh-CN"/>
                <w14:textFill>
                  <w14:solidFill>
                    <w14:schemeClr w14:val="tx1"/>
                  </w14:solidFill>
                </w14:textFill>
              </w:rPr>
              <w:t>；碳分子筛每3年更换一次，每次更换废碳分子筛约0.60 t（折算0.20 t/a）。</w:t>
            </w:r>
            <w:r>
              <w:rPr>
                <w:rFonts w:hint="default" w:ascii="Times New Roman" w:hAnsi="Times New Roman" w:cs="Times New Roman"/>
                <w:color w:val="000000" w:themeColor="text1"/>
                <w:highlight w:val="none"/>
                <w:lang w:val="en-US" w:eastAsia="zh-CN"/>
                <w14:textFill>
                  <w14:solidFill>
                    <w14:schemeClr w14:val="tx1"/>
                  </w14:solidFill>
                </w14:textFill>
              </w:rPr>
              <w:t>本项目废滤芯</w:t>
            </w:r>
            <w:r>
              <w:rPr>
                <w:rFonts w:hint="eastAsia" w:ascii="Times New Roman" w:hAnsi="Times New Roman" w:cs="Times New Roman"/>
                <w:color w:val="000000" w:themeColor="text1"/>
                <w:highlight w:val="none"/>
                <w:lang w:val="en-US" w:eastAsia="zh-CN"/>
                <w14:textFill>
                  <w14:solidFill>
                    <w14:schemeClr w14:val="tx1"/>
                  </w14:solidFill>
                </w14:textFill>
              </w:rPr>
              <w:t>、废分子筛</w:t>
            </w:r>
            <w:r>
              <w:rPr>
                <w:rFonts w:hint="default" w:ascii="Times New Roman" w:hAnsi="Times New Roman" w:cs="Times New Roman"/>
                <w:color w:val="000000" w:themeColor="text1"/>
                <w:highlight w:val="none"/>
                <w:lang w:val="en-US" w:eastAsia="zh-CN"/>
                <w14:textFill>
                  <w14:solidFill>
                    <w14:schemeClr w14:val="tx1"/>
                  </w14:solidFill>
                </w14:textFill>
              </w:rPr>
              <w:t>袋装收集，</w:t>
            </w:r>
            <w:r>
              <w:rPr>
                <w:rFonts w:hint="eastAsia" w:ascii="Times New Roman" w:hAnsi="Times New Roman" w:cs="Times New Roman"/>
                <w:color w:val="000000" w:themeColor="text1"/>
                <w:highlight w:val="none"/>
                <w:lang w:val="en-US" w:eastAsia="zh-CN"/>
                <w14:textFill>
                  <w14:solidFill>
                    <w14:schemeClr w14:val="tx1"/>
                  </w14:solidFill>
                </w14:textFill>
              </w:rPr>
              <w:t>均由</w:t>
            </w:r>
            <w:r>
              <w:rPr>
                <w:rFonts w:hint="default" w:ascii="Times New Roman" w:hAnsi="Times New Roman" w:cs="Times New Roman"/>
                <w:color w:val="000000" w:themeColor="text1"/>
                <w:highlight w:val="none"/>
                <w:lang w:val="en-US" w:eastAsia="zh-CN"/>
                <w14:textFill>
                  <w14:solidFill>
                    <w14:schemeClr w14:val="tx1"/>
                  </w14:solidFill>
                </w14:textFill>
              </w:rPr>
              <w:t>供应商回收。</w:t>
            </w:r>
          </w:p>
          <w:p w14:paraId="3471D702">
            <w:pPr>
              <w:bidi w:val="0"/>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⑤布袋除尘器截留粉尘</w:t>
            </w:r>
          </w:p>
          <w:p w14:paraId="7127BCF3">
            <w:pPr>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根据物料平衡，二期工程硅碳负极材料生产线碳化过程产生的烟尘被布袋除尘器捕集量为4.3</w:t>
            </w:r>
            <w:r>
              <w:rPr>
                <w:rFonts w:hint="eastAsia" w:cs="Times New Roman"/>
                <w:color w:val="000000" w:themeColor="text1"/>
                <w:highlight w:val="none"/>
                <w:lang w:val="en-US" w:eastAsia="zh-CN"/>
                <w14:textFill>
                  <w14:solidFill>
                    <w14:schemeClr w14:val="tx1"/>
                  </w14:solidFill>
                </w14:textFill>
              </w:rPr>
              <w:t>125</w:t>
            </w:r>
            <w:r>
              <w:rPr>
                <w:rFonts w:hint="eastAsia" w:ascii="Times New Roman" w:hAnsi="Times New Roman" w:cs="Times New Roman"/>
                <w:color w:val="000000" w:themeColor="text1"/>
                <w:highlight w:val="none"/>
                <w:lang w:val="en-US" w:eastAsia="zh-CN"/>
                <w14:textFill>
                  <w14:solidFill>
                    <w14:schemeClr w14:val="tx1"/>
                  </w14:solidFill>
                </w14:textFill>
              </w:rPr>
              <w:t xml:space="preserve"> t/a，</w:t>
            </w:r>
            <w:r>
              <w:rPr>
                <w:rFonts w:hint="eastAsia" w:cs="Times New Roman"/>
                <w:color w:val="000000" w:themeColor="text1"/>
                <w:highlight w:val="none"/>
                <w:lang w:val="en-US" w:eastAsia="zh-CN"/>
                <w14:textFill>
                  <w14:solidFill>
                    <w14:schemeClr w14:val="tx1"/>
                  </w14:solidFill>
                </w14:textFill>
              </w:rPr>
              <w:t>根据</w:t>
            </w:r>
            <w:r>
              <w:rPr>
                <w:rFonts w:hint="eastAsia" w:ascii="Times New Roman" w:hAnsi="Times New Roman" w:cs="Times New Roman"/>
                <w:color w:val="000000" w:themeColor="text1"/>
                <w:highlight w:val="none"/>
                <w:lang w:val="en-US" w:eastAsia="zh-CN"/>
                <w14:textFill>
                  <w14:solidFill>
                    <w14:schemeClr w14:val="tx1"/>
                  </w14:solidFill>
                </w14:textFill>
              </w:rPr>
              <w:t xml:space="preserve">生态环境部发布的《固体废物分类和代码目录》（公告2024年第4号），收集的粉尘属于SW17 </w:t>
            </w:r>
            <w:r>
              <w:rPr>
                <w:rFonts w:hint="eastAsia" w:cs="Times New Roman"/>
                <w:color w:val="000000" w:themeColor="text1"/>
                <w:highlight w:val="none"/>
                <w:lang w:val="en-US" w:eastAsia="zh-CN"/>
                <w14:textFill>
                  <w14:solidFill>
                    <w14:schemeClr w14:val="tx1"/>
                  </w14:solidFill>
                </w14:textFill>
              </w:rPr>
              <w:t>可再生类废物</w:t>
            </w:r>
            <w:r>
              <w:rPr>
                <w:rFonts w:hint="eastAsia" w:ascii="Times New Roman" w:hAnsi="Times New Roman" w:cs="Times New Roman"/>
                <w:color w:val="000000" w:themeColor="text1"/>
                <w:highlight w:val="none"/>
                <w:lang w:val="en-US" w:eastAsia="zh-CN"/>
                <w14:textFill>
                  <w14:solidFill>
                    <w14:schemeClr w14:val="tx1"/>
                  </w14:solidFill>
                </w14:textFill>
              </w:rPr>
              <w:t>-非特定行业-其他可再生类废物（工业生产活动中产生的其他可再生类废物），代码为900-099-S17，收集后贮存于一般工业固体废物贮存间，定期交由物资回收单位综合利用。</w:t>
            </w:r>
          </w:p>
          <w:p w14:paraId="7B67C906">
            <w:pPr>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危险废物</w:t>
            </w:r>
          </w:p>
          <w:p w14:paraId="2A90B398">
            <w:pPr>
              <w:bidi w:val="0"/>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①检验室废液</w:t>
            </w:r>
          </w:p>
          <w:p w14:paraId="6F361278">
            <w:pPr>
              <w:bidi w:val="0"/>
              <w:rPr>
                <w:rFonts w:hint="eastAsia"/>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二期工程检验室废液产生量约为9.78 t/a。因检验室废液含有无机、酸等有毒有害物质，因此应作为危险废物委托有资质单位处置，根据《国家危险废物名录》（2025年版），检验室废液废物类别为</w:t>
            </w:r>
            <w:r>
              <w:rPr>
                <w:rFonts w:hint="eastAsia"/>
                <w:color w:val="000000" w:themeColor="text1"/>
                <w:highlight w:val="none"/>
                <w:lang w:val="en-US" w:eastAsia="zh-CN"/>
                <w14:textFill>
                  <w14:solidFill>
                    <w14:schemeClr w14:val="tx1"/>
                  </w14:solidFill>
                </w14:textFill>
              </w:rPr>
              <w:t>HW49，废物代码</w:t>
            </w:r>
            <w:r>
              <w:rPr>
                <w:rFonts w:hint="eastAsia" w:cs="Times New Roman"/>
                <w:color w:val="000000" w:themeColor="text1"/>
                <w:highlight w:val="none"/>
                <w:lang w:val="en-US" w:eastAsia="zh-CN"/>
                <w14:textFill>
                  <w14:solidFill>
                    <w14:schemeClr w14:val="tx1"/>
                  </w14:solidFill>
                </w14:textFill>
              </w:rPr>
              <w:t>为</w:t>
            </w:r>
            <w:r>
              <w:rPr>
                <w:rFonts w:hint="eastAsia"/>
                <w:color w:val="000000" w:themeColor="text1"/>
                <w:highlight w:val="none"/>
                <w:lang w:val="en-US" w:eastAsia="zh-CN"/>
                <w14:textFill>
                  <w14:solidFill>
                    <w14:schemeClr w14:val="tx1"/>
                  </w14:solidFill>
                </w14:textFill>
              </w:rPr>
              <w:t>900-047-49。</w:t>
            </w:r>
          </w:p>
          <w:p w14:paraId="72F07255">
            <w:pPr>
              <w:bidi w:val="0"/>
              <w:rPr>
                <w:rFonts w:hint="eastAsia" w:cs="Times New Roman"/>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w:t>
            </w:r>
            <w:r>
              <w:rPr>
                <w:rFonts w:hint="eastAsia" w:cs="Times New Roman"/>
                <w:color w:val="000000" w:themeColor="text1"/>
                <w:highlight w:val="none"/>
                <w:lang w:val="en-US" w:eastAsia="zh-CN"/>
                <w14:textFill>
                  <w14:solidFill>
                    <w14:schemeClr w14:val="tx1"/>
                  </w14:solidFill>
                </w14:textFill>
              </w:rPr>
              <w:t>废试剂瓶</w:t>
            </w:r>
          </w:p>
          <w:p w14:paraId="789F9FEB">
            <w:pPr>
              <w:bidi w:val="0"/>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二期工程废试剂瓶产生量约为0.02 t/a。因检验室废液含有无机、酸等有毒有害物质，因此应作为危险废物委托有资质单位处置，废物类别为</w:t>
            </w:r>
            <w:r>
              <w:rPr>
                <w:rFonts w:hint="eastAsia"/>
                <w:color w:val="000000" w:themeColor="text1"/>
                <w:highlight w:val="none"/>
                <w:lang w:val="en-US" w:eastAsia="zh-CN"/>
                <w14:textFill>
                  <w14:solidFill>
                    <w14:schemeClr w14:val="tx1"/>
                  </w14:solidFill>
                </w14:textFill>
              </w:rPr>
              <w:t>HW49，废物代码</w:t>
            </w:r>
            <w:r>
              <w:rPr>
                <w:rFonts w:hint="eastAsia" w:cs="Times New Roman"/>
                <w:color w:val="000000" w:themeColor="text1"/>
                <w:highlight w:val="none"/>
                <w:lang w:val="en-US" w:eastAsia="zh-CN"/>
                <w14:textFill>
                  <w14:solidFill>
                    <w14:schemeClr w14:val="tx1"/>
                  </w14:solidFill>
                </w14:textFill>
              </w:rPr>
              <w:t>为</w:t>
            </w:r>
            <w:r>
              <w:rPr>
                <w:rFonts w:hint="eastAsia"/>
                <w:color w:val="000000" w:themeColor="text1"/>
                <w:highlight w:val="none"/>
                <w:lang w:val="en-US" w:eastAsia="zh-CN"/>
                <w14:textFill>
                  <w14:solidFill>
                    <w14:schemeClr w14:val="tx1"/>
                  </w14:solidFill>
                </w14:textFill>
              </w:rPr>
              <w:t>900-047-49。</w:t>
            </w:r>
          </w:p>
          <w:p w14:paraId="55509927">
            <w:pPr>
              <w:bidi w:val="0"/>
              <w:rPr>
                <w:rFonts w:hint="eastAsia"/>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③</w:t>
            </w:r>
            <w:r>
              <w:rPr>
                <w:rFonts w:hint="eastAsia"/>
                <w:color w:val="000000" w:themeColor="text1"/>
                <w:highlight w:val="none"/>
                <w:lang w:val="en-US" w:eastAsia="zh-CN"/>
                <w14:textFill>
                  <w14:solidFill>
                    <w14:schemeClr w14:val="tx1"/>
                  </w14:solidFill>
                </w14:textFill>
              </w:rPr>
              <w:t>废机油</w:t>
            </w:r>
          </w:p>
          <w:p w14:paraId="19DAA3D0">
            <w:pPr>
              <w:bidi w:val="0"/>
              <w:rPr>
                <w:rFonts w:hint="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二期工程</w:t>
            </w:r>
            <w:r>
              <w:rPr>
                <w:rFonts w:hint="default" w:ascii="Times New Roman" w:hAnsi="Times New Roman" w:cs="Times New Roman"/>
                <w:color w:val="000000" w:themeColor="text1"/>
                <w:highlight w:val="none"/>
                <w:lang w:val="en-US" w:eastAsia="zh-CN"/>
                <w14:textFill>
                  <w14:solidFill>
                    <w14:schemeClr w14:val="tx1"/>
                  </w14:solidFill>
                </w14:textFill>
              </w:rPr>
              <w:t>在设备日常维护过程中会产生少量的废机械润滑油，废机油产生量约为</w:t>
            </w:r>
            <w:r>
              <w:rPr>
                <w:rFonts w:hint="eastAsia" w:ascii="Times New Roman" w:hAnsi="Times New Roman" w:cs="Times New Roman"/>
                <w:color w:val="000000" w:themeColor="text1"/>
                <w:highlight w:val="none"/>
                <w:lang w:val="en-US" w:eastAsia="zh-CN"/>
                <w14:textFill>
                  <w14:solidFill>
                    <w14:schemeClr w14:val="tx1"/>
                  </w14:solidFill>
                </w14:textFill>
              </w:rPr>
              <w:t>2.70</w:t>
            </w:r>
            <w:r>
              <w:rPr>
                <w:rFonts w:hint="default" w:ascii="Times New Roman" w:hAnsi="Times New Roman" w:cs="Times New Roman"/>
                <w:color w:val="000000" w:themeColor="text1"/>
                <w:highlight w:val="none"/>
                <w:lang w:val="en-US" w:eastAsia="zh-CN"/>
                <w14:textFill>
                  <w14:solidFill>
                    <w14:schemeClr w14:val="tx1"/>
                  </w14:solidFill>
                </w14:textFill>
              </w:rPr>
              <w:t xml:space="preserve"> t/a</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根据《国家危险废物名录》（2025年版），废机油</w:t>
            </w:r>
            <w:r>
              <w:rPr>
                <w:rFonts w:hint="eastAsia"/>
                <w:color w:val="000000" w:themeColor="text1"/>
                <w:highlight w:val="none"/>
                <w:lang w:val="en-US" w:eastAsia="zh-CN"/>
                <w14:textFill>
                  <w14:solidFill>
                    <w14:schemeClr w14:val="tx1"/>
                  </w14:solidFill>
                </w14:textFill>
              </w:rPr>
              <w:t>废物类别</w:t>
            </w:r>
            <w:r>
              <w:rPr>
                <w:rFonts w:hint="eastAsia" w:cs="Times New Roman"/>
                <w:color w:val="000000" w:themeColor="text1"/>
                <w:highlight w:val="none"/>
                <w:lang w:val="en-US" w:eastAsia="zh-CN"/>
                <w14:textFill>
                  <w14:solidFill>
                    <w14:schemeClr w14:val="tx1"/>
                  </w14:solidFill>
                </w14:textFill>
              </w:rPr>
              <w:t>为</w:t>
            </w:r>
            <w:r>
              <w:rPr>
                <w:rFonts w:hint="eastAsia"/>
                <w:color w:val="000000" w:themeColor="text1"/>
                <w:highlight w:val="none"/>
                <w:lang w:val="en-US" w:eastAsia="zh-CN"/>
                <w14:textFill>
                  <w14:solidFill>
                    <w14:schemeClr w14:val="tx1"/>
                  </w14:solidFill>
                </w14:textFill>
              </w:rPr>
              <w:t>HW08，废物代码</w:t>
            </w:r>
            <w:r>
              <w:rPr>
                <w:rFonts w:hint="eastAsia" w:cs="Times New Roman"/>
                <w:color w:val="000000" w:themeColor="text1"/>
                <w:highlight w:val="none"/>
                <w:lang w:val="en-US" w:eastAsia="zh-CN"/>
                <w14:textFill>
                  <w14:solidFill>
                    <w14:schemeClr w14:val="tx1"/>
                  </w14:solidFill>
                </w14:textFill>
              </w:rPr>
              <w:t>为</w:t>
            </w:r>
            <w:r>
              <w:rPr>
                <w:rFonts w:hint="eastAsia"/>
                <w:color w:val="000000" w:themeColor="text1"/>
                <w:highlight w:val="none"/>
                <w:lang w:val="en-US" w:eastAsia="zh-CN"/>
                <w14:textFill>
                  <w14:solidFill>
                    <w14:schemeClr w14:val="tx1"/>
                  </w14:solidFill>
                </w14:textFill>
              </w:rPr>
              <w:t>900-214-08</w:t>
            </w:r>
            <w:r>
              <w:rPr>
                <w:rFonts w:hint="default" w:ascii="Times New Roman" w:hAnsi="Times New Roman" w:cs="Times New Roman"/>
                <w:color w:val="000000" w:themeColor="text1"/>
                <w:highlight w:val="none"/>
                <w:lang w:val="en-US" w:eastAsia="zh-CN"/>
                <w14:textFill>
                  <w14:solidFill>
                    <w14:schemeClr w14:val="tx1"/>
                  </w14:solidFill>
                </w14:textFill>
              </w:rPr>
              <w:t>，废机油经收集后暂存于危险废物贮存间，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定期委托有资质单位处置</w:t>
            </w:r>
            <w:r>
              <w:rPr>
                <w:rFonts w:hint="eastAsia"/>
                <w:color w:val="000000" w:themeColor="text1"/>
                <w:highlight w:val="none"/>
                <w:lang w:val="en-US" w:eastAsia="zh-CN"/>
                <w14:textFill>
                  <w14:solidFill>
                    <w14:schemeClr w14:val="tx1"/>
                  </w14:solidFill>
                </w14:textFill>
              </w:rPr>
              <w:t>。</w:t>
            </w:r>
          </w:p>
          <w:p w14:paraId="39B3F14D">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④废含油抹布、手套</w:t>
            </w:r>
          </w:p>
          <w:p w14:paraId="7A5A7CD9">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二期工程废含油抹布、手套产生于设备维修过程，产生量约为0.010 t/a，废物类别</w:t>
            </w:r>
            <w:r>
              <w:rPr>
                <w:rFonts w:hint="eastAsia" w:cs="Times New Roman"/>
                <w:color w:val="000000" w:themeColor="text1"/>
                <w:highlight w:val="none"/>
                <w:lang w:val="en-US" w:eastAsia="zh-CN"/>
                <w14:textFill>
                  <w14:solidFill>
                    <w14:schemeClr w14:val="tx1"/>
                  </w14:solidFill>
                </w14:textFill>
              </w:rPr>
              <w:t>为</w:t>
            </w:r>
            <w:r>
              <w:rPr>
                <w:rFonts w:hint="eastAsia"/>
                <w:color w:val="000000" w:themeColor="text1"/>
                <w:highlight w:val="none"/>
                <w:lang w:val="en-US" w:eastAsia="zh-CN"/>
                <w14:textFill>
                  <w14:solidFill>
                    <w14:schemeClr w14:val="tx1"/>
                  </w14:solidFill>
                </w14:textFill>
              </w:rPr>
              <w:t>HW49，废物代码</w:t>
            </w:r>
            <w:r>
              <w:rPr>
                <w:rFonts w:hint="eastAsia" w:cs="Times New Roman"/>
                <w:color w:val="000000" w:themeColor="text1"/>
                <w:highlight w:val="none"/>
                <w:lang w:val="en-US" w:eastAsia="zh-CN"/>
                <w14:textFill>
                  <w14:solidFill>
                    <w14:schemeClr w14:val="tx1"/>
                  </w14:solidFill>
                </w14:textFill>
              </w:rPr>
              <w:t>为</w:t>
            </w:r>
            <w:r>
              <w:rPr>
                <w:rFonts w:hint="eastAsia"/>
                <w:color w:val="000000" w:themeColor="text1"/>
                <w:highlight w:val="none"/>
                <w:lang w:val="en-US" w:eastAsia="zh-CN"/>
                <w14:textFill>
                  <w14:solidFill>
                    <w14:schemeClr w14:val="tx1"/>
                  </w14:solidFill>
                </w14:textFill>
              </w:rPr>
              <w:t>900-041-49，经收集后暂存于危废间，委托有资质的单位进行处置。</w:t>
            </w:r>
          </w:p>
          <w:p w14:paraId="654F2A0D">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⑤废布袋</w:t>
            </w:r>
          </w:p>
          <w:p w14:paraId="20ABFF12">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根据设计单位提供资料，一般布袋平均更换周期为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1~2年/次，约0.</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01</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 xml:space="preserve"> t/a</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根据《国家危险废物名录》（2025年版），</w:t>
            </w:r>
            <w:r>
              <w:rPr>
                <w:rFonts w:hint="eastAsia"/>
                <w:color w:val="000000" w:themeColor="text1"/>
                <w:highlight w:val="none"/>
                <w:lang w:val="en-US" w:eastAsia="zh-CN"/>
                <w14:textFill>
                  <w14:solidFill>
                    <w14:schemeClr w14:val="tx1"/>
                  </w14:solidFill>
                </w14:textFill>
              </w:rPr>
              <w:t>废物类别</w:t>
            </w:r>
            <w:r>
              <w:rPr>
                <w:rFonts w:hint="eastAsia" w:cs="Times New Roman"/>
                <w:color w:val="000000" w:themeColor="text1"/>
                <w:highlight w:val="none"/>
                <w:lang w:val="en-US" w:eastAsia="zh-CN"/>
                <w14:textFill>
                  <w14:solidFill>
                    <w14:schemeClr w14:val="tx1"/>
                  </w14:solidFill>
                </w14:textFill>
              </w:rPr>
              <w:t>为</w:t>
            </w:r>
            <w:r>
              <w:rPr>
                <w:rFonts w:hint="eastAsia"/>
                <w:color w:val="000000" w:themeColor="text1"/>
                <w:highlight w:val="none"/>
                <w:lang w:val="en-US" w:eastAsia="zh-CN"/>
                <w14:textFill>
                  <w14:solidFill>
                    <w14:schemeClr w14:val="tx1"/>
                  </w14:solidFill>
                </w14:textFill>
              </w:rPr>
              <w:t>HW49，废物代码</w:t>
            </w:r>
            <w:r>
              <w:rPr>
                <w:rFonts w:hint="eastAsia" w:cs="Times New Roman"/>
                <w:color w:val="000000" w:themeColor="text1"/>
                <w:highlight w:val="none"/>
                <w:lang w:val="en-US" w:eastAsia="zh-CN"/>
                <w14:textFill>
                  <w14:solidFill>
                    <w14:schemeClr w14:val="tx1"/>
                  </w14:solidFill>
                </w14:textFill>
              </w:rPr>
              <w:t>为</w:t>
            </w:r>
            <w:r>
              <w:rPr>
                <w:rFonts w:hint="eastAsia"/>
                <w:color w:val="000000" w:themeColor="text1"/>
                <w:highlight w:val="none"/>
                <w:lang w:val="en-US" w:eastAsia="zh-CN"/>
                <w14:textFill>
                  <w14:solidFill>
                    <w14:schemeClr w14:val="tx1"/>
                  </w14:solidFill>
                </w14:textFill>
              </w:rPr>
              <w:t>900-041-49，经收集后暂存于危废间，委托有资质的单位进行处置。</w:t>
            </w:r>
          </w:p>
          <w:p w14:paraId="3F1B4586">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⑥废催化剂</w:t>
            </w:r>
          </w:p>
          <w:p w14:paraId="6048BD99">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项目RCO催化燃烧装置催化剂的更换周期为3~5年/次，产生量约为0.01 t/次。根据</w:t>
            </w:r>
            <w:r>
              <w:rPr>
                <w:rFonts w:hint="eastAsia" w:cs="Times New Roman"/>
                <w:color w:val="000000" w:themeColor="text1"/>
                <w:highlight w:val="none"/>
                <w:lang w:val="en-US" w:eastAsia="zh-CN"/>
                <w14:textFill>
                  <w14:solidFill>
                    <w14:schemeClr w14:val="tx1"/>
                  </w14:solidFill>
                </w14:textFill>
              </w:rPr>
              <w:t>《国家危险废物名录》（2025年版），</w:t>
            </w:r>
            <w:r>
              <w:rPr>
                <w:rFonts w:hint="eastAsia"/>
                <w:color w:val="000000" w:themeColor="text1"/>
                <w:highlight w:val="none"/>
                <w:lang w:val="en-US" w:eastAsia="zh-CN"/>
                <w14:textFill>
                  <w14:solidFill>
                    <w14:schemeClr w14:val="tx1"/>
                  </w14:solidFill>
                </w14:textFill>
              </w:rPr>
              <w:t>废物类别</w:t>
            </w:r>
            <w:r>
              <w:rPr>
                <w:rFonts w:hint="eastAsia" w:cs="Times New Roman"/>
                <w:color w:val="000000" w:themeColor="text1"/>
                <w:highlight w:val="none"/>
                <w:lang w:val="en-US" w:eastAsia="zh-CN"/>
                <w14:textFill>
                  <w14:solidFill>
                    <w14:schemeClr w14:val="tx1"/>
                  </w14:solidFill>
                </w14:textFill>
              </w:rPr>
              <w:t>为</w:t>
            </w:r>
            <w:r>
              <w:rPr>
                <w:rFonts w:hint="eastAsia"/>
                <w:color w:val="000000" w:themeColor="text1"/>
                <w:highlight w:val="none"/>
                <w:lang w:val="en-US" w:eastAsia="zh-CN"/>
                <w14:textFill>
                  <w14:solidFill>
                    <w14:schemeClr w14:val="tx1"/>
                  </w14:solidFill>
                </w14:textFill>
              </w:rPr>
              <w:t>HW49，废物代码</w:t>
            </w:r>
            <w:r>
              <w:rPr>
                <w:rFonts w:hint="eastAsia" w:cs="Times New Roman"/>
                <w:color w:val="000000" w:themeColor="text1"/>
                <w:highlight w:val="none"/>
                <w:lang w:val="en-US" w:eastAsia="zh-CN"/>
                <w14:textFill>
                  <w14:solidFill>
                    <w14:schemeClr w14:val="tx1"/>
                  </w14:solidFill>
                </w14:textFill>
              </w:rPr>
              <w:t>为</w:t>
            </w:r>
            <w:r>
              <w:rPr>
                <w:rFonts w:hint="eastAsia"/>
                <w:color w:val="000000" w:themeColor="text1"/>
                <w:highlight w:val="none"/>
                <w:lang w:val="en-US" w:eastAsia="zh-CN"/>
                <w14:textFill>
                  <w14:solidFill>
                    <w14:schemeClr w14:val="tx1"/>
                  </w14:solidFill>
                </w14:textFill>
              </w:rPr>
              <w:t>900-041-49，经收集后暂存于危废间，委托有资质的单位进行处置。</w:t>
            </w:r>
          </w:p>
          <w:p w14:paraId="0ABE206C">
            <w:pPr>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（3）生活垃圾</w:t>
            </w:r>
          </w:p>
          <w:p w14:paraId="3B6725DF">
            <w:pPr>
              <w:rPr>
                <w:rFonts w:hint="eastAsia"/>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生活垃圾主要为果皮、塑料包装袋等。根据我国生活垃圾排放系数，不住厂职工生活垃圾排放系数取K=0.5 kg/（p·d），住厂职工生活垃圾排放系数取K=1 kg/（p·d），项目</w:t>
            </w:r>
            <w:r>
              <w:rPr>
                <w:rFonts w:hint="eastAsia" w:ascii="Times New Roman" w:hAnsi="Times New Roman" w:cs="Times New Roman"/>
                <w:color w:val="000000" w:themeColor="text1"/>
                <w:highlight w:val="none"/>
                <w:lang w:val="en-US" w:eastAsia="zh-CN"/>
                <w14:textFill>
                  <w14:solidFill>
                    <w14:schemeClr w14:val="tx1"/>
                  </w14:solidFill>
                </w14:textFill>
              </w:rPr>
              <w:t>二期工程拟聘用</w:t>
            </w:r>
            <w:r>
              <w:rPr>
                <w:rFonts w:hint="default" w:ascii="Times New Roman" w:hAnsi="Times New Roman" w:cs="Times New Roman"/>
                <w:color w:val="000000" w:themeColor="text1"/>
                <w:highlight w:val="none"/>
                <w:lang w:val="en-US" w:eastAsia="zh-CN"/>
                <w14:textFill>
                  <w14:solidFill>
                    <w14:schemeClr w14:val="tx1"/>
                  </w14:solidFill>
                </w14:textFill>
              </w:rPr>
              <w:t>职工</w:t>
            </w:r>
            <w:r>
              <w:rPr>
                <w:rFonts w:hint="eastAsia" w:cs="Times New Roman"/>
                <w:color w:val="000000" w:themeColor="text1"/>
                <w:highlight w:val="none"/>
                <w:lang w:val="en-US" w:eastAsia="zh-CN"/>
                <w14:textFill>
                  <w14:solidFill>
                    <w14:schemeClr w14:val="tx1"/>
                  </w14:solidFill>
                </w14:textFill>
              </w:rPr>
              <w:t>10</w:t>
            </w:r>
            <w:r>
              <w:rPr>
                <w:rFonts w:hint="default" w:ascii="Times New Roman" w:hAnsi="Times New Roman" w:cs="Times New Roman"/>
                <w:color w:val="000000" w:themeColor="text1"/>
                <w:highlight w:val="none"/>
                <w:lang w:val="en-US" w:eastAsia="zh-CN"/>
                <w14:textFill>
                  <w14:solidFill>
                    <w14:schemeClr w14:val="tx1"/>
                  </w14:solidFill>
                </w14:textFill>
              </w:rPr>
              <w:t>人，其中</w:t>
            </w:r>
            <w:r>
              <w:rPr>
                <w:rFonts w:hint="eastAsia" w:cs="Times New Roman"/>
                <w:color w:val="000000" w:themeColor="text1"/>
                <w:highlight w:val="none"/>
                <w:lang w:val="en-US" w:eastAsia="zh-CN"/>
                <w14:textFill>
                  <w14:solidFill>
                    <w14:schemeClr w14:val="tx1"/>
                  </w14:solidFill>
                </w14:textFill>
              </w:rPr>
              <w:t>5</w:t>
            </w:r>
            <w:r>
              <w:rPr>
                <w:rFonts w:hint="default" w:ascii="Times New Roman" w:hAnsi="Times New Roman" w:cs="Times New Roman"/>
                <w:color w:val="000000" w:themeColor="text1"/>
                <w:highlight w:val="none"/>
                <w:lang w:val="en-US" w:eastAsia="zh-CN"/>
                <w14:textFill>
                  <w14:solidFill>
                    <w14:schemeClr w14:val="tx1"/>
                  </w14:solidFill>
                </w14:textFill>
              </w:rPr>
              <w:t>人在厂食宿，</w:t>
            </w:r>
            <w:r>
              <w:rPr>
                <w:rFonts w:hint="eastAsia" w:cs="Times New Roman"/>
                <w:color w:val="000000" w:themeColor="text1"/>
                <w:highlight w:val="none"/>
                <w:lang w:val="en-US" w:eastAsia="zh-CN"/>
                <w14:textFill>
                  <w14:solidFill>
                    <w14:schemeClr w14:val="tx1"/>
                  </w14:solidFill>
                </w14:textFill>
              </w:rPr>
              <w:t>5</w:t>
            </w:r>
            <w:r>
              <w:rPr>
                <w:rFonts w:hint="default" w:ascii="Times New Roman" w:hAnsi="Times New Roman" w:cs="Times New Roman"/>
                <w:color w:val="000000" w:themeColor="text1"/>
                <w:highlight w:val="none"/>
                <w:lang w:val="en-US" w:eastAsia="zh-CN"/>
                <w14:textFill>
                  <w14:solidFill>
                    <w14:schemeClr w14:val="tx1"/>
                  </w14:solidFill>
                </w14:textFill>
              </w:rPr>
              <w:t>人不在厂食宿，年工作300天，则项目生活垃圾产生量为</w:t>
            </w:r>
            <w:r>
              <w:rPr>
                <w:rFonts w:hint="eastAsia" w:cs="Times New Roman"/>
                <w:color w:val="000000" w:themeColor="text1"/>
                <w:highlight w:val="none"/>
                <w:lang w:val="en-US" w:eastAsia="zh-CN"/>
                <w14:textFill>
                  <w14:solidFill>
                    <w14:schemeClr w14:val="tx1"/>
                  </w14:solidFill>
                </w14:textFill>
              </w:rPr>
              <w:t>2.25</w:t>
            </w:r>
            <w:r>
              <w:rPr>
                <w:rFonts w:hint="default" w:ascii="Times New Roman" w:hAnsi="Times New Roman" w:cs="Times New Roman"/>
                <w:color w:val="000000" w:themeColor="text1"/>
                <w:highlight w:val="none"/>
                <w:lang w:val="en-US" w:eastAsia="zh-CN"/>
                <w14:textFill>
                  <w14:solidFill>
                    <w14:schemeClr w14:val="tx1"/>
                  </w14:solidFill>
                </w14:textFill>
              </w:rPr>
              <w:t xml:space="preserve"> t/a。生活垃圾分类收集后，由环卫部门统一清运处置</w:t>
            </w:r>
            <w:r>
              <w:rPr>
                <w:rFonts w:hint="eastAsia" w:ascii="Times New Roman" w:hAnsi="Times New Roman" w:cs="Times New Roman"/>
                <w:color w:val="000000" w:themeColor="text1"/>
                <w:highlight w:val="none"/>
                <w:lang w:val="en-US" w:eastAsia="zh-CN"/>
                <w14:textFill>
                  <w14:solidFill>
                    <w14:schemeClr w14:val="tx1"/>
                  </w14:solidFill>
                </w14:textFill>
              </w:rPr>
              <w:t>。</w:t>
            </w:r>
          </w:p>
          <w:p w14:paraId="3E7D2F4D">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本项目一期工程、二期工程固体废物产生及处置情况详见</w: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begin"/>
            </w:r>
            <w:r>
              <w:rPr>
                <w:rFonts w:hint="default" w:ascii="Times New Roman" w:hAnsi="Times New Roman" w:cs="Times New Roman"/>
                <w:color w:val="000000" w:themeColor="text1"/>
                <w:highlight w:val="none"/>
                <w:lang w:val="en-US" w:eastAsia="zh-CN"/>
                <w14:textFill>
                  <w14:solidFill>
                    <w14:schemeClr w14:val="tx1"/>
                  </w14:solidFill>
                </w14:textFill>
              </w:rPr>
              <w:instrText xml:space="preserve"> REF _Ref32383 \n \h </w:instrTex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separate"/>
            </w:r>
            <w:r>
              <w:rPr>
                <w:rFonts w:hint="default" w:ascii="Times New Roman" w:hAnsi="Times New Roman" w:cs="Times New Roman"/>
                <w:color w:val="000000" w:themeColor="text1"/>
                <w:highlight w:val="none"/>
                <w:lang w:val="en-US" w:eastAsia="zh-CN"/>
                <w14:textFill>
                  <w14:solidFill>
                    <w14:schemeClr w14:val="tx1"/>
                  </w14:solidFill>
                </w14:textFill>
              </w:rPr>
              <w:t>表4.4-1</w: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end"/>
            </w:r>
            <w:r>
              <w:rPr>
                <w:rFonts w:hint="eastAsia" w:cs="Times New Roman"/>
                <w:color w:val="000000" w:themeColor="text1"/>
                <w:highlight w:val="none"/>
                <w:lang w:val="en-US" w:eastAsia="zh-CN"/>
                <w14:textFill>
                  <w14:solidFill>
                    <w14:schemeClr w14:val="tx1"/>
                  </w14:solidFill>
                </w14:textFill>
              </w:rPr>
              <w:t>。</w:t>
            </w:r>
          </w:p>
          <w:p w14:paraId="4D47B4F0">
            <w:pPr>
              <w:rPr>
                <w:rFonts w:hint="default"/>
                <w:color w:val="000000" w:themeColor="text1"/>
                <w:highlight w:val="none"/>
                <w:lang w:val="en-US" w:eastAsia="zh-CN"/>
                <w14:textFill>
                  <w14:solidFill>
                    <w14:schemeClr w14:val="tx1"/>
                  </w14:solidFill>
                </w14:textFill>
              </w:rPr>
            </w:pPr>
          </w:p>
        </w:tc>
      </w:tr>
    </w:tbl>
    <w:p w14:paraId="4879D71A">
      <w:pPr>
        <w:bidi w:val="0"/>
        <w:rPr>
          <w:rFonts w:hint="default" w:ascii="Times New Roman" w:hAnsi="Times New Roman" w:cs="Times New Roman"/>
          <w:color w:val="000000" w:themeColor="text1"/>
          <w:highlight w:val="none"/>
          <w:lang w:eastAsia="zh-CN"/>
          <w14:textFill>
            <w14:solidFill>
              <w14:schemeClr w14:val="tx1"/>
            </w14:solidFill>
          </w14:textFill>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3547"/>
      </w:tblGrid>
      <w:tr w14:paraId="11C2B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673" w:type="dxa"/>
            <w:noWrap w:val="0"/>
            <w:vAlign w:val="center"/>
          </w:tcPr>
          <w:p w14:paraId="0F5AED12">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13547" w:type="dxa"/>
            <w:noWrap w:val="0"/>
            <w:vAlign w:val="center"/>
          </w:tcPr>
          <w:p w14:paraId="68D05BAD">
            <w:pPr>
              <w:pStyle w:val="30"/>
              <w:numPr>
                <w:ilvl w:val="4"/>
                <w:numId w:val="4"/>
              </w:numPr>
              <w:tabs>
                <w:tab w:val="left" w:pos="0"/>
              </w:tabs>
              <w:bidi w:val="0"/>
              <w:rPr>
                <w:rFonts w:hint="default" w:ascii="Times New Roman" w:hAnsi="Times New Roman" w:cs="Times New Roman"/>
                <w:color w:val="000000" w:themeColor="text1"/>
                <w:highlight w:val="none"/>
                <w:lang w:eastAsia="zh-CN"/>
                <w14:textFill>
                  <w14:solidFill>
                    <w14:schemeClr w14:val="tx1"/>
                  </w14:solidFill>
                </w14:textFill>
              </w:rPr>
            </w:pPr>
            <w:bookmarkStart w:id="232" w:name="_Ref32383"/>
            <w:r>
              <w:rPr>
                <w:rFonts w:hint="eastAsia" w:cs="Times New Roman"/>
                <w:color w:val="000000" w:themeColor="text1"/>
                <w:highlight w:val="none"/>
                <w:lang w:val="en-US" w:eastAsia="zh-CN"/>
                <w14:textFill>
                  <w14:solidFill>
                    <w14:schemeClr w14:val="tx1"/>
                  </w14:solidFill>
                </w14:textFill>
              </w:rPr>
              <w:t>项目</w:t>
            </w:r>
            <w:r>
              <w:rPr>
                <w:rFonts w:hint="default" w:ascii="Times New Roman" w:hAnsi="Times New Roman" w:cs="Times New Roman"/>
                <w:color w:val="000000" w:themeColor="text1"/>
                <w:highlight w:val="none"/>
                <w:lang w:val="en-US" w:eastAsia="zh-CN"/>
                <w14:textFill>
                  <w14:solidFill>
                    <w14:schemeClr w14:val="tx1"/>
                  </w14:solidFill>
                </w14:textFill>
              </w:rPr>
              <w:t>工业固体废物产生及处置情况一览表</w:t>
            </w:r>
            <w:bookmarkEnd w:id="232"/>
          </w:p>
          <w:tbl>
            <w:tblPr>
              <w:tblStyle w:val="1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5"/>
              <w:gridCol w:w="1310"/>
              <w:gridCol w:w="2053"/>
              <w:gridCol w:w="1157"/>
              <w:gridCol w:w="690"/>
              <w:gridCol w:w="835"/>
              <w:gridCol w:w="2324"/>
              <w:gridCol w:w="797"/>
              <w:gridCol w:w="981"/>
              <w:gridCol w:w="1053"/>
              <w:gridCol w:w="1301"/>
            </w:tblGrid>
            <w:tr w14:paraId="4B9EDE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 w:type="pct"/>
                  <w:vMerge w:val="restart"/>
                  <w:tcBorders>
                    <w:tl2br w:val="nil"/>
                    <w:tr2bl w:val="nil"/>
                  </w:tcBorders>
                  <w:noWrap w:val="0"/>
                  <w:vAlign w:val="center"/>
                </w:tcPr>
                <w:p w14:paraId="51527929">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属性</w:t>
                  </w:r>
                </w:p>
              </w:tc>
              <w:tc>
                <w:tcPr>
                  <w:tcW w:w="491" w:type="pct"/>
                  <w:vMerge w:val="restart"/>
                  <w:tcBorders>
                    <w:tl2br w:val="nil"/>
                    <w:tr2bl w:val="nil"/>
                  </w:tcBorders>
                  <w:noWrap w:val="0"/>
                  <w:vAlign w:val="center"/>
                </w:tcPr>
                <w:p w14:paraId="6C1C6329">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固体废物名称</w:t>
                  </w:r>
                </w:p>
              </w:tc>
              <w:tc>
                <w:tcPr>
                  <w:tcW w:w="770" w:type="pct"/>
                  <w:vMerge w:val="restart"/>
                  <w:tcBorders>
                    <w:tl2br w:val="nil"/>
                    <w:tr2bl w:val="nil"/>
                  </w:tcBorders>
                  <w:noWrap w:val="0"/>
                  <w:vAlign w:val="center"/>
                </w:tcPr>
                <w:p w14:paraId="7838786E">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废物类别、代码</w:t>
                  </w:r>
                </w:p>
              </w:tc>
              <w:tc>
                <w:tcPr>
                  <w:tcW w:w="434" w:type="pct"/>
                  <w:vMerge w:val="restart"/>
                  <w:tcBorders>
                    <w:tl2br w:val="nil"/>
                    <w:tr2bl w:val="nil"/>
                  </w:tcBorders>
                  <w:noWrap w:val="0"/>
                  <w:vAlign w:val="center"/>
                </w:tcPr>
                <w:p w14:paraId="7BD5D110">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产生环节</w:t>
                  </w:r>
                </w:p>
              </w:tc>
              <w:tc>
                <w:tcPr>
                  <w:tcW w:w="258" w:type="pct"/>
                  <w:vMerge w:val="restart"/>
                  <w:tcBorders>
                    <w:tl2br w:val="nil"/>
                    <w:tr2bl w:val="nil"/>
                  </w:tcBorders>
                  <w:noWrap w:val="0"/>
                  <w:vAlign w:val="center"/>
                </w:tcPr>
                <w:p w14:paraId="50D91254">
                  <w:pPr>
                    <w:pStyle w:val="26"/>
                    <w:bidi w:val="0"/>
                    <w:ind w:firstLine="0" w:firstLineChars="0"/>
                    <w:jc w:val="center"/>
                    <w:rPr>
                      <w:rFonts w:hint="default"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物理性状</w:t>
                  </w:r>
                </w:p>
              </w:tc>
              <w:tc>
                <w:tcPr>
                  <w:tcW w:w="313" w:type="pct"/>
                  <w:vMerge w:val="restart"/>
                  <w:tcBorders>
                    <w:tl2br w:val="nil"/>
                    <w:tr2bl w:val="nil"/>
                  </w:tcBorders>
                  <w:noWrap w:val="0"/>
                  <w:vAlign w:val="center"/>
                </w:tcPr>
                <w:p w14:paraId="2ABE47B7">
                  <w:pPr>
                    <w:pStyle w:val="26"/>
                    <w:bidi w:val="0"/>
                    <w:ind w:firstLine="0" w:firstLineChars="0"/>
                    <w:jc w:val="center"/>
                    <w:rPr>
                      <w:rFonts w:hint="default"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环境危险特性</w:t>
                  </w:r>
                </w:p>
              </w:tc>
              <w:tc>
                <w:tcPr>
                  <w:tcW w:w="871" w:type="pct"/>
                  <w:vMerge w:val="restart"/>
                  <w:tcBorders>
                    <w:tl2br w:val="nil"/>
                    <w:tr2bl w:val="nil"/>
                  </w:tcBorders>
                  <w:noWrap w:val="0"/>
                  <w:vAlign w:val="center"/>
                </w:tcPr>
                <w:p w14:paraId="62D54362">
                  <w:pPr>
                    <w:pStyle w:val="26"/>
                    <w:bidi w:val="0"/>
                    <w:ind w:firstLine="0" w:firstLineChars="0"/>
                    <w:jc w:val="center"/>
                    <w:rPr>
                      <w:rFonts w:hint="default"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eastAsia" w:cs="Times New Roman"/>
                      <w:color w:val="000000" w:themeColor="text1"/>
                      <w:highlight w:val="none"/>
                      <w:lang w:val="en-US" w:eastAsia="zh-CN" w:bidi="ar-SA"/>
                      <w14:textFill>
                        <w14:solidFill>
                          <w14:schemeClr w14:val="tx1"/>
                        </w14:solidFill>
                      </w14:textFill>
                    </w:rPr>
                    <w:t>主要物质名称/</w:t>
                  </w:r>
                  <w:r>
                    <w:rPr>
                      <w:rFonts w:hint="default" w:ascii="Times New Roman" w:hAnsi="Times New Roman" w:cs="Times New Roman"/>
                      <w:color w:val="000000" w:themeColor="text1"/>
                      <w:highlight w:val="none"/>
                      <w:lang w:val="en-US" w:eastAsia="zh-CN" w:bidi="ar-SA"/>
                      <w14:textFill>
                        <w14:solidFill>
                          <w14:schemeClr w14:val="tx1"/>
                        </w14:solidFill>
                      </w14:textFill>
                    </w:rPr>
                    <w:t>主要有毒有害物质名称</w:t>
                  </w:r>
                </w:p>
              </w:tc>
              <w:tc>
                <w:tcPr>
                  <w:tcW w:w="1062" w:type="pct"/>
                  <w:gridSpan w:val="3"/>
                  <w:tcBorders>
                    <w:tl2br w:val="nil"/>
                    <w:tr2bl w:val="nil"/>
                  </w:tcBorders>
                  <w:noWrap w:val="0"/>
                  <w:vAlign w:val="center"/>
                </w:tcPr>
                <w:p w14:paraId="0890A22D">
                  <w:pPr>
                    <w:pStyle w:val="26"/>
                    <w:bidi w:val="0"/>
                    <w:ind w:firstLine="0" w:firstLineChars="0"/>
                    <w:jc w:val="center"/>
                    <w:rPr>
                      <w:rFonts w:hint="default"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产生量（t/a）</w:t>
                  </w:r>
                </w:p>
              </w:tc>
              <w:tc>
                <w:tcPr>
                  <w:tcW w:w="488" w:type="pct"/>
                  <w:tcBorders>
                    <w:tl2br w:val="nil"/>
                    <w:tr2bl w:val="nil"/>
                  </w:tcBorders>
                  <w:noWrap w:val="0"/>
                  <w:vAlign w:val="center"/>
                </w:tcPr>
                <w:p w14:paraId="59D45668">
                  <w:pPr>
                    <w:pStyle w:val="26"/>
                    <w:bidi w:val="0"/>
                    <w:ind w:firstLine="0" w:firstLineChars="0"/>
                    <w:jc w:val="center"/>
                    <w:rPr>
                      <w:rFonts w:hint="default"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去向</w:t>
                  </w:r>
                </w:p>
              </w:tc>
            </w:tr>
            <w:tr w14:paraId="2A7201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 w:type="pct"/>
                  <w:vMerge w:val="continue"/>
                  <w:tcBorders>
                    <w:tl2br w:val="nil"/>
                    <w:tr2bl w:val="nil"/>
                  </w:tcBorders>
                  <w:noWrap w:val="0"/>
                  <w:vAlign w:val="center"/>
                </w:tcPr>
                <w:p w14:paraId="53A7B4EF">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491" w:type="pct"/>
                  <w:vMerge w:val="continue"/>
                  <w:tcBorders>
                    <w:tl2br w:val="nil"/>
                    <w:tr2bl w:val="nil"/>
                  </w:tcBorders>
                  <w:noWrap w:val="0"/>
                  <w:vAlign w:val="center"/>
                </w:tcPr>
                <w:p w14:paraId="078276E7">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770" w:type="pct"/>
                  <w:vMerge w:val="continue"/>
                  <w:tcBorders>
                    <w:tl2br w:val="nil"/>
                    <w:tr2bl w:val="nil"/>
                  </w:tcBorders>
                  <w:noWrap w:val="0"/>
                  <w:vAlign w:val="center"/>
                </w:tcPr>
                <w:p w14:paraId="45F81493">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434" w:type="pct"/>
                  <w:vMerge w:val="continue"/>
                  <w:tcBorders>
                    <w:tl2br w:val="nil"/>
                    <w:tr2bl w:val="nil"/>
                  </w:tcBorders>
                  <w:noWrap w:val="0"/>
                  <w:vAlign w:val="center"/>
                </w:tcPr>
                <w:p w14:paraId="6A80A1DD">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258" w:type="pct"/>
                  <w:vMerge w:val="continue"/>
                  <w:tcBorders>
                    <w:tl2br w:val="nil"/>
                    <w:tr2bl w:val="nil"/>
                  </w:tcBorders>
                  <w:noWrap w:val="0"/>
                  <w:vAlign w:val="center"/>
                </w:tcPr>
                <w:p w14:paraId="537BA330">
                  <w:pPr>
                    <w:pStyle w:val="26"/>
                    <w:bidi w:val="0"/>
                    <w:ind w:firstLine="0" w:firstLineChars="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313" w:type="pct"/>
                  <w:vMerge w:val="continue"/>
                  <w:tcBorders>
                    <w:tl2br w:val="nil"/>
                    <w:tr2bl w:val="nil"/>
                  </w:tcBorders>
                  <w:noWrap w:val="0"/>
                  <w:vAlign w:val="center"/>
                </w:tcPr>
                <w:p w14:paraId="473F959A">
                  <w:pPr>
                    <w:pStyle w:val="26"/>
                    <w:bidi w:val="0"/>
                    <w:ind w:firstLine="0" w:firstLineChars="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871" w:type="pct"/>
                  <w:vMerge w:val="continue"/>
                  <w:tcBorders>
                    <w:tl2br w:val="nil"/>
                    <w:tr2bl w:val="nil"/>
                  </w:tcBorders>
                  <w:noWrap w:val="0"/>
                  <w:vAlign w:val="center"/>
                </w:tcPr>
                <w:p w14:paraId="03F7EA75">
                  <w:pPr>
                    <w:pStyle w:val="26"/>
                    <w:bidi w:val="0"/>
                    <w:ind w:firstLine="0" w:firstLineChars="0"/>
                    <w:jc w:val="center"/>
                    <w:rPr>
                      <w:rFonts w:hint="eastAsia" w:cs="Times New Roman"/>
                      <w:color w:val="000000" w:themeColor="text1"/>
                      <w:highlight w:val="none"/>
                      <w:lang w:val="en-US" w:eastAsia="zh-CN" w:bidi="ar-SA"/>
                      <w14:textFill>
                        <w14:solidFill>
                          <w14:schemeClr w14:val="tx1"/>
                        </w14:solidFill>
                      </w14:textFill>
                    </w:rPr>
                  </w:pPr>
                </w:p>
              </w:tc>
              <w:tc>
                <w:tcPr>
                  <w:tcW w:w="299" w:type="pct"/>
                  <w:tcBorders>
                    <w:tl2br w:val="nil"/>
                    <w:tr2bl w:val="nil"/>
                  </w:tcBorders>
                  <w:noWrap w:val="0"/>
                  <w:vAlign w:val="center"/>
                </w:tcPr>
                <w:p w14:paraId="6E93CD8A">
                  <w:pPr>
                    <w:pStyle w:val="26"/>
                    <w:bidi w:val="0"/>
                    <w:ind w:firstLine="0" w:firstLineChars="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一期</w:t>
                  </w:r>
                </w:p>
              </w:tc>
              <w:tc>
                <w:tcPr>
                  <w:tcW w:w="368" w:type="pct"/>
                  <w:tcBorders>
                    <w:tl2br w:val="nil"/>
                    <w:tr2bl w:val="nil"/>
                  </w:tcBorders>
                  <w:noWrap w:val="0"/>
                  <w:vAlign w:val="center"/>
                </w:tcPr>
                <w:p w14:paraId="5495AAAA">
                  <w:pPr>
                    <w:pStyle w:val="26"/>
                    <w:bidi w:val="0"/>
                    <w:ind w:firstLine="0" w:firstLineChars="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二期</w:t>
                  </w:r>
                </w:p>
              </w:tc>
              <w:tc>
                <w:tcPr>
                  <w:tcW w:w="395" w:type="pct"/>
                  <w:tcBorders>
                    <w:tl2br w:val="nil"/>
                    <w:tr2bl w:val="nil"/>
                  </w:tcBorders>
                  <w:noWrap w:val="0"/>
                  <w:vAlign w:val="center"/>
                </w:tcPr>
                <w:p w14:paraId="1F9AB3E8">
                  <w:pPr>
                    <w:pStyle w:val="26"/>
                    <w:bidi w:val="0"/>
                    <w:ind w:firstLine="0" w:firstLineChars="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合计</w:t>
                  </w:r>
                </w:p>
              </w:tc>
              <w:tc>
                <w:tcPr>
                  <w:tcW w:w="488" w:type="pct"/>
                  <w:tcBorders>
                    <w:tl2br w:val="nil"/>
                    <w:tr2bl w:val="nil"/>
                  </w:tcBorders>
                  <w:noWrap w:val="0"/>
                  <w:vAlign w:val="center"/>
                </w:tcPr>
                <w:p w14:paraId="23B4D9E2">
                  <w:pPr>
                    <w:pStyle w:val="26"/>
                    <w:bidi w:val="0"/>
                    <w:ind w:firstLine="0" w:firstLineChars="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r>
            <w:tr w14:paraId="15B971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 w:type="pct"/>
                  <w:vMerge w:val="restart"/>
                  <w:tcBorders>
                    <w:tl2br w:val="nil"/>
                    <w:tr2bl w:val="nil"/>
                  </w:tcBorders>
                  <w:noWrap w:val="0"/>
                  <w:vAlign w:val="center"/>
                </w:tcPr>
                <w:p w14:paraId="5126C8BD">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一般工业固体废物</w:t>
                  </w:r>
                </w:p>
              </w:tc>
              <w:tc>
                <w:tcPr>
                  <w:tcW w:w="491" w:type="pct"/>
                  <w:tcBorders>
                    <w:tl2br w:val="nil"/>
                    <w:tr2bl w:val="nil"/>
                  </w:tcBorders>
                  <w:noWrap w:val="0"/>
                  <w:vAlign w:val="center"/>
                </w:tcPr>
                <w:p w14:paraId="0A7B9B01">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碳渣</w:t>
                  </w:r>
                </w:p>
              </w:tc>
              <w:tc>
                <w:tcPr>
                  <w:tcW w:w="770" w:type="pct"/>
                  <w:tcBorders>
                    <w:tl2br w:val="nil"/>
                    <w:tr2bl w:val="nil"/>
                  </w:tcBorders>
                  <w:noWrap w:val="0"/>
                  <w:vAlign w:val="center"/>
                </w:tcPr>
                <w:p w14:paraId="23BE6AA0">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SW03 900-099-S03</w:t>
                  </w:r>
                </w:p>
              </w:tc>
              <w:tc>
                <w:tcPr>
                  <w:tcW w:w="434" w:type="pct"/>
                  <w:tcBorders>
                    <w:tl2br w:val="nil"/>
                    <w:tr2bl w:val="nil"/>
                  </w:tcBorders>
                  <w:noWrap w:val="0"/>
                  <w:vAlign w:val="center"/>
                </w:tcPr>
                <w:p w14:paraId="57E52DB8">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引弧放电、碳化</w:t>
                  </w:r>
                </w:p>
              </w:tc>
              <w:tc>
                <w:tcPr>
                  <w:tcW w:w="258" w:type="pct"/>
                  <w:tcBorders>
                    <w:tl2br w:val="nil"/>
                    <w:tr2bl w:val="nil"/>
                  </w:tcBorders>
                  <w:noWrap w:val="0"/>
                  <w:vAlign w:val="center"/>
                </w:tcPr>
                <w:p w14:paraId="2D441533">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固态</w:t>
                  </w:r>
                </w:p>
              </w:tc>
              <w:tc>
                <w:tcPr>
                  <w:tcW w:w="313" w:type="pct"/>
                  <w:tcBorders>
                    <w:tl2br w:val="nil"/>
                    <w:tr2bl w:val="nil"/>
                  </w:tcBorders>
                  <w:noWrap w:val="0"/>
                  <w:vAlign w:val="center"/>
                </w:tcPr>
                <w:p w14:paraId="1DBDBBE1">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w:t>
                  </w:r>
                </w:p>
              </w:tc>
              <w:tc>
                <w:tcPr>
                  <w:tcW w:w="871" w:type="pct"/>
                  <w:tcBorders>
                    <w:tl2br w:val="nil"/>
                    <w:tr2bl w:val="nil"/>
                  </w:tcBorders>
                  <w:noWrap w:val="0"/>
                  <w:vAlign w:val="center"/>
                </w:tcPr>
                <w:p w14:paraId="5C653598">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石墨等</w:t>
                  </w:r>
                </w:p>
              </w:tc>
              <w:tc>
                <w:tcPr>
                  <w:tcW w:w="299" w:type="pct"/>
                  <w:tcBorders>
                    <w:tl2br w:val="nil"/>
                    <w:tr2bl w:val="nil"/>
                  </w:tcBorders>
                  <w:noWrap w:val="0"/>
                  <w:vAlign w:val="center"/>
                </w:tcPr>
                <w:p w14:paraId="79810FAD">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118.50</w:t>
                  </w:r>
                </w:p>
              </w:tc>
              <w:tc>
                <w:tcPr>
                  <w:tcW w:w="368" w:type="pct"/>
                  <w:tcBorders>
                    <w:tl2br w:val="nil"/>
                    <w:tr2bl w:val="nil"/>
                  </w:tcBorders>
                  <w:noWrap w:val="0"/>
                  <w:vAlign w:val="center"/>
                </w:tcPr>
                <w:p w14:paraId="0619AFAB">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276.50</w:t>
                  </w:r>
                </w:p>
              </w:tc>
              <w:tc>
                <w:tcPr>
                  <w:tcW w:w="395" w:type="pct"/>
                  <w:tcBorders>
                    <w:tl2br w:val="nil"/>
                    <w:tr2bl w:val="nil"/>
                  </w:tcBorders>
                  <w:noWrap w:val="0"/>
                  <w:vAlign w:val="center"/>
                </w:tcPr>
                <w:p w14:paraId="5659CD28">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39</w:t>
                  </w:r>
                  <w:r>
                    <w:rPr>
                      <w:rFonts w:hint="eastAsia"/>
                      <w:color w:val="000000" w:themeColor="text1"/>
                      <w:highlight w:val="none"/>
                      <w:lang w:val="en-US" w:eastAsia="zh-CN" w:bidi="ar-SA"/>
                      <w14:textFill>
                        <w14:solidFill>
                          <w14:schemeClr w14:val="tx1"/>
                        </w14:solidFill>
                      </w14:textFill>
                    </w:rPr>
                    <w:t>5.00</w:t>
                  </w:r>
                </w:p>
              </w:tc>
              <w:tc>
                <w:tcPr>
                  <w:tcW w:w="488" w:type="pct"/>
                  <w:vMerge w:val="restart"/>
                  <w:tcBorders>
                    <w:tl2br w:val="nil"/>
                    <w:tr2bl w:val="nil"/>
                  </w:tcBorders>
                  <w:noWrap w:val="0"/>
                  <w:vAlign w:val="center"/>
                </w:tcPr>
                <w:p w14:paraId="59C4F83A">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分类收集，贮存于一般工业固体废物贮存间，定期外售综合利用</w:t>
                  </w:r>
                </w:p>
              </w:tc>
            </w:tr>
            <w:tr w14:paraId="35C499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 w:type="pct"/>
                  <w:vMerge w:val="continue"/>
                  <w:tcBorders>
                    <w:tl2br w:val="nil"/>
                    <w:tr2bl w:val="nil"/>
                  </w:tcBorders>
                  <w:noWrap w:val="0"/>
                  <w:vAlign w:val="center"/>
                </w:tcPr>
                <w:p w14:paraId="2FA2205F">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491" w:type="pct"/>
                  <w:tcBorders>
                    <w:tl2br w:val="nil"/>
                    <w:tr2bl w:val="nil"/>
                  </w:tcBorders>
                  <w:noWrap w:val="0"/>
                  <w:vAlign w:val="center"/>
                </w:tcPr>
                <w:p w14:paraId="68F425DD">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不合格品</w:t>
                  </w:r>
                </w:p>
              </w:tc>
              <w:tc>
                <w:tcPr>
                  <w:tcW w:w="770" w:type="pct"/>
                  <w:tcBorders>
                    <w:tl2br w:val="nil"/>
                    <w:tr2bl w:val="nil"/>
                  </w:tcBorders>
                  <w:noWrap w:val="0"/>
                  <w:vAlign w:val="center"/>
                </w:tcPr>
                <w:p w14:paraId="4732F856">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SW17 900-099-S17</w:t>
                  </w:r>
                </w:p>
              </w:tc>
              <w:tc>
                <w:tcPr>
                  <w:tcW w:w="434" w:type="pct"/>
                  <w:tcBorders>
                    <w:tl2br w:val="nil"/>
                    <w:tr2bl w:val="nil"/>
                  </w:tcBorders>
                  <w:noWrap w:val="0"/>
                  <w:vAlign w:val="center"/>
                </w:tcPr>
                <w:p w14:paraId="2E6A8A0B">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检验</w:t>
                  </w:r>
                </w:p>
              </w:tc>
              <w:tc>
                <w:tcPr>
                  <w:tcW w:w="258" w:type="pct"/>
                  <w:tcBorders>
                    <w:tl2br w:val="nil"/>
                    <w:tr2bl w:val="nil"/>
                  </w:tcBorders>
                  <w:noWrap w:val="0"/>
                  <w:vAlign w:val="center"/>
                </w:tcPr>
                <w:p w14:paraId="467192AD">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固态</w:t>
                  </w:r>
                </w:p>
              </w:tc>
              <w:tc>
                <w:tcPr>
                  <w:tcW w:w="313" w:type="pct"/>
                  <w:tcBorders>
                    <w:tl2br w:val="nil"/>
                    <w:tr2bl w:val="nil"/>
                  </w:tcBorders>
                  <w:noWrap w:val="0"/>
                  <w:vAlign w:val="center"/>
                </w:tcPr>
                <w:p w14:paraId="10F4983B">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w:t>
                  </w:r>
                </w:p>
              </w:tc>
              <w:tc>
                <w:tcPr>
                  <w:tcW w:w="871" w:type="pct"/>
                  <w:tcBorders>
                    <w:tl2br w:val="nil"/>
                    <w:tr2bl w:val="nil"/>
                  </w:tcBorders>
                  <w:noWrap w:val="0"/>
                  <w:vAlign w:val="center"/>
                </w:tcPr>
                <w:p w14:paraId="0406FF75">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碳纳米材料、硅碳负极材料</w:t>
                  </w:r>
                </w:p>
              </w:tc>
              <w:tc>
                <w:tcPr>
                  <w:tcW w:w="299" w:type="pct"/>
                  <w:tcBorders>
                    <w:tl2br w:val="nil"/>
                    <w:tr2bl w:val="nil"/>
                  </w:tcBorders>
                  <w:noWrap w:val="0"/>
                  <w:vAlign w:val="center"/>
                </w:tcPr>
                <w:p w14:paraId="441AC211">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4.50</w:t>
                  </w:r>
                </w:p>
              </w:tc>
              <w:tc>
                <w:tcPr>
                  <w:tcW w:w="368" w:type="pct"/>
                  <w:tcBorders>
                    <w:tl2br w:val="nil"/>
                    <w:tr2bl w:val="nil"/>
                  </w:tcBorders>
                  <w:noWrap w:val="0"/>
                  <w:vAlign w:val="center"/>
                </w:tcPr>
                <w:p w14:paraId="6775AAC0">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10.50</w:t>
                  </w:r>
                </w:p>
              </w:tc>
              <w:tc>
                <w:tcPr>
                  <w:tcW w:w="395" w:type="pct"/>
                  <w:tcBorders>
                    <w:tl2br w:val="nil"/>
                    <w:tr2bl w:val="nil"/>
                  </w:tcBorders>
                  <w:noWrap w:val="0"/>
                  <w:vAlign w:val="center"/>
                </w:tcPr>
                <w:p w14:paraId="637EF8BE">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15.00</w:t>
                  </w:r>
                </w:p>
              </w:tc>
              <w:tc>
                <w:tcPr>
                  <w:tcW w:w="488" w:type="pct"/>
                  <w:vMerge w:val="continue"/>
                  <w:tcBorders>
                    <w:tl2br w:val="nil"/>
                    <w:tr2bl w:val="nil"/>
                  </w:tcBorders>
                  <w:noWrap w:val="0"/>
                  <w:vAlign w:val="center"/>
                </w:tcPr>
                <w:p w14:paraId="741EEE8F">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r>
            <w:tr w14:paraId="6F64F0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 w:type="pct"/>
                  <w:vMerge w:val="continue"/>
                  <w:tcBorders>
                    <w:tl2br w:val="nil"/>
                    <w:tr2bl w:val="nil"/>
                  </w:tcBorders>
                  <w:noWrap w:val="0"/>
                  <w:vAlign w:val="center"/>
                </w:tcPr>
                <w:p w14:paraId="7AFC6E24">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491" w:type="pct"/>
                  <w:tcBorders>
                    <w:tl2br w:val="nil"/>
                    <w:tr2bl w:val="nil"/>
                  </w:tcBorders>
                  <w:noWrap w:val="0"/>
                  <w:vAlign w:val="center"/>
                </w:tcPr>
                <w:p w14:paraId="1DA31C10">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原辅材料废包装袋</w:t>
                  </w:r>
                </w:p>
              </w:tc>
              <w:tc>
                <w:tcPr>
                  <w:tcW w:w="770" w:type="pct"/>
                  <w:tcBorders>
                    <w:tl2br w:val="nil"/>
                    <w:tr2bl w:val="nil"/>
                  </w:tcBorders>
                  <w:noWrap w:val="0"/>
                  <w:vAlign w:val="center"/>
                </w:tcPr>
                <w:p w14:paraId="3EC50ED3">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SW17 900-003-S17</w:t>
                  </w:r>
                </w:p>
              </w:tc>
              <w:tc>
                <w:tcPr>
                  <w:tcW w:w="434" w:type="pct"/>
                  <w:tcBorders>
                    <w:tl2br w:val="nil"/>
                    <w:tr2bl w:val="nil"/>
                  </w:tcBorders>
                  <w:noWrap w:val="0"/>
                  <w:vAlign w:val="center"/>
                </w:tcPr>
                <w:p w14:paraId="158B3CA5">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原辅材料外包装</w:t>
                  </w:r>
                </w:p>
              </w:tc>
              <w:tc>
                <w:tcPr>
                  <w:tcW w:w="258" w:type="pct"/>
                  <w:tcBorders>
                    <w:tl2br w:val="nil"/>
                    <w:tr2bl w:val="nil"/>
                  </w:tcBorders>
                  <w:noWrap w:val="0"/>
                  <w:vAlign w:val="center"/>
                </w:tcPr>
                <w:p w14:paraId="3AD66937">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固态</w:t>
                  </w:r>
                </w:p>
              </w:tc>
              <w:tc>
                <w:tcPr>
                  <w:tcW w:w="313" w:type="pct"/>
                  <w:tcBorders>
                    <w:tl2br w:val="nil"/>
                    <w:tr2bl w:val="nil"/>
                  </w:tcBorders>
                  <w:noWrap w:val="0"/>
                  <w:vAlign w:val="center"/>
                </w:tcPr>
                <w:p w14:paraId="78EB0F5C">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w:t>
                  </w:r>
                </w:p>
              </w:tc>
              <w:tc>
                <w:tcPr>
                  <w:tcW w:w="871" w:type="pct"/>
                  <w:tcBorders>
                    <w:tl2br w:val="nil"/>
                    <w:tr2bl w:val="nil"/>
                  </w:tcBorders>
                  <w:noWrap w:val="0"/>
                  <w:vAlign w:val="center"/>
                </w:tcPr>
                <w:p w14:paraId="14930FDE">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原辅材料外包装袋</w:t>
                  </w:r>
                </w:p>
              </w:tc>
              <w:tc>
                <w:tcPr>
                  <w:tcW w:w="299" w:type="pct"/>
                  <w:tcBorders>
                    <w:tl2br w:val="nil"/>
                    <w:tr2bl w:val="nil"/>
                  </w:tcBorders>
                  <w:noWrap w:val="0"/>
                  <w:vAlign w:val="center"/>
                </w:tcPr>
                <w:p w14:paraId="273D098E">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0.30</w:t>
                  </w:r>
                </w:p>
              </w:tc>
              <w:tc>
                <w:tcPr>
                  <w:tcW w:w="368" w:type="pct"/>
                  <w:tcBorders>
                    <w:tl2br w:val="nil"/>
                    <w:tr2bl w:val="nil"/>
                  </w:tcBorders>
                  <w:noWrap w:val="0"/>
                  <w:vAlign w:val="center"/>
                </w:tcPr>
                <w:p w14:paraId="5CE4F560">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0.70</w:t>
                  </w:r>
                </w:p>
              </w:tc>
              <w:tc>
                <w:tcPr>
                  <w:tcW w:w="395" w:type="pct"/>
                  <w:tcBorders>
                    <w:tl2br w:val="nil"/>
                    <w:tr2bl w:val="nil"/>
                  </w:tcBorders>
                  <w:noWrap w:val="0"/>
                  <w:vAlign w:val="center"/>
                </w:tcPr>
                <w:p w14:paraId="23660CBC">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1.00</w:t>
                  </w:r>
                </w:p>
              </w:tc>
              <w:tc>
                <w:tcPr>
                  <w:tcW w:w="488" w:type="pct"/>
                  <w:vMerge w:val="continue"/>
                  <w:tcBorders>
                    <w:tl2br w:val="nil"/>
                    <w:tr2bl w:val="nil"/>
                  </w:tcBorders>
                  <w:noWrap w:val="0"/>
                  <w:vAlign w:val="center"/>
                </w:tcPr>
                <w:p w14:paraId="4DF1CDB2">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r>
            <w:tr w14:paraId="1C620D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 w:type="pct"/>
                  <w:vMerge w:val="continue"/>
                  <w:tcBorders>
                    <w:tl2br w:val="nil"/>
                    <w:tr2bl w:val="nil"/>
                  </w:tcBorders>
                  <w:noWrap w:val="0"/>
                  <w:vAlign w:val="center"/>
                </w:tcPr>
                <w:p w14:paraId="5E2FF7AF">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491" w:type="pct"/>
                  <w:tcBorders>
                    <w:tl2br w:val="nil"/>
                    <w:tr2bl w:val="nil"/>
                  </w:tcBorders>
                  <w:noWrap w:val="0"/>
                  <w:vAlign w:val="center"/>
                </w:tcPr>
                <w:p w14:paraId="49B98176">
                  <w:pPr>
                    <w:pStyle w:val="26"/>
                    <w:bidi w:val="0"/>
                    <w:ind w:firstLine="0" w:firstLineChars="0"/>
                    <w:jc w:val="center"/>
                    <w:rPr>
                      <w:rFonts w:hint="eastAsia"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截留粉尘</w:t>
                  </w:r>
                </w:p>
              </w:tc>
              <w:tc>
                <w:tcPr>
                  <w:tcW w:w="770" w:type="pct"/>
                  <w:tcBorders>
                    <w:tl2br w:val="nil"/>
                    <w:tr2bl w:val="nil"/>
                  </w:tcBorders>
                  <w:noWrap w:val="0"/>
                  <w:vAlign w:val="center"/>
                </w:tcPr>
                <w:p w14:paraId="74F6387D">
                  <w:pPr>
                    <w:pStyle w:val="26"/>
                    <w:bidi w:val="0"/>
                    <w:ind w:firstLine="0" w:firstLineChars="0"/>
                    <w:jc w:val="center"/>
                    <w:rPr>
                      <w:rFonts w:hint="eastAsia"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SW17 900-099-S17</w:t>
                  </w:r>
                </w:p>
              </w:tc>
              <w:tc>
                <w:tcPr>
                  <w:tcW w:w="434" w:type="pct"/>
                  <w:tcBorders>
                    <w:tl2br w:val="nil"/>
                    <w:tr2bl w:val="nil"/>
                  </w:tcBorders>
                  <w:noWrap w:val="0"/>
                  <w:vAlign w:val="center"/>
                </w:tcPr>
                <w:p w14:paraId="70B30E86">
                  <w:pPr>
                    <w:pStyle w:val="26"/>
                    <w:bidi w:val="0"/>
                    <w:ind w:firstLine="0" w:firstLineChars="0"/>
                    <w:jc w:val="center"/>
                    <w:rPr>
                      <w:rFonts w:hint="eastAsia"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废气处理</w:t>
                  </w:r>
                </w:p>
              </w:tc>
              <w:tc>
                <w:tcPr>
                  <w:tcW w:w="258" w:type="pct"/>
                  <w:tcBorders>
                    <w:tl2br w:val="nil"/>
                    <w:tr2bl w:val="nil"/>
                  </w:tcBorders>
                  <w:noWrap w:val="0"/>
                  <w:vAlign w:val="center"/>
                </w:tcPr>
                <w:p w14:paraId="6E8D20B6">
                  <w:pPr>
                    <w:pStyle w:val="26"/>
                    <w:bidi w:val="0"/>
                    <w:ind w:firstLine="0" w:firstLineChars="0"/>
                    <w:jc w:val="center"/>
                    <w:rPr>
                      <w:rFonts w:hint="eastAsia"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固态</w:t>
                  </w:r>
                </w:p>
              </w:tc>
              <w:tc>
                <w:tcPr>
                  <w:tcW w:w="313" w:type="pct"/>
                  <w:tcBorders>
                    <w:tl2br w:val="nil"/>
                    <w:tr2bl w:val="nil"/>
                  </w:tcBorders>
                  <w:noWrap w:val="0"/>
                  <w:vAlign w:val="center"/>
                </w:tcPr>
                <w:p w14:paraId="36D5E3A3">
                  <w:pPr>
                    <w:pStyle w:val="26"/>
                    <w:bidi w:val="0"/>
                    <w:ind w:firstLine="0" w:firstLineChars="0"/>
                    <w:jc w:val="center"/>
                    <w:rPr>
                      <w:rFonts w:hint="eastAsia" w:ascii="Times New Roman" w:hAnsi="Times New Roman" w:cs="Times New Roman"/>
                      <w:color w:val="000000" w:themeColor="text1"/>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w:t>
                  </w:r>
                </w:p>
              </w:tc>
              <w:tc>
                <w:tcPr>
                  <w:tcW w:w="871" w:type="pct"/>
                  <w:tcBorders>
                    <w:tl2br w:val="nil"/>
                    <w:tr2bl w:val="nil"/>
                  </w:tcBorders>
                  <w:noWrap w:val="0"/>
                  <w:vAlign w:val="center"/>
                </w:tcPr>
                <w:p w14:paraId="2683C44A">
                  <w:pPr>
                    <w:pStyle w:val="26"/>
                    <w:bidi w:val="0"/>
                    <w:ind w:firstLine="0" w:firstLineChars="0"/>
                    <w:jc w:val="center"/>
                    <w:rPr>
                      <w:rFonts w:hint="eastAsia"/>
                      <w:color w:val="000000" w:themeColor="text1"/>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硅碳负极材料粉末</w:t>
                  </w:r>
                </w:p>
              </w:tc>
              <w:tc>
                <w:tcPr>
                  <w:tcW w:w="299" w:type="pct"/>
                  <w:tcBorders>
                    <w:tl2br w:val="nil"/>
                    <w:tr2bl w:val="nil"/>
                  </w:tcBorders>
                  <w:noWrap w:val="0"/>
                  <w:vAlign w:val="center"/>
                </w:tcPr>
                <w:p w14:paraId="75C86A0B">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eastAsia"/>
                      <w:color w:val="000000" w:themeColor="text1"/>
                      <w:sz w:val="21"/>
                      <w:szCs w:val="22"/>
                      <w:highlight w:val="none"/>
                      <w:lang w:val="en-US" w:eastAsia="zh-CN" w:bidi="ar-SA"/>
                      <w14:textFill>
                        <w14:solidFill>
                          <w14:schemeClr w14:val="tx1"/>
                        </w14:solidFill>
                      </w14:textFill>
                    </w:rPr>
                    <w:t>1.8482</w:t>
                  </w:r>
                </w:p>
              </w:tc>
              <w:tc>
                <w:tcPr>
                  <w:tcW w:w="368" w:type="pct"/>
                  <w:tcBorders>
                    <w:tl2br w:val="nil"/>
                    <w:tr2bl w:val="nil"/>
                  </w:tcBorders>
                  <w:noWrap w:val="0"/>
                  <w:vAlign w:val="center"/>
                </w:tcPr>
                <w:p w14:paraId="519D03AC">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eastAsia"/>
                      <w:color w:val="000000" w:themeColor="text1"/>
                      <w:sz w:val="21"/>
                      <w:szCs w:val="22"/>
                      <w:highlight w:val="none"/>
                      <w:lang w:val="en-US" w:eastAsia="zh-CN" w:bidi="ar-SA"/>
                      <w14:textFill>
                        <w14:solidFill>
                          <w14:schemeClr w14:val="tx1"/>
                        </w14:solidFill>
                      </w14:textFill>
                    </w:rPr>
                    <w:t>4.3125</w:t>
                  </w:r>
                </w:p>
              </w:tc>
              <w:tc>
                <w:tcPr>
                  <w:tcW w:w="395" w:type="pct"/>
                  <w:tcBorders>
                    <w:tl2br w:val="nil"/>
                    <w:tr2bl w:val="nil"/>
                  </w:tcBorders>
                  <w:noWrap w:val="0"/>
                  <w:vAlign w:val="center"/>
                </w:tcPr>
                <w:p w14:paraId="34043696">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6.</w:t>
                  </w:r>
                  <w:r>
                    <w:rPr>
                      <w:rFonts w:hint="eastAsia"/>
                      <w:color w:val="000000" w:themeColor="text1"/>
                      <w:highlight w:val="none"/>
                      <w:lang w:val="en-US" w:eastAsia="zh-CN" w:bidi="ar-SA"/>
                      <w14:textFill>
                        <w14:solidFill>
                          <w14:schemeClr w14:val="tx1"/>
                        </w14:solidFill>
                      </w14:textFill>
                    </w:rPr>
                    <w:t>16</w:t>
                  </w:r>
                </w:p>
              </w:tc>
              <w:tc>
                <w:tcPr>
                  <w:tcW w:w="488" w:type="pct"/>
                  <w:vMerge w:val="continue"/>
                  <w:tcBorders>
                    <w:tl2br w:val="nil"/>
                    <w:tr2bl w:val="nil"/>
                  </w:tcBorders>
                  <w:noWrap w:val="0"/>
                  <w:vAlign w:val="center"/>
                </w:tcPr>
                <w:p w14:paraId="297A3B6C">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r>
            <w:tr w14:paraId="53AA63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 w:type="pct"/>
                  <w:vMerge w:val="continue"/>
                  <w:tcBorders>
                    <w:tl2br w:val="nil"/>
                    <w:tr2bl w:val="nil"/>
                  </w:tcBorders>
                  <w:noWrap w:val="0"/>
                  <w:vAlign w:val="center"/>
                </w:tcPr>
                <w:p w14:paraId="7B85E482">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491" w:type="pct"/>
                  <w:tcBorders>
                    <w:tl2br w:val="nil"/>
                    <w:tr2bl w:val="nil"/>
                  </w:tcBorders>
                  <w:noWrap w:val="0"/>
                  <w:vAlign w:val="center"/>
                </w:tcPr>
                <w:p w14:paraId="57A4F790">
                  <w:pPr>
                    <w:pStyle w:val="26"/>
                    <w:bidi w:val="0"/>
                    <w:jc w:val="center"/>
                    <w:rPr>
                      <w:rFonts w:hint="eastAsia"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废</w:t>
                  </w:r>
                  <w:r>
                    <w:rPr>
                      <w:rFonts w:hint="eastAsia"/>
                      <w:color w:val="000000" w:themeColor="text1"/>
                      <w:highlight w:val="none"/>
                      <w:lang w:val="en-US" w:eastAsia="zh-CN" w:bidi="ar-SA"/>
                      <w14:textFill>
                        <w14:solidFill>
                          <w14:schemeClr w14:val="tx1"/>
                        </w14:solidFill>
                      </w14:textFill>
                    </w:rPr>
                    <w:t>滤芯、废分子筛</w:t>
                  </w:r>
                </w:p>
              </w:tc>
              <w:tc>
                <w:tcPr>
                  <w:tcW w:w="770" w:type="pct"/>
                  <w:tcBorders>
                    <w:tl2br w:val="nil"/>
                    <w:tr2bl w:val="nil"/>
                  </w:tcBorders>
                  <w:noWrap w:val="0"/>
                  <w:vAlign w:val="center"/>
                </w:tcPr>
                <w:p w14:paraId="586A32C4">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SW59 900-009-S59</w:t>
                  </w:r>
                </w:p>
              </w:tc>
              <w:tc>
                <w:tcPr>
                  <w:tcW w:w="434" w:type="pct"/>
                  <w:tcBorders>
                    <w:tl2br w:val="nil"/>
                    <w:tr2bl w:val="nil"/>
                  </w:tcBorders>
                  <w:noWrap w:val="0"/>
                  <w:vAlign w:val="center"/>
                </w:tcPr>
                <w:p w14:paraId="7C2F8D02">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制氮、制氩</w:t>
                  </w:r>
                </w:p>
              </w:tc>
              <w:tc>
                <w:tcPr>
                  <w:tcW w:w="258" w:type="pct"/>
                  <w:tcBorders>
                    <w:tl2br w:val="nil"/>
                    <w:tr2bl w:val="nil"/>
                  </w:tcBorders>
                  <w:noWrap w:val="0"/>
                  <w:vAlign w:val="center"/>
                </w:tcPr>
                <w:p w14:paraId="4C698283">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固态</w:t>
                  </w:r>
                </w:p>
              </w:tc>
              <w:tc>
                <w:tcPr>
                  <w:tcW w:w="313" w:type="pct"/>
                  <w:tcBorders>
                    <w:tl2br w:val="nil"/>
                    <w:tr2bl w:val="nil"/>
                  </w:tcBorders>
                  <w:noWrap w:val="0"/>
                  <w:vAlign w:val="center"/>
                </w:tcPr>
                <w:p w14:paraId="260F7CB2">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w:t>
                  </w:r>
                </w:p>
              </w:tc>
              <w:tc>
                <w:tcPr>
                  <w:tcW w:w="871" w:type="pct"/>
                  <w:tcBorders>
                    <w:tl2br w:val="nil"/>
                    <w:tr2bl w:val="nil"/>
                  </w:tcBorders>
                  <w:noWrap w:val="0"/>
                  <w:vAlign w:val="center"/>
                </w:tcPr>
                <w:p w14:paraId="6DB67BBD">
                  <w:pPr>
                    <w:pStyle w:val="26"/>
                    <w:bidi w:val="0"/>
                    <w:jc w:val="center"/>
                    <w:rPr>
                      <w:rFonts w:hint="eastAsia" w:ascii="Times New Roman" w:hAnsi="Times New Roman" w:cs="Times New Roman"/>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玻璃纤维滤芯、碳分子筛</w:t>
                  </w:r>
                </w:p>
              </w:tc>
              <w:tc>
                <w:tcPr>
                  <w:tcW w:w="299" w:type="pct"/>
                  <w:tcBorders>
                    <w:tl2br w:val="nil"/>
                    <w:tr2bl w:val="nil"/>
                  </w:tcBorders>
                  <w:noWrap w:val="0"/>
                  <w:vAlign w:val="center"/>
                </w:tcPr>
                <w:p w14:paraId="760F47E4">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0.30</w:t>
                  </w:r>
                </w:p>
              </w:tc>
              <w:tc>
                <w:tcPr>
                  <w:tcW w:w="368" w:type="pct"/>
                  <w:tcBorders>
                    <w:tl2br w:val="nil"/>
                    <w:tr2bl w:val="nil"/>
                  </w:tcBorders>
                  <w:noWrap w:val="0"/>
                  <w:vAlign w:val="center"/>
                </w:tcPr>
                <w:p w14:paraId="76EBF448">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0.30</w:t>
                  </w:r>
                </w:p>
              </w:tc>
              <w:tc>
                <w:tcPr>
                  <w:tcW w:w="395" w:type="pct"/>
                  <w:tcBorders>
                    <w:tl2br w:val="nil"/>
                    <w:tr2bl w:val="nil"/>
                  </w:tcBorders>
                  <w:noWrap w:val="0"/>
                  <w:vAlign w:val="center"/>
                </w:tcPr>
                <w:p w14:paraId="37BD777E">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0.60</w:t>
                  </w:r>
                </w:p>
              </w:tc>
              <w:tc>
                <w:tcPr>
                  <w:tcW w:w="488" w:type="pct"/>
                  <w:tcBorders>
                    <w:tl2br w:val="nil"/>
                    <w:tr2bl w:val="nil"/>
                  </w:tcBorders>
                  <w:noWrap w:val="0"/>
                  <w:vAlign w:val="center"/>
                </w:tcPr>
                <w:p w14:paraId="5373BB9E">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由供应商回收综合利用</w:t>
                  </w:r>
                </w:p>
              </w:tc>
            </w:tr>
            <w:tr w14:paraId="1CB17E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 w:type="pct"/>
                  <w:vMerge w:val="restart"/>
                  <w:tcBorders>
                    <w:tl2br w:val="nil"/>
                    <w:tr2bl w:val="nil"/>
                  </w:tcBorders>
                  <w:noWrap w:val="0"/>
                  <w:vAlign w:val="center"/>
                </w:tcPr>
                <w:p w14:paraId="593A1539">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危险废物</w:t>
                  </w:r>
                </w:p>
              </w:tc>
              <w:tc>
                <w:tcPr>
                  <w:tcW w:w="491" w:type="pct"/>
                  <w:tcBorders>
                    <w:tl2br w:val="nil"/>
                    <w:tr2bl w:val="nil"/>
                  </w:tcBorders>
                  <w:noWrap w:val="0"/>
                  <w:vAlign w:val="center"/>
                </w:tcPr>
                <w:p w14:paraId="28DB5A5E">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检验室废液</w:t>
                  </w:r>
                </w:p>
              </w:tc>
              <w:tc>
                <w:tcPr>
                  <w:tcW w:w="770" w:type="pct"/>
                  <w:tcBorders>
                    <w:tl2br w:val="nil"/>
                    <w:tr2bl w:val="nil"/>
                  </w:tcBorders>
                  <w:noWrap w:val="0"/>
                  <w:vAlign w:val="center"/>
                </w:tcPr>
                <w:p w14:paraId="581B79CB">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HW49 900-047-49</w:t>
                  </w:r>
                </w:p>
              </w:tc>
              <w:tc>
                <w:tcPr>
                  <w:tcW w:w="434" w:type="pct"/>
                  <w:tcBorders>
                    <w:tl2br w:val="nil"/>
                    <w:tr2bl w:val="nil"/>
                  </w:tcBorders>
                  <w:noWrap w:val="0"/>
                  <w:vAlign w:val="center"/>
                </w:tcPr>
                <w:p w14:paraId="3E2B9B11">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检验</w:t>
                  </w:r>
                </w:p>
              </w:tc>
              <w:tc>
                <w:tcPr>
                  <w:tcW w:w="258" w:type="pct"/>
                  <w:tcBorders>
                    <w:tl2br w:val="nil"/>
                    <w:tr2bl w:val="nil"/>
                  </w:tcBorders>
                  <w:noWrap w:val="0"/>
                  <w:vAlign w:val="center"/>
                </w:tcPr>
                <w:p w14:paraId="4DC19E27">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液态</w:t>
                  </w:r>
                </w:p>
              </w:tc>
              <w:tc>
                <w:tcPr>
                  <w:tcW w:w="313" w:type="pct"/>
                  <w:tcBorders>
                    <w:tl2br w:val="nil"/>
                    <w:tr2bl w:val="nil"/>
                  </w:tcBorders>
                  <w:noWrap w:val="0"/>
                  <w:vAlign w:val="center"/>
                </w:tcPr>
                <w:p w14:paraId="33258EB7">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T/C/R</w:t>
                  </w:r>
                </w:p>
              </w:tc>
              <w:tc>
                <w:tcPr>
                  <w:tcW w:w="871" w:type="pct"/>
                  <w:tcBorders>
                    <w:tl2br w:val="nil"/>
                    <w:tr2bl w:val="nil"/>
                  </w:tcBorders>
                  <w:noWrap w:val="0"/>
                  <w:vAlign w:val="center"/>
                </w:tcPr>
                <w:p w14:paraId="2A7C861F">
                  <w:pPr>
                    <w:pStyle w:val="26"/>
                    <w:bidi w:val="0"/>
                    <w:ind w:firstLine="0" w:firstLineChars="0"/>
                    <w:jc w:val="center"/>
                    <w:rPr>
                      <w:rFonts w:hint="default"/>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含无机物、酸等</w:t>
                  </w:r>
                </w:p>
              </w:tc>
              <w:tc>
                <w:tcPr>
                  <w:tcW w:w="299" w:type="pct"/>
                  <w:tcBorders>
                    <w:tl2br w:val="nil"/>
                    <w:tr2bl w:val="nil"/>
                  </w:tcBorders>
                  <w:noWrap w:val="0"/>
                  <w:vAlign w:val="center"/>
                </w:tcPr>
                <w:p w14:paraId="160FC49F">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3.42</w:t>
                  </w:r>
                </w:p>
              </w:tc>
              <w:tc>
                <w:tcPr>
                  <w:tcW w:w="368" w:type="pct"/>
                  <w:tcBorders>
                    <w:tl2br w:val="nil"/>
                    <w:tr2bl w:val="nil"/>
                  </w:tcBorders>
                  <w:noWrap w:val="0"/>
                  <w:vAlign w:val="center"/>
                </w:tcPr>
                <w:p w14:paraId="64474733">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9.78</w:t>
                  </w:r>
                </w:p>
              </w:tc>
              <w:tc>
                <w:tcPr>
                  <w:tcW w:w="395" w:type="pct"/>
                  <w:tcBorders>
                    <w:tl2br w:val="nil"/>
                    <w:tr2bl w:val="nil"/>
                  </w:tcBorders>
                  <w:noWrap w:val="0"/>
                  <w:vAlign w:val="center"/>
                </w:tcPr>
                <w:p w14:paraId="0EED39BE">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13.2</w:t>
                  </w:r>
                </w:p>
              </w:tc>
              <w:tc>
                <w:tcPr>
                  <w:tcW w:w="488" w:type="pct"/>
                  <w:vMerge w:val="restart"/>
                  <w:tcBorders>
                    <w:tl2br w:val="nil"/>
                    <w:tr2bl w:val="nil"/>
                  </w:tcBorders>
                  <w:noWrap w:val="0"/>
                  <w:vAlign w:val="center"/>
                </w:tcPr>
                <w:p w14:paraId="61363AC6">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收集后，分类</w:t>
                  </w:r>
                  <w:r>
                    <w:rPr>
                      <w:rFonts w:hint="eastAsia" w:ascii="Times New Roman" w:hAnsi="Times New Roman" w:cs="Times New Roman"/>
                      <w:color w:val="000000" w:themeColor="text1"/>
                      <w:highlight w:val="none"/>
                      <w:lang w:val="en-US" w:eastAsia="zh-CN" w:bidi="ar-SA"/>
                      <w14:textFill>
                        <w14:solidFill>
                          <w14:schemeClr w14:val="tx1"/>
                        </w14:solidFill>
                      </w14:textFill>
                    </w:rPr>
                    <w:t>贮存</w:t>
                  </w:r>
                  <w:r>
                    <w:rPr>
                      <w:rFonts w:hint="default" w:ascii="Times New Roman" w:hAnsi="Times New Roman" w:cs="Times New Roman"/>
                      <w:color w:val="000000" w:themeColor="text1"/>
                      <w:highlight w:val="none"/>
                      <w:lang w:val="en-US" w:eastAsia="zh-CN" w:bidi="ar-SA"/>
                      <w14:textFill>
                        <w14:solidFill>
                          <w14:schemeClr w14:val="tx1"/>
                        </w14:solidFill>
                      </w14:textFill>
                    </w:rPr>
                    <w:t>于危险废物贮存间，定期委托有资质单位处置</w:t>
                  </w:r>
                </w:p>
              </w:tc>
            </w:tr>
            <w:tr w14:paraId="795E10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 w:type="pct"/>
                  <w:vMerge w:val="continue"/>
                  <w:tcBorders>
                    <w:tl2br w:val="nil"/>
                    <w:tr2bl w:val="nil"/>
                  </w:tcBorders>
                  <w:noWrap w:val="0"/>
                  <w:vAlign w:val="center"/>
                </w:tcPr>
                <w:p w14:paraId="7FC964CD">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491" w:type="pct"/>
                  <w:tcBorders>
                    <w:tl2br w:val="nil"/>
                    <w:tr2bl w:val="nil"/>
                  </w:tcBorders>
                  <w:noWrap w:val="0"/>
                  <w:vAlign w:val="center"/>
                </w:tcPr>
                <w:p w14:paraId="3981FF3E">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废试剂瓶</w:t>
                  </w:r>
                </w:p>
              </w:tc>
              <w:tc>
                <w:tcPr>
                  <w:tcW w:w="770" w:type="pct"/>
                  <w:tcBorders>
                    <w:tl2br w:val="nil"/>
                    <w:tr2bl w:val="nil"/>
                  </w:tcBorders>
                  <w:noWrap w:val="0"/>
                  <w:vAlign w:val="center"/>
                </w:tcPr>
                <w:p w14:paraId="66CB66A7">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HW49 900-047-49</w:t>
                  </w:r>
                </w:p>
              </w:tc>
              <w:tc>
                <w:tcPr>
                  <w:tcW w:w="434" w:type="pct"/>
                  <w:tcBorders>
                    <w:tl2br w:val="nil"/>
                    <w:tr2bl w:val="nil"/>
                  </w:tcBorders>
                  <w:noWrap w:val="0"/>
                  <w:vAlign w:val="center"/>
                </w:tcPr>
                <w:p w14:paraId="43739002">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检验</w:t>
                  </w:r>
                </w:p>
              </w:tc>
              <w:tc>
                <w:tcPr>
                  <w:tcW w:w="258" w:type="pct"/>
                  <w:tcBorders>
                    <w:tl2br w:val="nil"/>
                    <w:tr2bl w:val="nil"/>
                  </w:tcBorders>
                  <w:noWrap w:val="0"/>
                  <w:vAlign w:val="center"/>
                </w:tcPr>
                <w:p w14:paraId="61B0CB11">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固态</w:t>
                  </w:r>
                </w:p>
              </w:tc>
              <w:tc>
                <w:tcPr>
                  <w:tcW w:w="313" w:type="pct"/>
                  <w:tcBorders>
                    <w:tl2br w:val="nil"/>
                    <w:tr2bl w:val="nil"/>
                  </w:tcBorders>
                  <w:noWrap w:val="0"/>
                  <w:vAlign w:val="center"/>
                </w:tcPr>
                <w:p w14:paraId="2D9AD6AC">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T/C</w:t>
                  </w:r>
                </w:p>
              </w:tc>
              <w:tc>
                <w:tcPr>
                  <w:tcW w:w="871" w:type="pct"/>
                  <w:tcBorders>
                    <w:tl2br w:val="nil"/>
                    <w:tr2bl w:val="nil"/>
                  </w:tcBorders>
                  <w:noWrap w:val="0"/>
                  <w:vAlign w:val="center"/>
                </w:tcPr>
                <w:p w14:paraId="68C06C91">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沾染化学试剂</w:t>
                  </w:r>
                </w:p>
              </w:tc>
              <w:tc>
                <w:tcPr>
                  <w:tcW w:w="299" w:type="pct"/>
                  <w:tcBorders>
                    <w:tl2br w:val="nil"/>
                    <w:tr2bl w:val="nil"/>
                  </w:tcBorders>
                  <w:noWrap w:val="0"/>
                  <w:vAlign w:val="center"/>
                </w:tcPr>
                <w:p w14:paraId="545F6BC9">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0.01</w:t>
                  </w:r>
                </w:p>
              </w:tc>
              <w:tc>
                <w:tcPr>
                  <w:tcW w:w="368" w:type="pct"/>
                  <w:tcBorders>
                    <w:tl2br w:val="nil"/>
                    <w:tr2bl w:val="nil"/>
                  </w:tcBorders>
                  <w:noWrap w:val="0"/>
                  <w:vAlign w:val="center"/>
                </w:tcPr>
                <w:p w14:paraId="51095A86">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0.02</w:t>
                  </w:r>
                </w:p>
              </w:tc>
              <w:tc>
                <w:tcPr>
                  <w:tcW w:w="395" w:type="pct"/>
                  <w:tcBorders>
                    <w:tl2br w:val="nil"/>
                    <w:tr2bl w:val="nil"/>
                  </w:tcBorders>
                  <w:noWrap w:val="0"/>
                  <w:vAlign w:val="center"/>
                </w:tcPr>
                <w:p w14:paraId="5C0BF38D">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0.03</w:t>
                  </w:r>
                </w:p>
              </w:tc>
              <w:tc>
                <w:tcPr>
                  <w:tcW w:w="488" w:type="pct"/>
                  <w:vMerge w:val="continue"/>
                  <w:tcBorders>
                    <w:tl2br w:val="nil"/>
                    <w:tr2bl w:val="nil"/>
                  </w:tcBorders>
                  <w:noWrap w:val="0"/>
                  <w:vAlign w:val="center"/>
                </w:tcPr>
                <w:p w14:paraId="1E7099F9">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r>
            <w:tr w14:paraId="260B6B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 w:type="pct"/>
                  <w:vMerge w:val="continue"/>
                  <w:tcBorders>
                    <w:tl2br w:val="nil"/>
                    <w:tr2bl w:val="nil"/>
                  </w:tcBorders>
                  <w:noWrap w:val="0"/>
                  <w:vAlign w:val="center"/>
                </w:tcPr>
                <w:p w14:paraId="3634C16C">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491" w:type="pct"/>
                  <w:tcBorders>
                    <w:tl2br w:val="nil"/>
                    <w:tr2bl w:val="nil"/>
                  </w:tcBorders>
                  <w:noWrap w:val="0"/>
                  <w:vAlign w:val="center"/>
                </w:tcPr>
                <w:p w14:paraId="11EB8F38">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b/>
                      <w:bCs/>
                      <w:color w:val="000000" w:themeColor="text1"/>
                      <w:highlight w:val="none"/>
                      <w:lang w:val="en-US" w:eastAsia="zh-CN" w:bidi="ar-SA"/>
                      <w14:textFill>
                        <w14:solidFill>
                          <w14:schemeClr w14:val="tx1"/>
                        </w14:solidFill>
                      </w14:textFill>
                    </w:rPr>
                    <w:t>废活性炭</w:t>
                  </w:r>
                </w:p>
              </w:tc>
              <w:tc>
                <w:tcPr>
                  <w:tcW w:w="770" w:type="pct"/>
                  <w:tcBorders>
                    <w:tl2br w:val="nil"/>
                    <w:tr2bl w:val="nil"/>
                  </w:tcBorders>
                  <w:noWrap w:val="0"/>
                  <w:vAlign w:val="center"/>
                </w:tcPr>
                <w:p w14:paraId="7A16C1D8">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HW49 900-039-49</w:t>
                  </w:r>
                </w:p>
              </w:tc>
              <w:tc>
                <w:tcPr>
                  <w:tcW w:w="434" w:type="pct"/>
                  <w:tcBorders>
                    <w:tl2br w:val="nil"/>
                    <w:tr2bl w:val="nil"/>
                  </w:tcBorders>
                  <w:noWrap w:val="0"/>
                  <w:vAlign w:val="center"/>
                </w:tcPr>
                <w:p w14:paraId="61A7F84F">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废气处理</w:t>
                  </w:r>
                </w:p>
              </w:tc>
              <w:tc>
                <w:tcPr>
                  <w:tcW w:w="258" w:type="pct"/>
                  <w:tcBorders>
                    <w:tl2br w:val="nil"/>
                    <w:tr2bl w:val="nil"/>
                  </w:tcBorders>
                  <w:noWrap w:val="0"/>
                  <w:vAlign w:val="center"/>
                </w:tcPr>
                <w:p w14:paraId="472F40D6">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固态</w:t>
                  </w:r>
                </w:p>
              </w:tc>
              <w:tc>
                <w:tcPr>
                  <w:tcW w:w="313" w:type="pct"/>
                  <w:tcBorders>
                    <w:tl2br w:val="nil"/>
                    <w:tr2bl w:val="nil"/>
                  </w:tcBorders>
                  <w:noWrap w:val="0"/>
                  <w:vAlign w:val="center"/>
                </w:tcPr>
                <w:p w14:paraId="3BC8A196">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T</w:t>
                  </w:r>
                </w:p>
              </w:tc>
              <w:tc>
                <w:tcPr>
                  <w:tcW w:w="871" w:type="pct"/>
                  <w:tcBorders>
                    <w:tl2br w:val="nil"/>
                    <w:tr2bl w:val="nil"/>
                  </w:tcBorders>
                  <w:noWrap w:val="0"/>
                  <w:vAlign w:val="center"/>
                </w:tcPr>
                <w:p w14:paraId="089B3E13">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沾染有机废气</w:t>
                  </w:r>
                </w:p>
              </w:tc>
              <w:tc>
                <w:tcPr>
                  <w:tcW w:w="299" w:type="pct"/>
                  <w:tcBorders>
                    <w:tl2br w:val="nil"/>
                    <w:tr2bl w:val="nil"/>
                  </w:tcBorders>
                  <w:noWrap w:val="0"/>
                  <w:vAlign w:val="center"/>
                </w:tcPr>
                <w:p w14:paraId="37ECBE56">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27.889</w:t>
                  </w:r>
                </w:p>
              </w:tc>
              <w:tc>
                <w:tcPr>
                  <w:tcW w:w="368" w:type="pct"/>
                  <w:tcBorders>
                    <w:tl2br w:val="nil"/>
                    <w:tr2bl w:val="nil"/>
                  </w:tcBorders>
                  <w:noWrap w:val="0"/>
                  <w:vAlign w:val="center"/>
                </w:tcPr>
                <w:p w14:paraId="14A3F88B">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w:t>
                  </w:r>
                </w:p>
              </w:tc>
              <w:tc>
                <w:tcPr>
                  <w:tcW w:w="395" w:type="pct"/>
                  <w:tcBorders>
                    <w:tl2br w:val="nil"/>
                    <w:tr2bl w:val="nil"/>
                  </w:tcBorders>
                  <w:noWrap w:val="0"/>
                  <w:vAlign w:val="center"/>
                </w:tcPr>
                <w:p w14:paraId="1E8BE75B">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27.889</w:t>
                  </w:r>
                </w:p>
              </w:tc>
              <w:tc>
                <w:tcPr>
                  <w:tcW w:w="488" w:type="pct"/>
                  <w:vMerge w:val="continue"/>
                  <w:tcBorders>
                    <w:tl2br w:val="nil"/>
                    <w:tr2bl w:val="nil"/>
                  </w:tcBorders>
                  <w:noWrap w:val="0"/>
                  <w:vAlign w:val="center"/>
                </w:tcPr>
                <w:p w14:paraId="336A316F">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r>
            <w:tr w14:paraId="027A23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 w:type="pct"/>
                  <w:vMerge w:val="continue"/>
                  <w:tcBorders>
                    <w:tl2br w:val="nil"/>
                    <w:tr2bl w:val="nil"/>
                  </w:tcBorders>
                  <w:noWrap w:val="0"/>
                  <w:vAlign w:val="center"/>
                </w:tcPr>
                <w:p w14:paraId="3B8913C3">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491" w:type="pct"/>
                  <w:tcBorders>
                    <w:tl2br w:val="nil"/>
                    <w:tr2bl w:val="nil"/>
                  </w:tcBorders>
                  <w:noWrap w:val="0"/>
                  <w:vAlign w:val="center"/>
                </w:tcPr>
                <w:p w14:paraId="166BBEAA">
                  <w:pPr>
                    <w:pStyle w:val="26"/>
                    <w:bidi w:val="0"/>
                    <w:jc w:val="center"/>
                    <w:rPr>
                      <w:rFonts w:hint="default"/>
                      <w:b/>
                      <w:bCs/>
                      <w:color w:val="000000" w:themeColor="text1"/>
                      <w:highlight w:val="none"/>
                      <w:lang w:val="en-US" w:eastAsia="zh-CN" w:bidi="ar-SA"/>
                      <w14:textFill>
                        <w14:solidFill>
                          <w14:schemeClr w14:val="tx1"/>
                        </w14:solidFill>
                      </w14:textFill>
                    </w:rPr>
                  </w:pPr>
                  <w:r>
                    <w:rPr>
                      <w:rFonts w:hint="eastAsia"/>
                      <w:b w:val="0"/>
                      <w:bCs w:val="0"/>
                      <w:color w:val="000000" w:themeColor="text1"/>
                      <w:highlight w:val="none"/>
                      <w:lang w:val="en-US" w:eastAsia="zh-CN" w:bidi="ar-SA"/>
                      <w14:textFill>
                        <w14:solidFill>
                          <w14:schemeClr w14:val="tx1"/>
                        </w14:solidFill>
                      </w14:textFill>
                    </w:rPr>
                    <w:t>废布袋</w:t>
                  </w:r>
                </w:p>
              </w:tc>
              <w:tc>
                <w:tcPr>
                  <w:tcW w:w="770" w:type="pct"/>
                  <w:tcBorders>
                    <w:tl2br w:val="nil"/>
                    <w:tr2bl w:val="nil"/>
                  </w:tcBorders>
                  <w:noWrap w:val="0"/>
                  <w:vAlign w:val="center"/>
                </w:tcPr>
                <w:p w14:paraId="20E00097">
                  <w:pPr>
                    <w:pStyle w:val="26"/>
                    <w:bidi w:val="0"/>
                    <w:jc w:val="center"/>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HW49 900-041-49</w:t>
                  </w:r>
                </w:p>
              </w:tc>
              <w:tc>
                <w:tcPr>
                  <w:tcW w:w="434" w:type="pct"/>
                  <w:tcBorders>
                    <w:tl2br w:val="nil"/>
                    <w:tr2bl w:val="nil"/>
                  </w:tcBorders>
                  <w:noWrap w:val="0"/>
                  <w:vAlign w:val="center"/>
                </w:tcPr>
                <w:p w14:paraId="18E2D4DF">
                  <w:pPr>
                    <w:pStyle w:val="26"/>
                    <w:bidi w:val="0"/>
                    <w:jc w:val="center"/>
                    <w:rPr>
                      <w:rFonts w:hint="eastAsia"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废气处理</w:t>
                  </w:r>
                </w:p>
              </w:tc>
              <w:tc>
                <w:tcPr>
                  <w:tcW w:w="258" w:type="pct"/>
                  <w:tcBorders>
                    <w:tl2br w:val="nil"/>
                    <w:tr2bl w:val="nil"/>
                  </w:tcBorders>
                  <w:noWrap w:val="0"/>
                  <w:vAlign w:val="center"/>
                </w:tcPr>
                <w:p w14:paraId="21DA69A7">
                  <w:pPr>
                    <w:pStyle w:val="26"/>
                    <w:bidi w:val="0"/>
                    <w:jc w:val="center"/>
                    <w:rPr>
                      <w:rFonts w:hint="eastAsia"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固态</w:t>
                  </w:r>
                </w:p>
              </w:tc>
              <w:tc>
                <w:tcPr>
                  <w:tcW w:w="313" w:type="pct"/>
                  <w:tcBorders>
                    <w:tl2br w:val="nil"/>
                    <w:tr2bl w:val="nil"/>
                  </w:tcBorders>
                  <w:noWrap w:val="0"/>
                  <w:vAlign w:val="center"/>
                </w:tcPr>
                <w:p w14:paraId="35A5BBA9">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cs="Times New Roman"/>
                      <w:color w:val="000000" w:themeColor="text1"/>
                      <w:highlight w:val="none"/>
                      <w:lang w:val="en-US" w:eastAsia="zh-CN" w:bidi="ar-SA"/>
                      <w14:textFill>
                        <w14:solidFill>
                          <w14:schemeClr w14:val="tx1"/>
                        </w14:solidFill>
                      </w14:textFill>
                    </w:rPr>
                    <w:t>T</w:t>
                  </w:r>
                </w:p>
              </w:tc>
              <w:tc>
                <w:tcPr>
                  <w:tcW w:w="871" w:type="pct"/>
                  <w:tcBorders>
                    <w:tl2br w:val="nil"/>
                    <w:tr2bl w:val="nil"/>
                  </w:tcBorders>
                  <w:noWrap w:val="0"/>
                  <w:vAlign w:val="center"/>
                </w:tcPr>
                <w:p w14:paraId="762F372B">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cs="Times New Roman"/>
                      <w:color w:val="000000" w:themeColor="text1"/>
                      <w:highlight w:val="none"/>
                      <w:lang w:val="en-US" w:eastAsia="zh-CN" w:bidi="ar-SA"/>
                      <w14:textFill>
                        <w14:solidFill>
                          <w14:schemeClr w14:val="tx1"/>
                        </w14:solidFill>
                      </w14:textFill>
                    </w:rPr>
                    <w:t>沾染苯并[a]芘、沥青烟等</w:t>
                  </w:r>
                </w:p>
              </w:tc>
              <w:tc>
                <w:tcPr>
                  <w:tcW w:w="299" w:type="pct"/>
                  <w:tcBorders>
                    <w:tl2br w:val="nil"/>
                    <w:tr2bl w:val="nil"/>
                  </w:tcBorders>
                  <w:noWrap w:val="0"/>
                  <w:vAlign w:val="center"/>
                </w:tcPr>
                <w:p w14:paraId="4345FEC0">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0.01</w:t>
                  </w:r>
                </w:p>
              </w:tc>
              <w:tc>
                <w:tcPr>
                  <w:tcW w:w="368" w:type="pct"/>
                  <w:tcBorders>
                    <w:tl2br w:val="nil"/>
                    <w:tr2bl w:val="nil"/>
                  </w:tcBorders>
                  <w:noWrap w:val="0"/>
                  <w:vAlign w:val="center"/>
                </w:tcPr>
                <w:p w14:paraId="4CB3FE32">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0.01</w:t>
                  </w:r>
                </w:p>
              </w:tc>
              <w:tc>
                <w:tcPr>
                  <w:tcW w:w="395" w:type="pct"/>
                  <w:tcBorders>
                    <w:tl2br w:val="nil"/>
                    <w:tr2bl w:val="nil"/>
                  </w:tcBorders>
                  <w:noWrap w:val="0"/>
                  <w:vAlign w:val="center"/>
                </w:tcPr>
                <w:p w14:paraId="3F02916C">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0.02</w:t>
                  </w:r>
                </w:p>
              </w:tc>
              <w:tc>
                <w:tcPr>
                  <w:tcW w:w="488" w:type="pct"/>
                  <w:vMerge w:val="continue"/>
                  <w:tcBorders>
                    <w:tl2br w:val="nil"/>
                    <w:tr2bl w:val="nil"/>
                  </w:tcBorders>
                  <w:noWrap w:val="0"/>
                  <w:vAlign w:val="center"/>
                </w:tcPr>
                <w:p w14:paraId="51F26003">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r>
            <w:tr w14:paraId="4B7A19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 w:type="pct"/>
                  <w:vMerge w:val="continue"/>
                  <w:tcBorders>
                    <w:tl2br w:val="nil"/>
                    <w:tr2bl w:val="nil"/>
                  </w:tcBorders>
                  <w:noWrap w:val="0"/>
                  <w:vAlign w:val="center"/>
                </w:tcPr>
                <w:p w14:paraId="63F9D97C">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491" w:type="pct"/>
                  <w:tcBorders>
                    <w:tl2br w:val="nil"/>
                    <w:tr2bl w:val="nil"/>
                  </w:tcBorders>
                  <w:noWrap w:val="0"/>
                  <w:vAlign w:val="center"/>
                </w:tcPr>
                <w:p w14:paraId="6FBE9EBE">
                  <w:pPr>
                    <w:pStyle w:val="26"/>
                    <w:bidi w:val="0"/>
                    <w:jc w:val="center"/>
                    <w:rPr>
                      <w:rFonts w:hint="default"/>
                      <w:b w:val="0"/>
                      <w:bCs w:val="0"/>
                      <w:color w:val="000000" w:themeColor="text1"/>
                      <w:highlight w:val="none"/>
                      <w:lang w:val="en-US" w:eastAsia="zh-CN" w:bidi="ar-SA"/>
                      <w14:textFill>
                        <w14:solidFill>
                          <w14:schemeClr w14:val="tx1"/>
                        </w14:solidFill>
                      </w14:textFill>
                    </w:rPr>
                  </w:pPr>
                  <w:r>
                    <w:rPr>
                      <w:rFonts w:hint="eastAsia"/>
                      <w:b w:val="0"/>
                      <w:bCs w:val="0"/>
                      <w:color w:val="000000" w:themeColor="text1"/>
                      <w:highlight w:val="none"/>
                      <w:lang w:val="en-US" w:eastAsia="zh-CN" w:bidi="ar-SA"/>
                      <w14:textFill>
                        <w14:solidFill>
                          <w14:schemeClr w14:val="tx1"/>
                        </w14:solidFill>
                      </w14:textFill>
                    </w:rPr>
                    <w:t>废催化剂</w:t>
                  </w:r>
                </w:p>
              </w:tc>
              <w:tc>
                <w:tcPr>
                  <w:tcW w:w="770" w:type="pct"/>
                  <w:tcBorders>
                    <w:tl2br w:val="nil"/>
                    <w:tr2bl w:val="nil"/>
                  </w:tcBorders>
                  <w:noWrap w:val="0"/>
                  <w:vAlign w:val="center"/>
                </w:tcPr>
                <w:p w14:paraId="7E9F7435">
                  <w:pPr>
                    <w:pStyle w:val="26"/>
                    <w:bidi w:val="0"/>
                    <w:jc w:val="center"/>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HW49 900-041-49</w:t>
                  </w:r>
                </w:p>
              </w:tc>
              <w:tc>
                <w:tcPr>
                  <w:tcW w:w="434" w:type="pct"/>
                  <w:tcBorders>
                    <w:tl2br w:val="nil"/>
                    <w:tr2bl w:val="nil"/>
                  </w:tcBorders>
                  <w:noWrap w:val="0"/>
                  <w:vAlign w:val="center"/>
                </w:tcPr>
                <w:p w14:paraId="57D081B0">
                  <w:pPr>
                    <w:pStyle w:val="26"/>
                    <w:bidi w:val="0"/>
                    <w:jc w:val="center"/>
                    <w:rPr>
                      <w:rFonts w:hint="eastAsia"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废气处理</w:t>
                  </w:r>
                </w:p>
              </w:tc>
              <w:tc>
                <w:tcPr>
                  <w:tcW w:w="258" w:type="pct"/>
                  <w:tcBorders>
                    <w:tl2br w:val="nil"/>
                    <w:tr2bl w:val="nil"/>
                  </w:tcBorders>
                  <w:noWrap w:val="0"/>
                  <w:vAlign w:val="center"/>
                </w:tcPr>
                <w:p w14:paraId="0E4A9BCB">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cs="Times New Roman"/>
                      <w:color w:val="000000" w:themeColor="text1"/>
                      <w:highlight w:val="none"/>
                      <w:lang w:val="en-US" w:eastAsia="zh-CN" w:bidi="ar-SA"/>
                      <w14:textFill>
                        <w14:solidFill>
                          <w14:schemeClr w14:val="tx1"/>
                        </w14:solidFill>
                      </w14:textFill>
                    </w:rPr>
                    <w:t>固态</w:t>
                  </w:r>
                </w:p>
              </w:tc>
              <w:tc>
                <w:tcPr>
                  <w:tcW w:w="313" w:type="pct"/>
                  <w:tcBorders>
                    <w:tl2br w:val="nil"/>
                    <w:tr2bl w:val="nil"/>
                  </w:tcBorders>
                  <w:noWrap w:val="0"/>
                  <w:vAlign w:val="center"/>
                </w:tcPr>
                <w:p w14:paraId="7FC9A1BD">
                  <w:pPr>
                    <w:pStyle w:val="26"/>
                    <w:bidi w:val="0"/>
                    <w:jc w:val="center"/>
                    <w:rPr>
                      <w:rFonts w:hint="default" w:cs="Times New Roman"/>
                      <w:color w:val="000000" w:themeColor="text1"/>
                      <w:highlight w:val="none"/>
                      <w:lang w:val="en-US" w:eastAsia="zh-CN" w:bidi="ar-SA"/>
                      <w14:textFill>
                        <w14:solidFill>
                          <w14:schemeClr w14:val="tx1"/>
                        </w14:solidFill>
                      </w14:textFill>
                    </w:rPr>
                  </w:pPr>
                  <w:r>
                    <w:rPr>
                      <w:rFonts w:hint="eastAsia" w:cs="Times New Roman"/>
                      <w:color w:val="000000" w:themeColor="text1"/>
                      <w:highlight w:val="none"/>
                      <w:lang w:val="en-US" w:eastAsia="zh-CN" w:bidi="ar-SA"/>
                      <w14:textFill>
                        <w14:solidFill>
                          <w14:schemeClr w14:val="tx1"/>
                        </w14:solidFill>
                      </w14:textFill>
                    </w:rPr>
                    <w:t>T</w:t>
                  </w:r>
                </w:p>
              </w:tc>
              <w:tc>
                <w:tcPr>
                  <w:tcW w:w="871" w:type="pct"/>
                  <w:tcBorders>
                    <w:tl2br w:val="nil"/>
                    <w:tr2bl w:val="nil"/>
                  </w:tcBorders>
                  <w:noWrap w:val="0"/>
                  <w:vAlign w:val="center"/>
                </w:tcPr>
                <w:p w14:paraId="5C4FB723">
                  <w:pPr>
                    <w:pStyle w:val="26"/>
                    <w:bidi w:val="0"/>
                    <w:jc w:val="center"/>
                    <w:rPr>
                      <w:rFonts w:hint="eastAsia" w:cs="Times New Roman"/>
                      <w:color w:val="000000" w:themeColor="text1"/>
                      <w:highlight w:val="none"/>
                      <w:lang w:val="en-US" w:eastAsia="zh-CN" w:bidi="ar-SA"/>
                      <w14:textFill>
                        <w14:solidFill>
                          <w14:schemeClr w14:val="tx1"/>
                        </w14:solidFill>
                      </w14:textFill>
                    </w:rPr>
                  </w:pPr>
                  <w:r>
                    <w:rPr>
                      <w:rFonts w:hint="eastAsia"/>
                      <w:color w:val="000000" w:themeColor="text1"/>
                      <w:lang w:val="en-US" w:eastAsia="zh-CN" w:bidi="ar-SA"/>
                      <w14:textFill>
                        <w14:solidFill>
                          <w14:schemeClr w14:val="tx1"/>
                        </w14:solidFill>
                      </w14:textFill>
                    </w:rPr>
                    <w:t>铂、钯等贵金属化合物</w:t>
                  </w:r>
                </w:p>
              </w:tc>
              <w:tc>
                <w:tcPr>
                  <w:tcW w:w="299" w:type="pct"/>
                  <w:tcBorders>
                    <w:tl2br w:val="nil"/>
                    <w:tr2bl w:val="nil"/>
                  </w:tcBorders>
                  <w:noWrap w:val="0"/>
                  <w:vAlign w:val="center"/>
                </w:tcPr>
                <w:p w14:paraId="500B3E10">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w:t>
                  </w:r>
                </w:p>
              </w:tc>
              <w:tc>
                <w:tcPr>
                  <w:tcW w:w="368" w:type="pct"/>
                  <w:tcBorders>
                    <w:tl2br w:val="nil"/>
                    <w:tr2bl w:val="nil"/>
                  </w:tcBorders>
                  <w:noWrap w:val="0"/>
                  <w:vAlign w:val="center"/>
                </w:tcPr>
                <w:p w14:paraId="66B8C8A0">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0.01 t/次</w:t>
                  </w:r>
                </w:p>
              </w:tc>
              <w:tc>
                <w:tcPr>
                  <w:tcW w:w="395" w:type="pct"/>
                  <w:tcBorders>
                    <w:tl2br w:val="nil"/>
                    <w:tr2bl w:val="nil"/>
                  </w:tcBorders>
                  <w:noWrap w:val="0"/>
                  <w:vAlign w:val="center"/>
                </w:tcPr>
                <w:p w14:paraId="3CD338CD">
                  <w:pPr>
                    <w:pStyle w:val="26"/>
                    <w:bidi w:val="0"/>
                    <w:jc w:val="center"/>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0.01 t/次</w:t>
                  </w:r>
                </w:p>
              </w:tc>
              <w:tc>
                <w:tcPr>
                  <w:tcW w:w="488" w:type="pct"/>
                  <w:vMerge w:val="continue"/>
                  <w:tcBorders>
                    <w:tl2br w:val="nil"/>
                    <w:tr2bl w:val="nil"/>
                  </w:tcBorders>
                  <w:noWrap w:val="0"/>
                  <w:vAlign w:val="center"/>
                </w:tcPr>
                <w:p w14:paraId="6FD6C1B9">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r>
            <w:tr w14:paraId="703BBB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 w:type="pct"/>
                  <w:vMerge w:val="continue"/>
                  <w:tcBorders>
                    <w:tl2br w:val="nil"/>
                    <w:tr2bl w:val="nil"/>
                  </w:tcBorders>
                  <w:noWrap w:val="0"/>
                  <w:vAlign w:val="center"/>
                </w:tcPr>
                <w:p w14:paraId="12EF7903">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491" w:type="pct"/>
                  <w:tcBorders>
                    <w:tl2br w:val="nil"/>
                    <w:tr2bl w:val="nil"/>
                  </w:tcBorders>
                  <w:noWrap w:val="0"/>
                  <w:vAlign w:val="center"/>
                </w:tcPr>
                <w:p w14:paraId="703F6A31">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废机油</w:t>
                  </w:r>
                </w:p>
              </w:tc>
              <w:tc>
                <w:tcPr>
                  <w:tcW w:w="770" w:type="pct"/>
                  <w:tcBorders>
                    <w:tl2br w:val="nil"/>
                    <w:tr2bl w:val="nil"/>
                  </w:tcBorders>
                  <w:noWrap w:val="0"/>
                  <w:vAlign w:val="center"/>
                </w:tcPr>
                <w:p w14:paraId="44FA9204">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HW08 900-214-08</w:t>
                  </w:r>
                </w:p>
              </w:tc>
              <w:tc>
                <w:tcPr>
                  <w:tcW w:w="434" w:type="pct"/>
                  <w:vMerge w:val="restart"/>
                  <w:tcBorders>
                    <w:tl2br w:val="nil"/>
                    <w:tr2bl w:val="nil"/>
                  </w:tcBorders>
                  <w:noWrap w:val="0"/>
                  <w:vAlign w:val="center"/>
                </w:tcPr>
                <w:p w14:paraId="6297676B">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机械设备检修</w:t>
                  </w:r>
                </w:p>
              </w:tc>
              <w:tc>
                <w:tcPr>
                  <w:tcW w:w="258" w:type="pct"/>
                  <w:tcBorders>
                    <w:tl2br w:val="nil"/>
                    <w:tr2bl w:val="nil"/>
                  </w:tcBorders>
                  <w:noWrap w:val="0"/>
                  <w:vAlign w:val="center"/>
                </w:tcPr>
                <w:p w14:paraId="1424DA45">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液态</w:t>
                  </w:r>
                </w:p>
              </w:tc>
              <w:tc>
                <w:tcPr>
                  <w:tcW w:w="313" w:type="pct"/>
                  <w:tcBorders>
                    <w:tl2br w:val="nil"/>
                    <w:tr2bl w:val="nil"/>
                  </w:tcBorders>
                  <w:noWrap w:val="0"/>
                  <w:vAlign w:val="center"/>
                </w:tcPr>
                <w:p w14:paraId="6876F4DD">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T，I</w:t>
                  </w:r>
                </w:p>
              </w:tc>
              <w:tc>
                <w:tcPr>
                  <w:tcW w:w="871" w:type="pct"/>
                  <w:tcBorders>
                    <w:tl2br w:val="nil"/>
                    <w:tr2bl w:val="nil"/>
                  </w:tcBorders>
                  <w:noWrap w:val="0"/>
                  <w:vAlign w:val="center"/>
                </w:tcPr>
                <w:p w14:paraId="169BFF01">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废矿物油</w:t>
                  </w:r>
                </w:p>
              </w:tc>
              <w:tc>
                <w:tcPr>
                  <w:tcW w:w="299" w:type="pct"/>
                  <w:tcBorders>
                    <w:tl2br w:val="nil"/>
                    <w:tr2bl w:val="nil"/>
                  </w:tcBorders>
                  <w:noWrap w:val="0"/>
                  <w:vAlign w:val="center"/>
                </w:tcPr>
                <w:p w14:paraId="58C5951A">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0.90</w:t>
                  </w:r>
                </w:p>
              </w:tc>
              <w:tc>
                <w:tcPr>
                  <w:tcW w:w="368" w:type="pct"/>
                  <w:tcBorders>
                    <w:tl2br w:val="nil"/>
                    <w:tr2bl w:val="nil"/>
                  </w:tcBorders>
                  <w:noWrap w:val="0"/>
                  <w:vAlign w:val="center"/>
                </w:tcPr>
                <w:p w14:paraId="0F0D2A59">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2.70</w:t>
                  </w:r>
                </w:p>
              </w:tc>
              <w:tc>
                <w:tcPr>
                  <w:tcW w:w="395" w:type="pct"/>
                  <w:tcBorders>
                    <w:tl2br w:val="nil"/>
                    <w:tr2bl w:val="nil"/>
                  </w:tcBorders>
                  <w:noWrap w:val="0"/>
                  <w:vAlign w:val="center"/>
                </w:tcPr>
                <w:p w14:paraId="5543CB1F">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3.60</w:t>
                  </w:r>
                </w:p>
              </w:tc>
              <w:tc>
                <w:tcPr>
                  <w:tcW w:w="488" w:type="pct"/>
                  <w:vMerge w:val="continue"/>
                  <w:tcBorders>
                    <w:tl2br w:val="nil"/>
                    <w:tr2bl w:val="nil"/>
                  </w:tcBorders>
                  <w:noWrap w:val="0"/>
                  <w:vAlign w:val="center"/>
                </w:tcPr>
                <w:p w14:paraId="6D62746B">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r>
            <w:tr w14:paraId="5A02E6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 w:type="pct"/>
                  <w:vMerge w:val="continue"/>
                  <w:tcBorders>
                    <w:tl2br w:val="nil"/>
                    <w:tr2bl w:val="nil"/>
                  </w:tcBorders>
                  <w:noWrap w:val="0"/>
                  <w:vAlign w:val="center"/>
                </w:tcPr>
                <w:p w14:paraId="24A5E680">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491" w:type="pct"/>
                  <w:tcBorders>
                    <w:tl2br w:val="nil"/>
                    <w:tr2bl w:val="nil"/>
                  </w:tcBorders>
                  <w:noWrap w:val="0"/>
                  <w:vAlign w:val="center"/>
                </w:tcPr>
                <w:p w14:paraId="727DE8CC">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废含油抹布、手套</w:t>
                  </w:r>
                </w:p>
              </w:tc>
              <w:tc>
                <w:tcPr>
                  <w:tcW w:w="770" w:type="pct"/>
                  <w:tcBorders>
                    <w:tl2br w:val="nil"/>
                    <w:tr2bl w:val="nil"/>
                  </w:tcBorders>
                  <w:noWrap w:val="0"/>
                  <w:vAlign w:val="center"/>
                </w:tcPr>
                <w:p w14:paraId="0DE08991">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HW49 900-041-49</w:t>
                  </w:r>
                </w:p>
              </w:tc>
              <w:tc>
                <w:tcPr>
                  <w:tcW w:w="434" w:type="pct"/>
                  <w:vMerge w:val="continue"/>
                  <w:tcBorders>
                    <w:tl2br w:val="nil"/>
                    <w:tr2bl w:val="nil"/>
                  </w:tcBorders>
                  <w:noWrap w:val="0"/>
                  <w:vAlign w:val="center"/>
                </w:tcPr>
                <w:p w14:paraId="5EAE596B">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c>
                <w:tcPr>
                  <w:tcW w:w="258" w:type="pct"/>
                  <w:tcBorders>
                    <w:tl2br w:val="nil"/>
                    <w:tr2bl w:val="nil"/>
                  </w:tcBorders>
                  <w:noWrap w:val="0"/>
                  <w:vAlign w:val="center"/>
                </w:tcPr>
                <w:p w14:paraId="2E4A0975">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固态</w:t>
                  </w:r>
                </w:p>
              </w:tc>
              <w:tc>
                <w:tcPr>
                  <w:tcW w:w="313" w:type="pct"/>
                  <w:tcBorders>
                    <w:tl2br w:val="nil"/>
                    <w:tr2bl w:val="nil"/>
                  </w:tcBorders>
                  <w:noWrap w:val="0"/>
                  <w:vAlign w:val="center"/>
                </w:tcPr>
                <w:p w14:paraId="1E00AEC1">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T</w:t>
                  </w:r>
                </w:p>
              </w:tc>
              <w:tc>
                <w:tcPr>
                  <w:tcW w:w="871" w:type="pct"/>
                  <w:tcBorders>
                    <w:tl2br w:val="nil"/>
                    <w:tr2bl w:val="nil"/>
                  </w:tcBorders>
                  <w:noWrap w:val="0"/>
                  <w:vAlign w:val="center"/>
                </w:tcPr>
                <w:p w14:paraId="48222869">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沾染废矿油</w:t>
                  </w:r>
                </w:p>
              </w:tc>
              <w:tc>
                <w:tcPr>
                  <w:tcW w:w="299" w:type="pct"/>
                  <w:tcBorders>
                    <w:tl2br w:val="nil"/>
                    <w:tr2bl w:val="nil"/>
                  </w:tcBorders>
                  <w:noWrap w:val="0"/>
                  <w:vAlign w:val="center"/>
                </w:tcPr>
                <w:p w14:paraId="41555607">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0.005</w:t>
                  </w:r>
                </w:p>
              </w:tc>
              <w:tc>
                <w:tcPr>
                  <w:tcW w:w="368" w:type="pct"/>
                  <w:tcBorders>
                    <w:tl2br w:val="nil"/>
                    <w:tr2bl w:val="nil"/>
                  </w:tcBorders>
                  <w:noWrap w:val="0"/>
                  <w:vAlign w:val="center"/>
                </w:tcPr>
                <w:p w14:paraId="09DA9C9C">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0.010</w:t>
                  </w:r>
                </w:p>
              </w:tc>
              <w:tc>
                <w:tcPr>
                  <w:tcW w:w="395" w:type="pct"/>
                  <w:tcBorders>
                    <w:tl2br w:val="nil"/>
                    <w:tr2bl w:val="nil"/>
                  </w:tcBorders>
                  <w:noWrap w:val="0"/>
                  <w:vAlign w:val="center"/>
                </w:tcPr>
                <w:p w14:paraId="67B45CAE">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0.015</w:t>
                  </w:r>
                </w:p>
              </w:tc>
              <w:tc>
                <w:tcPr>
                  <w:tcW w:w="488" w:type="pct"/>
                  <w:vMerge w:val="continue"/>
                  <w:tcBorders>
                    <w:tl2br w:val="nil"/>
                    <w:tr2bl w:val="nil"/>
                  </w:tcBorders>
                  <w:noWrap w:val="0"/>
                  <w:vAlign w:val="center"/>
                </w:tcPr>
                <w:p w14:paraId="14E625A4">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p>
              </w:tc>
            </w:tr>
            <w:tr w14:paraId="105032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1" w:type="pct"/>
                  <w:gridSpan w:val="2"/>
                  <w:tcBorders>
                    <w:tl2br w:val="nil"/>
                    <w:tr2bl w:val="nil"/>
                  </w:tcBorders>
                  <w:noWrap w:val="0"/>
                  <w:vAlign w:val="center"/>
                </w:tcPr>
                <w:p w14:paraId="5675E1FD">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生活垃圾</w:t>
                  </w:r>
                </w:p>
              </w:tc>
              <w:tc>
                <w:tcPr>
                  <w:tcW w:w="770" w:type="pct"/>
                  <w:tcBorders>
                    <w:tl2br w:val="nil"/>
                    <w:tr2bl w:val="nil"/>
                  </w:tcBorders>
                  <w:noWrap w:val="0"/>
                  <w:vAlign w:val="center"/>
                </w:tcPr>
                <w:p w14:paraId="680F7FFA">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w:t>
                  </w:r>
                </w:p>
              </w:tc>
              <w:tc>
                <w:tcPr>
                  <w:tcW w:w="434" w:type="pct"/>
                  <w:tcBorders>
                    <w:tl2br w:val="nil"/>
                    <w:tr2bl w:val="nil"/>
                  </w:tcBorders>
                  <w:noWrap w:val="0"/>
                  <w:vAlign w:val="center"/>
                </w:tcPr>
                <w:p w14:paraId="6EC65E9C">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职工日常生活</w:t>
                  </w:r>
                </w:p>
              </w:tc>
              <w:tc>
                <w:tcPr>
                  <w:tcW w:w="258" w:type="pct"/>
                  <w:tcBorders>
                    <w:tl2br w:val="nil"/>
                    <w:tr2bl w:val="nil"/>
                  </w:tcBorders>
                  <w:noWrap w:val="0"/>
                  <w:vAlign w:val="center"/>
                </w:tcPr>
                <w:p w14:paraId="66B30797">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w:t>
                  </w:r>
                </w:p>
              </w:tc>
              <w:tc>
                <w:tcPr>
                  <w:tcW w:w="313" w:type="pct"/>
                  <w:tcBorders>
                    <w:tl2br w:val="nil"/>
                    <w:tr2bl w:val="nil"/>
                  </w:tcBorders>
                  <w:noWrap w:val="0"/>
                  <w:vAlign w:val="center"/>
                </w:tcPr>
                <w:p w14:paraId="585D4E87">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w:t>
                  </w:r>
                </w:p>
              </w:tc>
              <w:tc>
                <w:tcPr>
                  <w:tcW w:w="871" w:type="pct"/>
                  <w:tcBorders>
                    <w:tl2br w:val="nil"/>
                    <w:tr2bl w:val="nil"/>
                  </w:tcBorders>
                  <w:noWrap w:val="0"/>
                  <w:vAlign w:val="center"/>
                </w:tcPr>
                <w:p w14:paraId="48BDE991">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果皮、</w:t>
                  </w:r>
                  <w:r>
                    <w:rPr>
                      <w:rFonts w:hint="default" w:ascii="Times New Roman" w:hAnsi="Times New Roman" w:cs="Times New Roman"/>
                      <w:color w:val="000000" w:themeColor="text1"/>
                      <w:highlight w:val="none"/>
                      <w:lang w:val="en-US" w:eastAsia="zh-CN" w:bidi="ar-SA"/>
                      <w14:textFill>
                        <w14:solidFill>
                          <w14:schemeClr w14:val="tx1"/>
                        </w14:solidFill>
                      </w14:textFill>
                    </w:rPr>
                    <w:t>塑料包装袋</w:t>
                  </w:r>
                  <w:r>
                    <w:rPr>
                      <w:rFonts w:hint="eastAsia" w:ascii="Times New Roman" w:hAnsi="Times New Roman" w:cs="Times New Roman"/>
                      <w:color w:val="000000" w:themeColor="text1"/>
                      <w:highlight w:val="none"/>
                      <w:lang w:val="en-US" w:eastAsia="zh-CN" w:bidi="ar-SA"/>
                      <w14:textFill>
                        <w14:solidFill>
                          <w14:schemeClr w14:val="tx1"/>
                        </w14:solidFill>
                      </w14:textFill>
                    </w:rPr>
                    <w:t>等</w:t>
                  </w:r>
                </w:p>
              </w:tc>
              <w:tc>
                <w:tcPr>
                  <w:tcW w:w="299" w:type="pct"/>
                  <w:tcBorders>
                    <w:tl2br w:val="nil"/>
                    <w:tr2bl w:val="nil"/>
                  </w:tcBorders>
                  <w:noWrap w:val="0"/>
                  <w:vAlign w:val="center"/>
                </w:tcPr>
                <w:p w14:paraId="1907E849">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1.20</w:t>
                  </w:r>
                </w:p>
              </w:tc>
              <w:tc>
                <w:tcPr>
                  <w:tcW w:w="368" w:type="pct"/>
                  <w:tcBorders>
                    <w:tl2br w:val="nil"/>
                    <w:tr2bl w:val="nil"/>
                  </w:tcBorders>
                  <w:noWrap w:val="0"/>
                  <w:vAlign w:val="center"/>
                </w:tcPr>
                <w:p w14:paraId="12EA8D8D">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2.25</w:t>
                  </w:r>
                </w:p>
              </w:tc>
              <w:tc>
                <w:tcPr>
                  <w:tcW w:w="395" w:type="pct"/>
                  <w:tcBorders>
                    <w:tl2br w:val="nil"/>
                    <w:tr2bl w:val="nil"/>
                  </w:tcBorders>
                  <w:noWrap w:val="0"/>
                  <w:vAlign w:val="center"/>
                </w:tcPr>
                <w:p w14:paraId="4BD8DEF8">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3.45</w:t>
                  </w:r>
                </w:p>
              </w:tc>
              <w:tc>
                <w:tcPr>
                  <w:tcW w:w="488" w:type="pct"/>
                  <w:tcBorders>
                    <w:tl2br w:val="nil"/>
                    <w:tr2bl w:val="nil"/>
                  </w:tcBorders>
                  <w:noWrap w:val="0"/>
                  <w:vAlign w:val="center"/>
                </w:tcPr>
                <w:p w14:paraId="5E689768">
                  <w:pPr>
                    <w:pStyle w:val="26"/>
                    <w:bidi w:val="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委托环卫部门清运处置</w:t>
                  </w:r>
                </w:p>
              </w:tc>
            </w:tr>
            <w:tr w14:paraId="4B8D06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11"/>
                  <w:tcBorders>
                    <w:tl2br w:val="nil"/>
                    <w:tr2bl w:val="nil"/>
                  </w:tcBorders>
                  <w:noWrap w:val="0"/>
                  <w:vAlign w:val="center"/>
                </w:tcPr>
                <w:p w14:paraId="777CFC36">
                  <w:pPr>
                    <w:pStyle w:val="26"/>
                    <w:bidi w:val="0"/>
                    <w:jc w:val="both"/>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注：废活性炭仅有一期工程有产生，二期工程建成后，全厂废气采用“布袋除尘+RCO催化燃烧”工艺处理，无活性炭产生。</w:t>
                  </w:r>
                </w:p>
              </w:tc>
            </w:tr>
          </w:tbl>
          <w:p w14:paraId="000C3F1A">
            <w:pPr>
              <w:ind w:left="0" w:leftChars="0" w:firstLine="0" w:firstLineChars="0"/>
              <w:rPr>
                <w:rFonts w:hint="default" w:ascii="Times New Roman" w:hAnsi="Times New Roman" w:cs="Times New Roman"/>
                <w:color w:val="000000" w:themeColor="text1"/>
                <w:highlight w:val="none"/>
                <w:lang w:eastAsia="zh-CN"/>
                <w14:textFill>
                  <w14:solidFill>
                    <w14:schemeClr w14:val="tx1"/>
                  </w14:solidFill>
                </w14:textFill>
              </w:rPr>
            </w:pPr>
          </w:p>
        </w:tc>
      </w:tr>
    </w:tbl>
    <w:p w14:paraId="165B1093">
      <w:pPr>
        <w:bidi w:val="0"/>
        <w:rPr>
          <w:rFonts w:hint="default" w:ascii="Times New Roman" w:hAnsi="Times New Roman" w:cs="Times New Roman"/>
          <w:color w:val="000000" w:themeColor="text1"/>
          <w:highlight w:val="none"/>
          <w:lang w:eastAsia="zh-CN"/>
          <w14:textFill>
            <w14:solidFill>
              <w14:schemeClr w14:val="tx1"/>
            </w14:solidFill>
          </w14:textFill>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8"/>
        <w:gridCol w:w="8690"/>
      </w:tblGrid>
      <w:tr w14:paraId="2DFC7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6" w:hRule="atLeast"/>
        </w:trPr>
        <w:tc>
          <w:tcPr>
            <w:tcW w:w="598" w:type="dxa"/>
            <w:noWrap w:val="0"/>
            <w:vAlign w:val="top"/>
          </w:tcPr>
          <w:p w14:paraId="1BFA120D">
            <w:pPr>
              <w:bidi w:val="0"/>
              <w:rPr>
                <w:rFonts w:hint="default" w:ascii="Times New Roman" w:hAnsi="Times New Roman" w:cs="Times New Roman"/>
                <w:color w:val="000000" w:themeColor="text1"/>
                <w:highlight w:val="none"/>
                <w:vertAlign w:val="baseline"/>
                <w:lang w:eastAsia="zh-CN"/>
                <w14:textFill>
                  <w14:solidFill>
                    <w14:schemeClr w14:val="tx1"/>
                  </w14:solidFill>
                </w14:textFill>
              </w:rPr>
            </w:pPr>
          </w:p>
        </w:tc>
        <w:tc>
          <w:tcPr>
            <w:tcW w:w="8690" w:type="dxa"/>
            <w:noWrap w:val="0"/>
            <w:vAlign w:val="top"/>
          </w:tcPr>
          <w:p w14:paraId="016E15F3">
            <w:pPr>
              <w:pStyle w:val="3"/>
              <w:numPr>
                <w:ilvl w:val="2"/>
                <w:numId w:val="4"/>
              </w:numPr>
              <w:bidi w:val="0"/>
              <w:rPr>
                <w:rFonts w:hint="default" w:ascii="Times New Roman" w:hAnsi="Times New Roman" w:cs="Times New Roman"/>
                <w:color w:val="000000" w:themeColor="text1"/>
                <w:highlight w:val="none"/>
                <w:lang w:eastAsia="zh-CN"/>
                <w14:textFill>
                  <w14:solidFill>
                    <w14:schemeClr w14:val="tx1"/>
                  </w14:solidFill>
                </w14:textFill>
              </w:rPr>
            </w:pPr>
            <w:bookmarkStart w:id="233" w:name="_Toc23144"/>
            <w:bookmarkStart w:id="234" w:name="_Toc28535"/>
            <w:bookmarkStart w:id="235" w:name="_Toc14179"/>
            <w:r>
              <w:rPr>
                <w:rFonts w:hint="default" w:ascii="Times New Roman" w:hAnsi="Times New Roman" w:cs="Times New Roman"/>
                <w:color w:val="000000" w:themeColor="text1"/>
                <w:highlight w:val="none"/>
                <w:lang w:val="en-US" w:eastAsia="zh-CN"/>
                <w14:textFill>
                  <w14:solidFill>
                    <w14:schemeClr w14:val="tx1"/>
                  </w14:solidFill>
                </w14:textFill>
              </w:rPr>
              <w:t>一般工业固体废物的贮存和管理</w:t>
            </w:r>
            <w:bookmarkEnd w:id="233"/>
            <w:bookmarkEnd w:id="234"/>
            <w:bookmarkEnd w:id="235"/>
          </w:p>
          <w:p w14:paraId="4F43A48F">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本项目拟于3#车间南侧设置1间一般工业固体废物贮存间，占地面积为40 m</w:t>
            </w:r>
            <w:r>
              <w:rPr>
                <w:rFonts w:hint="eastAsia" w:cs="Times New Roman"/>
                <w:color w:val="000000" w:themeColor="text1"/>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。根据《一般工业固体废物贮存和填埋污染控制标准》（GB18599-2020），一般工业固体废物的贮存和管理应做到：</w:t>
            </w:r>
          </w:p>
          <w:p w14:paraId="3B894EB0">
            <w:pPr>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（1）一般工业固体废物应按Ⅰ类和Ⅱ类废物分别储存，建立分类收集</w:t>
            </w:r>
            <w:r>
              <w:rPr>
                <w:rFonts w:hint="eastAsia" w:cs="Times New Roman"/>
                <w:color w:val="000000" w:themeColor="text1"/>
                <w:highlight w:val="none"/>
                <w:lang w:val="en-US" w:eastAsia="zh-CN"/>
                <w14:textFill>
                  <w14:solidFill>
                    <w14:schemeClr w14:val="tx1"/>
                  </w14:solidFill>
                </w14:textFill>
              </w:rPr>
              <w:t>区</w:t>
            </w:r>
            <w:r>
              <w:rPr>
                <w:rFonts w:hint="default" w:ascii="Times New Roman" w:hAnsi="Times New Roman" w:cs="Times New Roman"/>
                <w:color w:val="000000" w:themeColor="text1"/>
                <w:highlight w:val="none"/>
                <w:lang w:val="en-US" w:eastAsia="zh-CN"/>
                <w14:textFill>
                  <w14:solidFill>
                    <w14:schemeClr w14:val="tx1"/>
                  </w14:solidFill>
                </w14:textFill>
              </w:rPr>
              <w:t>。不允许将危险废物和生活垃圾混入。</w:t>
            </w:r>
          </w:p>
          <w:p w14:paraId="463390D0">
            <w:pPr>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（2）尽量将可利用的一般工业固体废物回收、利用。</w:t>
            </w:r>
          </w:p>
          <w:p w14:paraId="2D052FEC">
            <w:pPr>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（3）临时储存地点必须建有雨棚，不允许露天堆放，以防止雨水冲刷，雨水应通过场地四周导流渠流向雨水排放管；临时堆放场地为水泥铺设地面，以防渗漏。</w:t>
            </w:r>
          </w:p>
          <w:p w14:paraId="093F6BB8">
            <w:pPr>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（4）为加强管理监督，贮存、处置场所地应按《环境保护图形标志 固体废物贮存（处置）场》（GB15562.2-1995）及其修改单设置环境保护图形标志。</w:t>
            </w:r>
          </w:p>
          <w:p w14:paraId="3064D533">
            <w:pPr>
              <w:pStyle w:val="3"/>
              <w:numPr>
                <w:ilvl w:val="2"/>
                <w:numId w:val="4"/>
              </w:numPr>
              <w:bidi w:val="0"/>
              <w:rPr>
                <w:rFonts w:hint="default" w:ascii="Times New Roman" w:hAnsi="Times New Roman" w:cs="Times New Roman"/>
                <w:color w:val="000000" w:themeColor="text1"/>
                <w:highlight w:val="none"/>
                <w:lang w:val="en-US" w:eastAsia="zh-CN"/>
                <w14:textFill>
                  <w14:solidFill>
                    <w14:schemeClr w14:val="tx1"/>
                  </w14:solidFill>
                </w14:textFill>
              </w:rPr>
            </w:pPr>
            <w:bookmarkStart w:id="236" w:name="_Toc31090"/>
            <w:bookmarkStart w:id="237" w:name="_Toc11134"/>
            <w:bookmarkStart w:id="238" w:name="_Toc17370"/>
            <w:r>
              <w:rPr>
                <w:rFonts w:hint="default" w:ascii="Times New Roman" w:hAnsi="Times New Roman" w:cs="Times New Roman"/>
                <w:color w:val="000000" w:themeColor="text1"/>
                <w:highlight w:val="none"/>
                <w:lang w:val="en-US" w:eastAsia="zh-CN"/>
                <w14:textFill>
                  <w14:solidFill>
                    <w14:schemeClr w14:val="tx1"/>
                  </w14:solidFill>
                </w14:textFill>
              </w:rPr>
              <w:t>危险废物的贮存和管理</w:t>
            </w:r>
            <w:bookmarkEnd w:id="236"/>
            <w:bookmarkEnd w:id="237"/>
            <w:bookmarkEnd w:id="238"/>
          </w:p>
          <w:p w14:paraId="503742CD">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本项目拟于</w:t>
            </w:r>
            <w:r>
              <w:rPr>
                <w:rFonts w:hint="eastAsia" w:cs="Times New Roman"/>
                <w:color w:val="000000" w:themeColor="text1"/>
                <w:highlight w:val="none"/>
                <w:lang w:val="en-US" w:eastAsia="zh-CN"/>
                <w14:textFill>
                  <w14:solidFill>
                    <w14:schemeClr w14:val="tx1"/>
                  </w14:solidFill>
                </w14:textFill>
              </w:rPr>
              <w:t>3#车间</w:t>
            </w:r>
            <w:r>
              <w:rPr>
                <w:rFonts w:hint="default" w:cs="Times New Roman"/>
                <w:color w:val="000000" w:themeColor="text1"/>
                <w:highlight w:val="none"/>
                <w:lang w:val="en-US" w:eastAsia="zh-CN"/>
                <w14:textFill>
                  <w14:solidFill>
                    <w14:schemeClr w14:val="tx1"/>
                  </w14:solidFill>
                </w14:textFill>
              </w:rPr>
              <w:t>南侧设置1</w:t>
            </w:r>
            <w:r>
              <w:rPr>
                <w:rFonts w:hint="eastAsia" w:cs="Times New Roman"/>
                <w:color w:val="000000" w:themeColor="text1"/>
                <w:highlight w:val="none"/>
                <w:lang w:val="en-US" w:eastAsia="zh-CN"/>
                <w14:textFill>
                  <w14:solidFill>
                    <w14:schemeClr w14:val="tx1"/>
                  </w14:solidFill>
                </w14:textFill>
              </w:rPr>
              <w:t>间危险</w:t>
            </w:r>
            <w:r>
              <w:rPr>
                <w:rFonts w:hint="default" w:cs="Times New Roman"/>
                <w:color w:val="000000" w:themeColor="text1"/>
                <w:highlight w:val="none"/>
                <w:lang w:val="en-US" w:eastAsia="zh-CN"/>
                <w14:textFill>
                  <w14:solidFill>
                    <w14:schemeClr w14:val="tx1"/>
                  </w14:solidFill>
                </w14:textFill>
              </w:rPr>
              <w:t>废物</w:t>
            </w:r>
            <w:r>
              <w:rPr>
                <w:rFonts w:hint="eastAsia" w:cs="Times New Roman"/>
                <w:color w:val="000000" w:themeColor="text1"/>
                <w:highlight w:val="none"/>
                <w:lang w:val="en-US" w:eastAsia="zh-CN"/>
                <w14:textFill>
                  <w14:solidFill>
                    <w14:schemeClr w14:val="tx1"/>
                  </w14:solidFill>
                </w14:textFill>
              </w:rPr>
              <w:t>贮存间</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，占地面积为30m</w:t>
            </w:r>
            <w:r>
              <w:rPr>
                <w:rFonts w:hint="eastAsia" w:ascii="Times New Roman" w:hAnsi="Times New Roman" w:eastAsia="宋体" w:cs="Times New Roman"/>
                <w:color w:val="000000" w:themeColor="text1"/>
                <w:kern w:val="0"/>
                <w:sz w:val="24"/>
                <w:szCs w:val="24"/>
                <w:highlight w:val="none"/>
                <w:vertAlign w:val="superscript"/>
                <w:lang w:val="en-US" w:eastAsia="zh-CN" w:bidi="ar"/>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。根据《危险废物贮存污染控制标准》（GB18597-2023），危险废物贮存间</w:t>
            </w:r>
            <w:r>
              <w:rPr>
                <w:rFonts w:hint="eastAsia" w:cs="Times New Roman"/>
                <w:color w:val="000000" w:themeColor="text1"/>
                <w:highlight w:val="none"/>
                <w:lang w:val="en-US" w:eastAsia="zh-CN"/>
                <w14:textFill>
                  <w14:solidFill>
                    <w14:schemeClr w14:val="tx1"/>
                  </w14:solidFill>
                </w14:textFill>
              </w:rPr>
              <w:t>贮存和管理应</w:t>
            </w:r>
            <w:r>
              <w:rPr>
                <w:rFonts w:hint="default" w:ascii="Times New Roman" w:hAnsi="Times New Roman" w:cs="Times New Roman"/>
                <w:color w:val="000000" w:themeColor="text1"/>
                <w:highlight w:val="none"/>
                <w:lang w:val="en-US" w:eastAsia="zh-CN"/>
                <w14:textFill>
                  <w14:solidFill>
                    <w14:schemeClr w14:val="tx1"/>
                  </w14:solidFill>
                </w14:textFill>
              </w:rPr>
              <w:t>满足下列要求：</w:t>
            </w:r>
          </w:p>
          <w:p w14:paraId="1CCFB796">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（1）一般规定</w:t>
            </w:r>
          </w:p>
          <w:p w14:paraId="790F1BB4">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①贮存设施应根据危险废物的形态、物理化学性质、包装形式和污染物迁移途径，采取必要的防风、防晒、防雨、防漏、防渗、防腐以及其他环境污染防治措施，不应露天堆放危险废物。</w:t>
            </w:r>
          </w:p>
          <w:p w14:paraId="7FE1F6A3">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②贮存设施应根据危险废物的类别、数量、形态、物理化学性质和污染防治等要求设置必要的贮存分区，避免不相容的危险废物接触、混合。</w:t>
            </w:r>
          </w:p>
          <w:p w14:paraId="16AAA295">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③贮存设施或贮存分区内地面、墙面裙脚、堵截泄漏的围堰、接触危险废物的隔板和墙体等应采用坚固的材料建造，表面无裂缝。</w:t>
            </w:r>
          </w:p>
          <w:p w14:paraId="054CD72B">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 m 厚黏土层（渗透系数不大于10</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-7</w:t>
            </w:r>
            <w:r>
              <w:rPr>
                <w:rFonts w:hint="default" w:ascii="Times New Roman" w:hAnsi="Times New Roman" w:cs="Times New Roman"/>
                <w:color w:val="000000" w:themeColor="text1"/>
                <w:highlight w:val="none"/>
                <w:lang w:val="en-US" w:eastAsia="zh-CN"/>
                <w14:textFill>
                  <w14:solidFill>
                    <w14:schemeClr w14:val="tx1"/>
                  </w14:solidFill>
                </w14:textFill>
              </w:rPr>
              <w:t xml:space="preserve"> cm/s），或至少2 mm厚高密度聚乙烯膜等人工防渗材料（渗透系数不大于10</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-10</w:t>
            </w:r>
            <w:r>
              <w:rPr>
                <w:rFonts w:hint="default" w:ascii="Times New Roman" w:hAnsi="Times New Roman" w:cs="Times New Roman"/>
                <w:color w:val="000000" w:themeColor="text1"/>
                <w:highlight w:val="none"/>
                <w:lang w:val="en-US" w:eastAsia="zh-CN"/>
                <w14:textFill>
                  <w14:solidFill>
                    <w14:schemeClr w14:val="tx1"/>
                  </w14:solidFill>
                </w14:textFill>
              </w:rPr>
              <w:t xml:space="preserve"> cm/s），或其他防渗性能等效的材料。</w:t>
            </w:r>
          </w:p>
          <w:p w14:paraId="66143648">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⑤同一贮存设施宜采用相同的防渗、防腐工艺（包括防渗、防腐结构或材料），防渗、防腐材料应覆盖所有可能与废物及其渗滤液、渗漏液等接触的构筑物表面；采用不同防渗、防腐工艺应分别建设贮存分区。</w:t>
            </w:r>
          </w:p>
          <w:p w14:paraId="7CFAB737">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⑥贮存设施应采取技术和管理措施防止无关人员进入。</w:t>
            </w:r>
          </w:p>
          <w:p w14:paraId="431F128C">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（2）贮存库要求</w:t>
            </w:r>
          </w:p>
          <w:p w14:paraId="475EE76E">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①贮存库内不同贮存分区之间应采取隔离措施。隔离措施可根据危险废物特性采用过道、隔板或隔墙等方式。</w:t>
            </w:r>
          </w:p>
          <w:p w14:paraId="7EA3242C">
            <w:pP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②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项目危险废物贮存间贮存的基本情况详见</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fldChar w:fldCharType="begin"/>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instrText xml:space="preserve"> REF _Ref32383 \n \h </w:instrTex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fldChar w:fldCharType="separate"/>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表4.4-1</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fldChar w:fldCharType="end"/>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w:t>
            </w:r>
          </w:p>
          <w:p w14:paraId="35DF7D98">
            <w:pPr>
              <w:pStyle w:val="30"/>
              <w:bidi w:val="0"/>
              <w:rPr>
                <w:rFonts w:hint="default"/>
                <w:color w:val="000000" w:themeColor="text1"/>
                <w:highlight w:val="none"/>
                <w:lang w:val="en-US" w:eastAsia="zh-CN"/>
                <w14:textFill>
                  <w14:solidFill>
                    <w14:schemeClr w14:val="tx1"/>
                  </w14:solidFill>
                </w14:textFill>
              </w:rPr>
            </w:pPr>
            <w:bookmarkStart w:id="239" w:name="_Ref24253"/>
            <w:r>
              <w:rPr>
                <w:rFonts w:hint="default" w:ascii="Times New Roman" w:hAnsi="Times New Roman" w:cs="Times New Roman"/>
                <w:color w:val="000000" w:themeColor="text1"/>
                <w:highlight w:val="none"/>
                <w:lang w:val="en-US" w:eastAsia="zh-CN"/>
                <w14:textFill>
                  <w14:solidFill>
                    <w14:schemeClr w14:val="tx1"/>
                  </w14:solidFill>
                </w14:textFill>
              </w:rPr>
              <w:t>项目危险废物贮存情况一览表</w:t>
            </w:r>
            <w:bookmarkEnd w:id="239"/>
          </w:p>
          <w:tbl>
            <w:tblPr>
              <w:tblStyle w:val="18"/>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3"/>
              <w:gridCol w:w="1380"/>
              <w:gridCol w:w="1005"/>
              <w:gridCol w:w="1441"/>
              <w:gridCol w:w="1095"/>
              <w:gridCol w:w="869"/>
              <w:gridCol w:w="922"/>
              <w:gridCol w:w="844"/>
            </w:tblGrid>
            <w:tr w14:paraId="31E6BD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tcBorders>
                    <w:tl2br w:val="nil"/>
                    <w:tr2bl w:val="nil"/>
                  </w:tcBorders>
                  <w:noWrap w:val="0"/>
                  <w:vAlign w:val="center"/>
                </w:tcPr>
                <w:p w14:paraId="29C848F8">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贮存场所名称</w:t>
                  </w:r>
                </w:p>
              </w:tc>
              <w:tc>
                <w:tcPr>
                  <w:tcW w:w="814" w:type="pct"/>
                  <w:tcBorders>
                    <w:tl2br w:val="nil"/>
                    <w:tr2bl w:val="nil"/>
                  </w:tcBorders>
                  <w:noWrap w:val="0"/>
                  <w:vAlign w:val="center"/>
                </w:tcPr>
                <w:p w14:paraId="21D22A98">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危险废物名称</w:t>
                  </w:r>
                </w:p>
              </w:tc>
              <w:tc>
                <w:tcPr>
                  <w:tcW w:w="593" w:type="pct"/>
                  <w:tcBorders>
                    <w:tl2br w:val="nil"/>
                    <w:tr2bl w:val="nil"/>
                  </w:tcBorders>
                  <w:noWrap w:val="0"/>
                  <w:vAlign w:val="center"/>
                </w:tcPr>
                <w:p w14:paraId="76EC18DC">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危险废物类别</w:t>
                  </w:r>
                </w:p>
              </w:tc>
              <w:tc>
                <w:tcPr>
                  <w:tcW w:w="850" w:type="pct"/>
                  <w:tcBorders>
                    <w:tl2br w:val="nil"/>
                    <w:tr2bl w:val="nil"/>
                  </w:tcBorders>
                  <w:noWrap w:val="0"/>
                  <w:vAlign w:val="center"/>
                </w:tcPr>
                <w:p w14:paraId="3168FD81">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危险废物代码</w:t>
                  </w:r>
                </w:p>
              </w:tc>
              <w:tc>
                <w:tcPr>
                  <w:tcW w:w="646" w:type="pct"/>
                  <w:tcBorders>
                    <w:tl2br w:val="nil"/>
                    <w:tr2bl w:val="nil"/>
                  </w:tcBorders>
                  <w:noWrap w:val="0"/>
                  <w:vAlign w:val="center"/>
                </w:tcPr>
                <w:p w14:paraId="6CBE4F07">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产生量（t/a）</w:t>
                  </w:r>
                </w:p>
              </w:tc>
              <w:tc>
                <w:tcPr>
                  <w:tcW w:w="513" w:type="pct"/>
                  <w:tcBorders>
                    <w:tl2br w:val="nil"/>
                    <w:tr2bl w:val="nil"/>
                  </w:tcBorders>
                  <w:noWrap w:val="0"/>
                  <w:vAlign w:val="center"/>
                </w:tcPr>
                <w:p w14:paraId="7306D8D9">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贮存方式</w:t>
                  </w:r>
                </w:p>
              </w:tc>
              <w:tc>
                <w:tcPr>
                  <w:tcW w:w="544" w:type="pct"/>
                  <w:tcBorders>
                    <w:tl2br w:val="nil"/>
                    <w:tr2bl w:val="nil"/>
                  </w:tcBorders>
                  <w:noWrap w:val="0"/>
                  <w:vAlign w:val="center"/>
                </w:tcPr>
                <w:p w14:paraId="2948221F">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最大贮存量（t）</w:t>
                  </w:r>
                </w:p>
              </w:tc>
              <w:tc>
                <w:tcPr>
                  <w:tcW w:w="498" w:type="pct"/>
                  <w:tcBorders>
                    <w:tl2br w:val="nil"/>
                    <w:tr2bl w:val="nil"/>
                  </w:tcBorders>
                  <w:noWrap w:val="0"/>
                  <w:vAlign w:val="center"/>
                </w:tcPr>
                <w:p w14:paraId="04BC3116">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贮存周期</w:t>
                  </w:r>
                </w:p>
              </w:tc>
            </w:tr>
            <w:tr w14:paraId="08901B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restart"/>
                  <w:tcBorders>
                    <w:tl2br w:val="nil"/>
                    <w:tr2bl w:val="nil"/>
                  </w:tcBorders>
                  <w:noWrap w:val="0"/>
                  <w:vAlign w:val="center"/>
                </w:tcPr>
                <w:p w14:paraId="6E43D01A">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危险废物贮存间</w:t>
                  </w:r>
                </w:p>
              </w:tc>
              <w:tc>
                <w:tcPr>
                  <w:tcW w:w="814" w:type="pct"/>
                  <w:tcBorders>
                    <w:tl2br w:val="nil"/>
                    <w:tr2bl w:val="nil"/>
                  </w:tcBorders>
                  <w:noWrap w:val="0"/>
                  <w:vAlign w:val="center"/>
                </w:tcPr>
                <w:p w14:paraId="517A61C1">
                  <w:pPr>
                    <w:pStyle w:val="26"/>
                    <w:bidi w:val="0"/>
                    <w:ind w:firstLine="0" w:firstLineChars="0"/>
                    <w:jc w:val="center"/>
                    <w:rPr>
                      <w:rFonts w:hint="default"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检验室废液</w:t>
                  </w:r>
                </w:p>
              </w:tc>
              <w:tc>
                <w:tcPr>
                  <w:tcW w:w="593" w:type="pct"/>
                  <w:tcBorders>
                    <w:tl2br w:val="nil"/>
                    <w:tr2bl w:val="nil"/>
                  </w:tcBorders>
                  <w:noWrap w:val="0"/>
                  <w:vAlign w:val="center"/>
                </w:tcPr>
                <w:p w14:paraId="553EA090">
                  <w:pPr>
                    <w:pStyle w:val="26"/>
                    <w:keepNext w:val="0"/>
                    <w:keepLines w:val="0"/>
                    <w:widowControl w:val="0"/>
                    <w:suppressLineNumbers w:val="0"/>
                    <w:bidi w:val="0"/>
                    <w:spacing w:before="0" w:beforeAutospacing="0" w:after="0" w:afterAutospacing="0"/>
                    <w:ind w:left="0" w:leftChars="0" w:right="0" w:rightChars="0" w:firstLine="0" w:firstLineChars="0"/>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HW49</w:t>
                  </w:r>
                </w:p>
              </w:tc>
              <w:tc>
                <w:tcPr>
                  <w:tcW w:w="850" w:type="pct"/>
                  <w:tcBorders>
                    <w:tl2br w:val="nil"/>
                    <w:tr2bl w:val="nil"/>
                  </w:tcBorders>
                  <w:noWrap w:val="0"/>
                  <w:vAlign w:val="center"/>
                </w:tcPr>
                <w:p w14:paraId="124C6973">
                  <w:pPr>
                    <w:pStyle w:val="26"/>
                    <w:keepNext w:val="0"/>
                    <w:keepLines w:val="0"/>
                    <w:widowControl w:val="0"/>
                    <w:suppressLineNumbers w:val="0"/>
                    <w:bidi w:val="0"/>
                    <w:spacing w:before="0" w:beforeAutospacing="0" w:after="0" w:afterAutospacing="0"/>
                    <w:ind w:left="0" w:leftChars="0" w:right="0" w:rightChars="0" w:firstLine="0" w:firstLineChars="0"/>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900-047-49</w:t>
                  </w:r>
                </w:p>
              </w:tc>
              <w:tc>
                <w:tcPr>
                  <w:tcW w:w="646" w:type="pct"/>
                  <w:tcBorders>
                    <w:tl2br w:val="nil"/>
                    <w:tr2bl w:val="nil"/>
                  </w:tcBorders>
                  <w:noWrap w:val="0"/>
                  <w:vAlign w:val="center"/>
                </w:tcPr>
                <w:p w14:paraId="664FB37D">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13.2</w:t>
                  </w:r>
                </w:p>
              </w:tc>
              <w:tc>
                <w:tcPr>
                  <w:tcW w:w="513" w:type="pct"/>
                  <w:tcBorders>
                    <w:tl2br w:val="nil"/>
                    <w:tr2bl w:val="nil"/>
                  </w:tcBorders>
                  <w:noWrap w:val="0"/>
                  <w:vAlign w:val="center"/>
                </w:tcPr>
                <w:p w14:paraId="5CB7BA37">
                  <w:pPr>
                    <w:keepNext w:val="0"/>
                    <w:keepLines w:val="0"/>
                    <w:widowControl/>
                    <w:suppressLineNumbers w:val="0"/>
                    <w:bidi w:val="0"/>
                    <w:spacing w:before="0" w:beforeAutospacing="0" w:after="0" w:afterAutospacing="0"/>
                    <w:ind w:left="0" w:leftChars="0" w:right="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桶装</w:t>
                  </w:r>
                </w:p>
              </w:tc>
              <w:tc>
                <w:tcPr>
                  <w:tcW w:w="544" w:type="pct"/>
                  <w:tcBorders>
                    <w:tl2br w:val="nil"/>
                    <w:tr2bl w:val="nil"/>
                  </w:tcBorders>
                  <w:noWrap w:val="0"/>
                  <w:vAlign w:val="center"/>
                </w:tcPr>
                <w:p w14:paraId="4D931D53">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1.5</w:t>
                  </w:r>
                </w:p>
              </w:tc>
              <w:tc>
                <w:tcPr>
                  <w:tcW w:w="498" w:type="pct"/>
                  <w:tcBorders>
                    <w:tl2br w:val="nil"/>
                    <w:tr2bl w:val="nil"/>
                  </w:tcBorders>
                  <w:noWrap w:val="0"/>
                  <w:vAlign w:val="center"/>
                </w:tcPr>
                <w:p w14:paraId="30D0C6EF">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1个月</w:t>
                  </w:r>
                </w:p>
              </w:tc>
            </w:tr>
            <w:tr w14:paraId="29C75F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tcBorders>
                    <w:tl2br w:val="nil"/>
                    <w:tr2bl w:val="nil"/>
                  </w:tcBorders>
                  <w:noWrap w:val="0"/>
                  <w:vAlign w:val="center"/>
                </w:tcPr>
                <w:p w14:paraId="64F9FCED">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p>
              </w:tc>
              <w:tc>
                <w:tcPr>
                  <w:tcW w:w="814" w:type="pct"/>
                  <w:tcBorders>
                    <w:tl2br w:val="nil"/>
                    <w:tr2bl w:val="nil"/>
                  </w:tcBorders>
                  <w:noWrap w:val="0"/>
                  <w:vAlign w:val="center"/>
                </w:tcPr>
                <w:p w14:paraId="2BDBA94E">
                  <w:pPr>
                    <w:pStyle w:val="26"/>
                    <w:bidi w:val="0"/>
                    <w:ind w:firstLine="0" w:firstLineChars="0"/>
                    <w:jc w:val="center"/>
                    <w:rPr>
                      <w:rFonts w:hint="default"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废试剂瓶</w:t>
                  </w:r>
                </w:p>
              </w:tc>
              <w:tc>
                <w:tcPr>
                  <w:tcW w:w="593" w:type="pct"/>
                  <w:tcBorders>
                    <w:tl2br w:val="nil"/>
                    <w:tr2bl w:val="nil"/>
                  </w:tcBorders>
                  <w:noWrap w:val="0"/>
                  <w:vAlign w:val="center"/>
                </w:tcPr>
                <w:p w14:paraId="78C931A3">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HW49</w:t>
                  </w:r>
                </w:p>
              </w:tc>
              <w:tc>
                <w:tcPr>
                  <w:tcW w:w="850" w:type="pct"/>
                  <w:tcBorders>
                    <w:tl2br w:val="nil"/>
                    <w:tr2bl w:val="nil"/>
                  </w:tcBorders>
                  <w:noWrap w:val="0"/>
                  <w:vAlign w:val="center"/>
                </w:tcPr>
                <w:p w14:paraId="6331491C">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900-047-49</w:t>
                  </w:r>
                </w:p>
              </w:tc>
              <w:tc>
                <w:tcPr>
                  <w:tcW w:w="646" w:type="pct"/>
                  <w:tcBorders>
                    <w:tl2br w:val="nil"/>
                    <w:tr2bl w:val="nil"/>
                  </w:tcBorders>
                  <w:noWrap w:val="0"/>
                  <w:vAlign w:val="center"/>
                </w:tcPr>
                <w:p w14:paraId="239760FE">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0.03</w:t>
                  </w:r>
                </w:p>
              </w:tc>
              <w:tc>
                <w:tcPr>
                  <w:tcW w:w="513" w:type="pct"/>
                  <w:tcBorders>
                    <w:tl2br w:val="nil"/>
                    <w:tr2bl w:val="nil"/>
                  </w:tcBorders>
                  <w:noWrap w:val="0"/>
                  <w:vAlign w:val="center"/>
                </w:tcPr>
                <w:p w14:paraId="1B3BCF6D">
                  <w:pPr>
                    <w:pStyle w:val="26"/>
                    <w:bidi w:val="0"/>
                    <w:rPr>
                      <w:rFonts w:hint="default" w:ascii="Times New Roman" w:hAnsi="Times New Roman" w:cs="Times New Roman"/>
                      <w:color w:val="000000" w:themeColor="text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Cs w:val="21"/>
                      <w:highlight w:val="none"/>
                      <w:lang w:val="en-US" w:eastAsia="zh-CN" w:bidi="ar-SA"/>
                      <w14:textFill>
                        <w14:solidFill>
                          <w14:schemeClr w14:val="tx1"/>
                        </w14:solidFill>
                      </w14:textFill>
                    </w:rPr>
                    <w:t>桶装</w:t>
                  </w:r>
                </w:p>
              </w:tc>
              <w:tc>
                <w:tcPr>
                  <w:tcW w:w="544" w:type="pct"/>
                  <w:tcBorders>
                    <w:tl2br w:val="nil"/>
                    <w:tr2bl w:val="nil"/>
                  </w:tcBorders>
                  <w:noWrap w:val="0"/>
                  <w:vAlign w:val="center"/>
                </w:tcPr>
                <w:p w14:paraId="1E374BF6">
                  <w:pPr>
                    <w:pStyle w:val="26"/>
                    <w:keepNext w:val="0"/>
                    <w:keepLines w:val="0"/>
                    <w:widowControl w:val="0"/>
                    <w:suppressLineNumbers w:val="0"/>
                    <w:bidi w:val="0"/>
                    <w:spacing w:before="0" w:beforeAutospacing="0" w:after="0" w:afterAutospacing="0"/>
                    <w:ind w:left="0" w:leftChars="0" w:right="0" w:rightChars="0" w:firstLine="0" w:firstLineChars="0"/>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0.05</w:t>
                  </w:r>
                </w:p>
              </w:tc>
              <w:tc>
                <w:tcPr>
                  <w:tcW w:w="498" w:type="pct"/>
                  <w:tcBorders>
                    <w:tl2br w:val="nil"/>
                    <w:tr2bl w:val="nil"/>
                  </w:tcBorders>
                  <w:noWrap w:val="0"/>
                  <w:vAlign w:val="center"/>
                </w:tcPr>
                <w:p w14:paraId="45ABD523">
                  <w:pPr>
                    <w:pStyle w:val="26"/>
                    <w:keepNext w:val="0"/>
                    <w:keepLines w:val="0"/>
                    <w:widowControl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2个月</w:t>
                  </w:r>
                </w:p>
              </w:tc>
            </w:tr>
            <w:tr w14:paraId="20BB98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tcBorders>
                    <w:tl2br w:val="nil"/>
                    <w:tr2bl w:val="nil"/>
                  </w:tcBorders>
                  <w:noWrap w:val="0"/>
                  <w:vAlign w:val="center"/>
                </w:tcPr>
                <w:p w14:paraId="01D5EEDA">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p>
              </w:tc>
              <w:tc>
                <w:tcPr>
                  <w:tcW w:w="814" w:type="pct"/>
                  <w:tcBorders>
                    <w:tl2br w:val="nil"/>
                    <w:tr2bl w:val="nil"/>
                  </w:tcBorders>
                  <w:noWrap w:val="0"/>
                  <w:vAlign w:val="center"/>
                </w:tcPr>
                <w:p w14:paraId="38212607">
                  <w:pPr>
                    <w:pStyle w:val="26"/>
                    <w:bidi w:val="0"/>
                    <w:ind w:firstLine="0" w:firstLineChars="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废活性炭</w:t>
                  </w:r>
                </w:p>
              </w:tc>
              <w:tc>
                <w:tcPr>
                  <w:tcW w:w="593" w:type="pct"/>
                  <w:tcBorders>
                    <w:tl2br w:val="nil"/>
                    <w:tr2bl w:val="nil"/>
                  </w:tcBorders>
                  <w:noWrap w:val="0"/>
                  <w:vAlign w:val="center"/>
                </w:tcPr>
                <w:p w14:paraId="0FBD4EA8">
                  <w:pPr>
                    <w:pStyle w:val="26"/>
                    <w:keepNext w:val="0"/>
                    <w:keepLines w:val="0"/>
                    <w:widowControl w:val="0"/>
                    <w:suppressLineNumbers w:val="0"/>
                    <w:bidi w:val="0"/>
                    <w:spacing w:before="0" w:beforeAutospacing="0" w:after="0" w:afterAutospacing="0"/>
                    <w:ind w:right="0" w:rightChars="0" w:firstLine="0" w:firstLineChars="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HW49</w:t>
                  </w:r>
                </w:p>
              </w:tc>
              <w:tc>
                <w:tcPr>
                  <w:tcW w:w="850" w:type="pct"/>
                  <w:tcBorders>
                    <w:tl2br w:val="nil"/>
                    <w:tr2bl w:val="nil"/>
                  </w:tcBorders>
                  <w:noWrap w:val="0"/>
                  <w:vAlign w:val="center"/>
                </w:tcPr>
                <w:p w14:paraId="798E7E60">
                  <w:pPr>
                    <w:pStyle w:val="26"/>
                    <w:keepNext w:val="0"/>
                    <w:keepLines w:val="0"/>
                    <w:widowControl w:val="0"/>
                    <w:suppressLineNumbers w:val="0"/>
                    <w:bidi w:val="0"/>
                    <w:spacing w:before="0" w:beforeAutospacing="0" w:after="0" w:afterAutospacing="0"/>
                    <w:ind w:right="0" w:rightChars="0" w:firstLine="0" w:firstLineChars="0"/>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900-039-49</w:t>
                  </w:r>
                </w:p>
              </w:tc>
              <w:tc>
                <w:tcPr>
                  <w:tcW w:w="646" w:type="pct"/>
                  <w:tcBorders>
                    <w:tl2br w:val="nil"/>
                    <w:tr2bl w:val="nil"/>
                  </w:tcBorders>
                  <w:noWrap w:val="0"/>
                  <w:vAlign w:val="center"/>
                </w:tcPr>
                <w:p w14:paraId="3F4BA4D4">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27.889</w:t>
                  </w:r>
                </w:p>
              </w:tc>
              <w:tc>
                <w:tcPr>
                  <w:tcW w:w="513" w:type="pct"/>
                  <w:tcBorders>
                    <w:tl2br w:val="nil"/>
                    <w:tr2bl w:val="nil"/>
                  </w:tcBorders>
                  <w:noWrap w:val="0"/>
                  <w:vAlign w:val="center"/>
                </w:tcPr>
                <w:p w14:paraId="11935459">
                  <w:pPr>
                    <w:pStyle w:val="26"/>
                    <w:bidi w:val="0"/>
                    <w:rPr>
                      <w:rFonts w:hint="default" w:ascii="Times New Roman" w:hAnsi="Times New Roman" w:cs="Times New Roman"/>
                      <w:color w:val="000000" w:themeColor="text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袋装</w:t>
                  </w:r>
                </w:p>
              </w:tc>
              <w:tc>
                <w:tcPr>
                  <w:tcW w:w="544" w:type="pct"/>
                  <w:tcBorders>
                    <w:tl2br w:val="nil"/>
                    <w:tr2bl w:val="nil"/>
                  </w:tcBorders>
                  <w:noWrap w:val="0"/>
                  <w:vAlign w:val="center"/>
                </w:tcPr>
                <w:p w14:paraId="5462AB98">
                  <w:pPr>
                    <w:pStyle w:val="26"/>
                    <w:keepNext w:val="0"/>
                    <w:keepLines w:val="0"/>
                    <w:widowControl w:val="0"/>
                    <w:suppressLineNumbers w:val="0"/>
                    <w:bidi w:val="0"/>
                    <w:spacing w:before="0" w:beforeAutospacing="0" w:after="0" w:afterAutospacing="0"/>
                    <w:ind w:left="0" w:leftChars="0" w:right="0" w:rightChars="0" w:firstLine="0" w:firstLineChars="0"/>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2.50</w:t>
                  </w:r>
                </w:p>
              </w:tc>
              <w:tc>
                <w:tcPr>
                  <w:tcW w:w="498" w:type="pct"/>
                  <w:tcBorders>
                    <w:tl2br w:val="nil"/>
                    <w:tr2bl w:val="nil"/>
                  </w:tcBorders>
                  <w:noWrap w:val="0"/>
                  <w:vAlign w:val="center"/>
                </w:tcPr>
                <w:p w14:paraId="18FD7FC6">
                  <w:pPr>
                    <w:pStyle w:val="26"/>
                    <w:keepNext w:val="0"/>
                    <w:keepLines w:val="0"/>
                    <w:widowControl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个月</w:t>
                  </w:r>
                </w:p>
              </w:tc>
            </w:tr>
            <w:tr w14:paraId="001C18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tcBorders>
                    <w:tl2br w:val="nil"/>
                    <w:tr2bl w:val="nil"/>
                  </w:tcBorders>
                  <w:noWrap w:val="0"/>
                  <w:vAlign w:val="center"/>
                </w:tcPr>
                <w:p w14:paraId="44702D72">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p>
              </w:tc>
              <w:tc>
                <w:tcPr>
                  <w:tcW w:w="814" w:type="pct"/>
                  <w:tcBorders>
                    <w:tl2br w:val="nil"/>
                    <w:tr2bl w:val="nil"/>
                  </w:tcBorders>
                  <w:noWrap w:val="0"/>
                  <w:vAlign w:val="center"/>
                </w:tcPr>
                <w:p w14:paraId="59EA82A9">
                  <w:pPr>
                    <w:pStyle w:val="26"/>
                    <w:bidi w:val="0"/>
                    <w:ind w:firstLine="0" w:firstLineChars="0"/>
                    <w:jc w:val="center"/>
                    <w:rPr>
                      <w:rFonts w:hint="eastAsia"/>
                      <w:color w:val="000000" w:themeColor="text1"/>
                      <w:highlight w:val="none"/>
                      <w:lang w:val="en-US" w:eastAsia="zh-CN" w:bidi="ar-SA"/>
                      <w14:textFill>
                        <w14:solidFill>
                          <w14:schemeClr w14:val="tx1"/>
                        </w14:solidFill>
                      </w14:textFill>
                    </w:rPr>
                  </w:pPr>
                  <w:r>
                    <w:rPr>
                      <w:rFonts w:hint="eastAsia"/>
                      <w:b w:val="0"/>
                      <w:bCs w:val="0"/>
                      <w:color w:val="000000" w:themeColor="text1"/>
                      <w:highlight w:val="none"/>
                      <w:lang w:val="en-US" w:eastAsia="zh-CN" w:bidi="ar-SA"/>
                      <w14:textFill>
                        <w14:solidFill>
                          <w14:schemeClr w14:val="tx1"/>
                        </w14:solidFill>
                      </w14:textFill>
                    </w:rPr>
                    <w:t>废布袋</w:t>
                  </w:r>
                </w:p>
              </w:tc>
              <w:tc>
                <w:tcPr>
                  <w:tcW w:w="593" w:type="pct"/>
                  <w:tcBorders>
                    <w:tl2br w:val="nil"/>
                    <w:tr2bl w:val="nil"/>
                  </w:tcBorders>
                  <w:noWrap w:val="0"/>
                  <w:vAlign w:val="center"/>
                </w:tcPr>
                <w:p w14:paraId="7218A329">
                  <w:pPr>
                    <w:pStyle w:val="26"/>
                    <w:keepNext w:val="0"/>
                    <w:keepLines w:val="0"/>
                    <w:widowControl w:val="0"/>
                    <w:suppressLineNumbers w:val="0"/>
                    <w:bidi w:val="0"/>
                    <w:spacing w:before="0" w:beforeAutospacing="0" w:after="0" w:afterAutospacing="0"/>
                    <w:ind w:right="0" w:rightChars="0" w:firstLine="0" w:firstLineChars="0"/>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HW49</w:t>
                  </w:r>
                </w:p>
              </w:tc>
              <w:tc>
                <w:tcPr>
                  <w:tcW w:w="850" w:type="pct"/>
                  <w:tcBorders>
                    <w:tl2br w:val="nil"/>
                    <w:tr2bl w:val="nil"/>
                  </w:tcBorders>
                  <w:noWrap w:val="0"/>
                  <w:vAlign w:val="center"/>
                </w:tcPr>
                <w:p w14:paraId="24B31078">
                  <w:pPr>
                    <w:pStyle w:val="26"/>
                    <w:keepNext w:val="0"/>
                    <w:keepLines w:val="0"/>
                    <w:widowControl w:val="0"/>
                    <w:suppressLineNumbers w:val="0"/>
                    <w:bidi w:val="0"/>
                    <w:spacing w:before="0" w:beforeAutospacing="0" w:after="0" w:afterAutospacing="0"/>
                    <w:ind w:right="0" w:rightChars="0" w:firstLine="0" w:firstLineChars="0"/>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900-041-49</w:t>
                  </w:r>
                </w:p>
              </w:tc>
              <w:tc>
                <w:tcPr>
                  <w:tcW w:w="646" w:type="pct"/>
                  <w:tcBorders>
                    <w:tl2br w:val="nil"/>
                    <w:tr2bl w:val="nil"/>
                  </w:tcBorders>
                  <w:noWrap w:val="0"/>
                  <w:vAlign w:val="center"/>
                </w:tcPr>
                <w:p w14:paraId="21448A36">
                  <w:pPr>
                    <w:pStyle w:val="26"/>
                    <w:bidi w:val="0"/>
                    <w:jc w:val="center"/>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0.02</w:t>
                  </w:r>
                </w:p>
              </w:tc>
              <w:tc>
                <w:tcPr>
                  <w:tcW w:w="513" w:type="pct"/>
                  <w:tcBorders>
                    <w:tl2br w:val="nil"/>
                    <w:tr2bl w:val="nil"/>
                  </w:tcBorders>
                  <w:noWrap w:val="0"/>
                  <w:vAlign w:val="center"/>
                </w:tcPr>
                <w:p w14:paraId="2859795B">
                  <w:pPr>
                    <w:pStyle w:val="26"/>
                    <w:bidi w:val="0"/>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cs="Times New Roman"/>
                      <w:color w:val="000000" w:themeColor="text1"/>
                      <w:highlight w:val="none"/>
                      <w:lang w:val="en-US" w:eastAsia="zh-CN" w:bidi="ar-SA"/>
                      <w14:textFill>
                        <w14:solidFill>
                          <w14:schemeClr w14:val="tx1"/>
                        </w14:solidFill>
                      </w14:textFill>
                    </w:rPr>
                    <w:t>密封桶</w:t>
                  </w:r>
                </w:p>
              </w:tc>
              <w:tc>
                <w:tcPr>
                  <w:tcW w:w="544" w:type="pct"/>
                  <w:tcBorders>
                    <w:tl2br w:val="nil"/>
                    <w:tr2bl w:val="nil"/>
                  </w:tcBorders>
                  <w:noWrap w:val="0"/>
                  <w:vAlign w:val="center"/>
                </w:tcPr>
                <w:p w14:paraId="5840DFD5">
                  <w:pPr>
                    <w:pStyle w:val="26"/>
                    <w:keepNext w:val="0"/>
                    <w:keepLines w:val="0"/>
                    <w:widowControl w:val="0"/>
                    <w:suppressLineNumbers w:val="0"/>
                    <w:bidi w:val="0"/>
                    <w:spacing w:before="0" w:beforeAutospacing="0" w:after="0" w:afterAutospacing="0"/>
                    <w:ind w:left="0" w:leftChars="0" w:right="0" w:rightChars="0" w:firstLine="0" w:firstLineChars="0"/>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0.02</w:t>
                  </w:r>
                </w:p>
              </w:tc>
              <w:tc>
                <w:tcPr>
                  <w:tcW w:w="498" w:type="pct"/>
                  <w:tcBorders>
                    <w:tl2br w:val="nil"/>
                    <w:tr2bl w:val="nil"/>
                  </w:tcBorders>
                  <w:noWrap w:val="0"/>
                  <w:vAlign w:val="center"/>
                </w:tcPr>
                <w:p w14:paraId="5AAC9CC5">
                  <w:pPr>
                    <w:pStyle w:val="26"/>
                    <w:keepNext w:val="0"/>
                    <w:keepLines w:val="0"/>
                    <w:widowControl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1个月</w:t>
                  </w:r>
                </w:p>
              </w:tc>
            </w:tr>
            <w:tr w14:paraId="7D553A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tcBorders>
                    <w:tl2br w:val="nil"/>
                    <w:tr2bl w:val="nil"/>
                  </w:tcBorders>
                  <w:noWrap w:val="0"/>
                  <w:vAlign w:val="center"/>
                </w:tcPr>
                <w:p w14:paraId="30272034">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p>
              </w:tc>
              <w:tc>
                <w:tcPr>
                  <w:tcW w:w="814" w:type="pct"/>
                  <w:tcBorders>
                    <w:tl2br w:val="nil"/>
                    <w:tr2bl w:val="nil"/>
                  </w:tcBorders>
                  <w:shd w:val="clear" w:color="auto" w:fill="auto"/>
                  <w:noWrap w:val="0"/>
                  <w:vAlign w:val="center"/>
                </w:tcPr>
                <w:p w14:paraId="64306A1B">
                  <w:pPr>
                    <w:pStyle w:val="26"/>
                    <w:bidi w:val="0"/>
                    <w:ind w:firstLine="0" w:firstLineChars="0"/>
                    <w:jc w:val="center"/>
                    <w:rPr>
                      <w:rFonts w:hint="eastAsia" w:ascii="Times New Roman" w:hAnsi="Times New Roman" w:eastAsia="宋体" w:cs="Times New Roman"/>
                      <w:b w:val="0"/>
                      <w:bCs w:val="0"/>
                      <w:color w:val="000000" w:themeColor="text1"/>
                      <w:sz w:val="21"/>
                      <w:szCs w:val="22"/>
                      <w:highlight w:val="none"/>
                      <w:lang w:val="en-US" w:eastAsia="zh-CN" w:bidi="ar-SA"/>
                      <w14:textFill>
                        <w14:solidFill>
                          <w14:schemeClr w14:val="tx1"/>
                        </w14:solidFill>
                      </w14:textFill>
                    </w:rPr>
                  </w:pPr>
                  <w:r>
                    <w:rPr>
                      <w:rFonts w:hint="eastAsia"/>
                      <w:b w:val="0"/>
                      <w:bCs w:val="0"/>
                      <w:color w:val="000000" w:themeColor="text1"/>
                      <w:highlight w:val="none"/>
                      <w:lang w:val="en-US" w:eastAsia="zh-CN" w:bidi="ar-SA"/>
                      <w14:textFill>
                        <w14:solidFill>
                          <w14:schemeClr w14:val="tx1"/>
                        </w14:solidFill>
                      </w14:textFill>
                    </w:rPr>
                    <w:t>废催化剂</w:t>
                  </w:r>
                </w:p>
              </w:tc>
              <w:tc>
                <w:tcPr>
                  <w:tcW w:w="593" w:type="pct"/>
                  <w:tcBorders>
                    <w:tl2br w:val="nil"/>
                    <w:tr2bl w:val="nil"/>
                  </w:tcBorders>
                  <w:shd w:val="clear" w:color="auto" w:fill="auto"/>
                  <w:noWrap w:val="0"/>
                  <w:vAlign w:val="center"/>
                </w:tcPr>
                <w:p w14:paraId="702083F2">
                  <w:pPr>
                    <w:pStyle w:val="26"/>
                    <w:bidi w:val="0"/>
                    <w:ind w:firstLine="0" w:firstLineChars="0"/>
                    <w:jc w:val="center"/>
                    <w:rPr>
                      <w:rFonts w:hint="eastAsia"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 xml:space="preserve">HW49 </w:t>
                  </w:r>
                </w:p>
              </w:tc>
              <w:tc>
                <w:tcPr>
                  <w:tcW w:w="850" w:type="pct"/>
                  <w:tcBorders>
                    <w:tl2br w:val="nil"/>
                    <w:tr2bl w:val="nil"/>
                  </w:tcBorders>
                  <w:noWrap w:val="0"/>
                  <w:vAlign w:val="center"/>
                </w:tcPr>
                <w:p w14:paraId="5306B373">
                  <w:pPr>
                    <w:pStyle w:val="26"/>
                    <w:keepNext w:val="0"/>
                    <w:keepLines w:val="0"/>
                    <w:widowControl w:val="0"/>
                    <w:suppressLineNumbers w:val="0"/>
                    <w:bidi w:val="0"/>
                    <w:spacing w:before="0" w:beforeAutospacing="0" w:after="0" w:afterAutospacing="0"/>
                    <w:ind w:right="0" w:rightChars="0" w:firstLine="0" w:firstLineChars="0"/>
                    <w:rPr>
                      <w:rFonts w:hint="eastAsia"/>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900-041-49</w:t>
                  </w:r>
                </w:p>
              </w:tc>
              <w:tc>
                <w:tcPr>
                  <w:tcW w:w="646" w:type="pct"/>
                  <w:tcBorders>
                    <w:tl2br w:val="nil"/>
                    <w:tr2bl w:val="nil"/>
                  </w:tcBorders>
                  <w:noWrap w:val="0"/>
                  <w:vAlign w:val="center"/>
                </w:tcPr>
                <w:p w14:paraId="37B527CC">
                  <w:pPr>
                    <w:pStyle w:val="26"/>
                    <w:bidi w:val="0"/>
                    <w:jc w:val="center"/>
                    <w:rPr>
                      <w:rFonts w:hint="default"/>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0.01</w:t>
                  </w:r>
                </w:p>
              </w:tc>
              <w:tc>
                <w:tcPr>
                  <w:tcW w:w="513" w:type="pct"/>
                  <w:tcBorders>
                    <w:tl2br w:val="nil"/>
                    <w:tr2bl w:val="nil"/>
                  </w:tcBorders>
                  <w:noWrap w:val="0"/>
                  <w:vAlign w:val="center"/>
                </w:tcPr>
                <w:p w14:paraId="704B8DC0">
                  <w:pPr>
                    <w:pStyle w:val="26"/>
                    <w:bidi w:val="0"/>
                    <w:rPr>
                      <w:rFonts w:hint="eastAsia"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桶装</w:t>
                  </w:r>
                </w:p>
              </w:tc>
              <w:tc>
                <w:tcPr>
                  <w:tcW w:w="544" w:type="pct"/>
                  <w:tcBorders>
                    <w:tl2br w:val="nil"/>
                    <w:tr2bl w:val="nil"/>
                  </w:tcBorders>
                  <w:noWrap w:val="0"/>
                  <w:vAlign w:val="center"/>
                </w:tcPr>
                <w:p w14:paraId="4D6F9C2C">
                  <w:pPr>
                    <w:pStyle w:val="26"/>
                    <w:keepNext w:val="0"/>
                    <w:keepLines w:val="0"/>
                    <w:widowControl w:val="0"/>
                    <w:suppressLineNumbers w:val="0"/>
                    <w:bidi w:val="0"/>
                    <w:spacing w:before="0" w:beforeAutospacing="0" w:after="0" w:afterAutospacing="0"/>
                    <w:ind w:left="0" w:leftChars="0" w:right="0" w:rightChars="0" w:firstLine="0" w:firstLineChars="0"/>
                    <w:rPr>
                      <w:rFonts w:hint="default"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0.01</w:t>
                  </w:r>
                </w:p>
              </w:tc>
              <w:tc>
                <w:tcPr>
                  <w:tcW w:w="498" w:type="pct"/>
                  <w:tcBorders>
                    <w:tl2br w:val="nil"/>
                    <w:tr2bl w:val="nil"/>
                  </w:tcBorders>
                  <w:noWrap w:val="0"/>
                  <w:vAlign w:val="center"/>
                </w:tcPr>
                <w:p w14:paraId="017DE0EC">
                  <w:pPr>
                    <w:pStyle w:val="26"/>
                    <w:keepNext w:val="0"/>
                    <w:keepLines w:val="0"/>
                    <w:widowControl w:val="0"/>
                    <w:suppressLineNumbers w:val="0"/>
                    <w:bidi w:val="0"/>
                    <w:spacing w:before="0" w:beforeAutospacing="0" w:after="0" w:afterAutospacing="0"/>
                    <w:ind w:left="0" w:leftChars="0" w:right="0" w:rightChars="0" w:firstLine="0" w:firstLineChars="0"/>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1个月</w:t>
                  </w:r>
                </w:p>
              </w:tc>
            </w:tr>
            <w:tr w14:paraId="4322C0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tcBorders>
                    <w:tl2br w:val="nil"/>
                    <w:tr2bl w:val="nil"/>
                  </w:tcBorders>
                  <w:noWrap w:val="0"/>
                  <w:vAlign w:val="center"/>
                </w:tcPr>
                <w:p w14:paraId="39543B8B">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p>
              </w:tc>
              <w:tc>
                <w:tcPr>
                  <w:tcW w:w="814" w:type="pct"/>
                  <w:tcBorders>
                    <w:tl2br w:val="nil"/>
                    <w:tr2bl w:val="nil"/>
                  </w:tcBorders>
                  <w:noWrap w:val="0"/>
                  <w:vAlign w:val="center"/>
                </w:tcPr>
                <w:p w14:paraId="75DB15F7">
                  <w:pPr>
                    <w:pStyle w:val="26"/>
                    <w:bidi w:val="0"/>
                    <w:ind w:firstLine="0" w:firstLineChars="0"/>
                    <w:jc w:val="center"/>
                    <w:rPr>
                      <w:rFonts w:hint="default"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废机油</w:t>
                  </w:r>
                </w:p>
              </w:tc>
              <w:tc>
                <w:tcPr>
                  <w:tcW w:w="593" w:type="pct"/>
                  <w:tcBorders>
                    <w:tl2br w:val="nil"/>
                    <w:tr2bl w:val="nil"/>
                  </w:tcBorders>
                  <w:noWrap w:val="0"/>
                  <w:vAlign w:val="center"/>
                </w:tcPr>
                <w:p w14:paraId="5EC96D37">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HW08</w:t>
                  </w:r>
                </w:p>
              </w:tc>
              <w:tc>
                <w:tcPr>
                  <w:tcW w:w="850" w:type="pct"/>
                  <w:tcBorders>
                    <w:tl2br w:val="nil"/>
                    <w:tr2bl w:val="nil"/>
                  </w:tcBorders>
                  <w:noWrap w:val="0"/>
                  <w:vAlign w:val="center"/>
                </w:tcPr>
                <w:p w14:paraId="08F86C2E">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Cs w:val="20"/>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900-214-08</w:t>
                  </w:r>
                </w:p>
              </w:tc>
              <w:tc>
                <w:tcPr>
                  <w:tcW w:w="646" w:type="pct"/>
                  <w:tcBorders>
                    <w:tl2br w:val="nil"/>
                    <w:tr2bl w:val="nil"/>
                  </w:tcBorders>
                  <w:noWrap w:val="0"/>
                  <w:vAlign w:val="center"/>
                </w:tcPr>
                <w:p w14:paraId="4D73D56A">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3.60</w:t>
                  </w:r>
                </w:p>
              </w:tc>
              <w:tc>
                <w:tcPr>
                  <w:tcW w:w="513" w:type="pct"/>
                  <w:tcBorders>
                    <w:tl2br w:val="nil"/>
                    <w:tr2bl w:val="nil"/>
                  </w:tcBorders>
                  <w:noWrap w:val="0"/>
                  <w:vAlign w:val="center"/>
                </w:tcPr>
                <w:p w14:paraId="18235E2E">
                  <w:pPr>
                    <w:pStyle w:val="26"/>
                    <w:bidi w:val="0"/>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bidi="ar-SA"/>
                      <w14:textFill>
                        <w14:solidFill>
                          <w14:schemeClr w14:val="tx1"/>
                        </w14:solidFill>
                      </w14:textFill>
                    </w:rPr>
                    <w:t>桶装</w:t>
                  </w:r>
                </w:p>
              </w:tc>
              <w:tc>
                <w:tcPr>
                  <w:tcW w:w="544" w:type="pct"/>
                  <w:tcBorders>
                    <w:tl2br w:val="nil"/>
                    <w:tr2bl w:val="nil"/>
                  </w:tcBorders>
                  <w:noWrap w:val="0"/>
                  <w:vAlign w:val="center"/>
                </w:tcPr>
                <w:p w14:paraId="543734AF">
                  <w:pPr>
                    <w:pStyle w:val="26"/>
                    <w:keepNext w:val="0"/>
                    <w:keepLines w:val="0"/>
                    <w:widowControl w:val="0"/>
                    <w:suppressLineNumbers w:val="0"/>
                    <w:bidi w:val="0"/>
                    <w:spacing w:before="0" w:beforeAutospacing="0" w:after="0" w:afterAutospacing="0"/>
                    <w:ind w:left="0" w:leftChars="0" w:right="0" w:rightChars="0" w:firstLine="0" w:firstLineChars="0"/>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0.50</w:t>
                  </w:r>
                </w:p>
              </w:tc>
              <w:tc>
                <w:tcPr>
                  <w:tcW w:w="498" w:type="pct"/>
                  <w:tcBorders>
                    <w:tl2br w:val="nil"/>
                    <w:tr2bl w:val="nil"/>
                  </w:tcBorders>
                  <w:noWrap w:val="0"/>
                  <w:vAlign w:val="center"/>
                </w:tcPr>
                <w:p w14:paraId="3CA06D48">
                  <w:pPr>
                    <w:pStyle w:val="26"/>
                    <w:keepNext w:val="0"/>
                    <w:keepLines w:val="0"/>
                    <w:widowControl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1个月</w:t>
                  </w:r>
                </w:p>
              </w:tc>
            </w:tr>
            <w:tr w14:paraId="50E836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tcBorders>
                    <w:tl2br w:val="nil"/>
                    <w:tr2bl w:val="nil"/>
                  </w:tcBorders>
                  <w:noWrap w:val="0"/>
                  <w:vAlign w:val="center"/>
                </w:tcPr>
                <w:p w14:paraId="2AB4A724">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p>
              </w:tc>
              <w:tc>
                <w:tcPr>
                  <w:tcW w:w="814" w:type="pct"/>
                  <w:tcBorders>
                    <w:tl2br w:val="nil"/>
                    <w:tr2bl w:val="nil"/>
                  </w:tcBorders>
                  <w:noWrap w:val="0"/>
                  <w:vAlign w:val="center"/>
                </w:tcPr>
                <w:p w14:paraId="6E868BC2">
                  <w:pPr>
                    <w:pStyle w:val="26"/>
                    <w:bidi w:val="0"/>
                    <w:ind w:firstLine="0" w:firstLineChars="0"/>
                    <w:jc w:val="center"/>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废含油抹布、手套</w:t>
                  </w:r>
                </w:p>
              </w:tc>
              <w:tc>
                <w:tcPr>
                  <w:tcW w:w="593" w:type="pct"/>
                  <w:tcBorders>
                    <w:tl2br w:val="nil"/>
                    <w:tr2bl w:val="nil"/>
                  </w:tcBorders>
                  <w:noWrap w:val="0"/>
                  <w:vAlign w:val="center"/>
                </w:tcPr>
                <w:p w14:paraId="0D2B9FE7">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HW49</w:t>
                  </w:r>
                </w:p>
              </w:tc>
              <w:tc>
                <w:tcPr>
                  <w:tcW w:w="850" w:type="pct"/>
                  <w:tcBorders>
                    <w:tl2br w:val="nil"/>
                    <w:tr2bl w:val="nil"/>
                  </w:tcBorders>
                  <w:noWrap w:val="0"/>
                  <w:vAlign w:val="center"/>
                </w:tcPr>
                <w:p w14:paraId="1BCCD27F">
                  <w:pPr>
                    <w:pStyle w:val="26"/>
                    <w:keepNext w:val="0"/>
                    <w:keepLines w:val="0"/>
                    <w:widowControl w:val="0"/>
                    <w:suppressLineNumbers w:val="0"/>
                    <w:bidi w:val="0"/>
                    <w:spacing w:before="0" w:beforeAutospacing="0" w:after="0" w:afterAutospacing="0"/>
                    <w:ind w:right="0"/>
                    <w:rPr>
                      <w:rFonts w:hint="default" w:ascii="Times New Roman" w:hAnsi="Times New Roman" w:cs="Times New Roman"/>
                      <w:color w:val="000000" w:themeColor="text1"/>
                      <w:sz w:val="21"/>
                      <w:szCs w:val="24"/>
                      <w:highlight w:val="none"/>
                      <w:u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900-041-49</w:t>
                  </w:r>
                </w:p>
              </w:tc>
              <w:tc>
                <w:tcPr>
                  <w:tcW w:w="646" w:type="pct"/>
                  <w:tcBorders>
                    <w:tl2br w:val="nil"/>
                    <w:tr2bl w:val="nil"/>
                  </w:tcBorders>
                  <w:noWrap w:val="0"/>
                  <w:vAlign w:val="center"/>
                </w:tcPr>
                <w:p w14:paraId="70707D31">
                  <w:pPr>
                    <w:pStyle w:val="26"/>
                    <w:bidi w:val="0"/>
                    <w:jc w:val="center"/>
                    <w:rPr>
                      <w:rFonts w:hint="default"/>
                      <w:color w:val="000000" w:themeColor="text1"/>
                      <w:highlight w:val="none"/>
                      <w:lang w:val="en-US" w:eastAsia="zh-CN" w:bidi="ar-SA"/>
                      <w14:textFill>
                        <w14:solidFill>
                          <w14:schemeClr w14:val="tx1"/>
                        </w14:solidFill>
                      </w14:textFill>
                    </w:rPr>
                  </w:pPr>
                  <w:r>
                    <w:rPr>
                      <w:rFonts w:hint="default"/>
                      <w:color w:val="000000" w:themeColor="text1"/>
                      <w:highlight w:val="none"/>
                      <w:lang w:val="en-US" w:eastAsia="zh-CN" w:bidi="ar-SA"/>
                      <w14:textFill>
                        <w14:solidFill>
                          <w14:schemeClr w14:val="tx1"/>
                        </w14:solidFill>
                      </w14:textFill>
                    </w:rPr>
                    <w:t>0.015</w:t>
                  </w:r>
                </w:p>
              </w:tc>
              <w:tc>
                <w:tcPr>
                  <w:tcW w:w="513" w:type="pct"/>
                  <w:tcBorders>
                    <w:tl2br w:val="nil"/>
                    <w:tr2bl w:val="nil"/>
                  </w:tcBorders>
                  <w:noWrap w:val="0"/>
                  <w:vAlign w:val="center"/>
                </w:tcPr>
                <w:p w14:paraId="16B7E5D2">
                  <w:pPr>
                    <w:pStyle w:val="26"/>
                    <w:bidi w:val="0"/>
                    <w:rPr>
                      <w:rFonts w:hint="default" w:ascii="Times New Roman" w:hAnsi="Times New Roman" w:cs="Times New Roman"/>
                      <w:color w:val="000000" w:themeColor="text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bidi="ar-SA"/>
                      <w14:textFill>
                        <w14:solidFill>
                          <w14:schemeClr w14:val="tx1"/>
                        </w14:solidFill>
                      </w14:textFill>
                    </w:rPr>
                    <w:t>袋装</w:t>
                  </w:r>
                </w:p>
              </w:tc>
              <w:tc>
                <w:tcPr>
                  <w:tcW w:w="544" w:type="pct"/>
                  <w:tcBorders>
                    <w:tl2br w:val="nil"/>
                    <w:tr2bl w:val="nil"/>
                  </w:tcBorders>
                  <w:noWrap w:val="0"/>
                  <w:vAlign w:val="center"/>
                </w:tcPr>
                <w:p w14:paraId="67E3DD2C">
                  <w:pPr>
                    <w:pStyle w:val="26"/>
                    <w:keepNext w:val="0"/>
                    <w:keepLines w:val="0"/>
                    <w:widowControl w:val="0"/>
                    <w:suppressLineNumbers w:val="0"/>
                    <w:bidi w:val="0"/>
                    <w:spacing w:before="0" w:beforeAutospacing="0" w:after="0" w:afterAutospacing="0"/>
                    <w:ind w:left="0" w:leftChars="0" w:right="0" w:rightChars="0" w:firstLine="0" w:firstLineChars="0"/>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0.05</w:t>
                  </w:r>
                </w:p>
              </w:tc>
              <w:tc>
                <w:tcPr>
                  <w:tcW w:w="498" w:type="pct"/>
                  <w:tcBorders>
                    <w:tl2br w:val="nil"/>
                    <w:tr2bl w:val="nil"/>
                  </w:tcBorders>
                  <w:noWrap w:val="0"/>
                  <w:vAlign w:val="center"/>
                </w:tcPr>
                <w:p w14:paraId="6462BDEE">
                  <w:pPr>
                    <w:pStyle w:val="26"/>
                    <w:keepNext w:val="0"/>
                    <w:keepLines w:val="0"/>
                    <w:widowControl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1季度</w:t>
                  </w:r>
                </w:p>
              </w:tc>
            </w:tr>
          </w:tbl>
          <w:p w14:paraId="6E62C3A0">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（3）容器和包装物要求</w:t>
            </w:r>
          </w:p>
          <w:p w14:paraId="3ACF0CFC">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①容器和包装物材质、内衬应与盛装的危险废物相容。</w:t>
            </w:r>
          </w:p>
          <w:p w14:paraId="41D7091D">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②针对不同类别、形态、物理化学性质的危险废物，其容器和包装物应满足相应的防渗、防漏、防腐和强度等要求。</w:t>
            </w:r>
          </w:p>
          <w:p w14:paraId="0561B498">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③硬质容器和包装物及其支护结构堆叠码放时不应有明显变形，无破损泄漏。</w:t>
            </w:r>
          </w:p>
          <w:p w14:paraId="029C743F">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④柔性容器和包装物堆叠码放时应封口严密，无破损泄漏。</w:t>
            </w:r>
          </w:p>
          <w:p w14:paraId="656878D9">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⑤使用容器盛装液态、半固态危险废物时，容器内部应留有适当的空间，以适应因温度变化等可能引发的收缩和膨胀，防止其导致容器渗漏或永久变形。</w:t>
            </w:r>
          </w:p>
          <w:p w14:paraId="3E99D708">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⑥容器和包装物外表面应保持清洁。</w:t>
            </w:r>
          </w:p>
          <w:p w14:paraId="000C6D1E">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（4）建立危险废物申报登记制度。</w:t>
            </w:r>
          </w:p>
          <w:p w14:paraId="7FE1018B">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由专门人员负责危险废物的日常收集和管理，对任何进出临时贮存场所的危险废物都要记录在案，做好台账；危险废物临时贮存场所周围要设置防护栅栏，并设置警示标志。贮存所内配备通讯设备、照明设备、安全防护服装及工具，并有应急防护措施；危险废物的贮存和转运应严格按照《危险废物贮存污染控制标准》（GB18597-2023）和《危险废物转移联单管理办法》要求执行。建设单位应强化废物产生、收集、贮放各环节的管理，各种固体废物按照类别分类存放，杜绝固体废物在厂区内散失、渗漏，达到无害化的目的，避免产生二次污染。</w:t>
            </w:r>
          </w:p>
          <w:p w14:paraId="02EF9158">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危险废物的运输采取危险废物转移“电子联单”制度，保证运输安全，防止非法转移和非法处置，保证危险废物的安全监控，防止危险废物污染事故发生。</w:t>
            </w:r>
          </w:p>
          <w:p w14:paraId="677499AF">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电子联单”应通过福建省固体废物环境监管平台申请电子联单，危险废物产生者及其它需要转移危险废物的单位在转移危险废物之前，须按照国家有关规定报批危险废物转移计划。经批准后，通过《信息系统》申请电子联单。</w:t>
            </w:r>
          </w:p>
          <w:p w14:paraId="63499E34">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（5）应将危险废物提供或者委托给有危险废物经营许可证的单位从事利用和处置，并签订处置合同。同时应加强对运输单位及处置单位的跟踪检查，控制运输过程中的环境风险。</w:t>
            </w:r>
          </w:p>
          <w:p w14:paraId="422BA9B7">
            <w:pPr>
              <w:pStyle w:val="3"/>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生活垃圾环境管理</w:t>
            </w:r>
          </w:p>
          <w:p w14:paraId="0283D012">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生活垃圾极易腐败发臭，必须定点收集，及时清运或处理。可在厂区生产区和办公区设置一些垃圾收集桶。厂区</w:t>
            </w:r>
            <w:r>
              <w:rPr>
                <w:rFonts w:hint="eastAsia"/>
                <w:color w:val="000000" w:themeColor="text1"/>
                <w:highlight w:val="none"/>
                <w:lang w:val="en-US" w:eastAsia="zh-CN"/>
                <w14:textFill>
                  <w14:solidFill>
                    <w14:schemeClr w14:val="tx1"/>
                  </w14:solidFill>
                </w14:textFill>
              </w:rPr>
              <w:t>可</w:t>
            </w:r>
            <w:r>
              <w:rPr>
                <w:rFonts w:hint="default"/>
                <w:color w:val="000000" w:themeColor="text1"/>
                <w:highlight w:val="none"/>
                <w:lang w:val="en-US" w:eastAsia="zh-CN"/>
                <w14:textFill>
                  <w14:solidFill>
                    <w14:schemeClr w14:val="tx1"/>
                  </w14:solidFill>
                </w14:textFill>
              </w:rPr>
              <w:t>配备专职的清洁人员和必要的工具，负责清扫厂区，维持清洁卫生，生活垃圾收集后委托环卫部门处理。</w:t>
            </w:r>
          </w:p>
          <w:p w14:paraId="4513633F">
            <w:pPr>
              <w:pStyle w:val="2"/>
              <w:numPr>
                <w:ilvl w:val="1"/>
                <w:numId w:val="4"/>
              </w:numPr>
              <w:tabs>
                <w:tab w:val="left" w:pos="420"/>
              </w:tabs>
              <w:bidi w:val="0"/>
              <w:rPr>
                <w:rFonts w:hint="default" w:ascii="Times New Roman" w:hAnsi="Times New Roman" w:cs="Times New Roman"/>
                <w:color w:val="000000" w:themeColor="text1"/>
                <w:highlight w:val="none"/>
                <w:lang w:val="en-US" w:eastAsia="zh-CN"/>
                <w14:textFill>
                  <w14:solidFill>
                    <w14:schemeClr w14:val="tx1"/>
                  </w14:solidFill>
                </w14:textFill>
              </w:rPr>
            </w:pPr>
            <w:bookmarkStart w:id="240" w:name="_Toc13047"/>
            <w:bookmarkStart w:id="241" w:name="_Toc22835"/>
            <w:bookmarkStart w:id="242" w:name="_Toc6730"/>
            <w:bookmarkStart w:id="243" w:name="_Toc5144"/>
            <w:bookmarkStart w:id="244" w:name="_Toc10408"/>
            <w:bookmarkStart w:id="245" w:name="_Toc10976"/>
            <w:r>
              <w:rPr>
                <w:rFonts w:hint="default" w:ascii="Times New Roman" w:hAnsi="Times New Roman" w:cs="Times New Roman"/>
                <w:color w:val="000000" w:themeColor="text1"/>
                <w:highlight w:val="none"/>
                <w:lang w:val="en-US" w:eastAsia="zh-CN"/>
                <w14:textFill>
                  <w14:solidFill>
                    <w14:schemeClr w14:val="tx1"/>
                  </w14:solidFill>
                </w14:textFill>
              </w:rPr>
              <w:t>地下水、土壤</w:t>
            </w:r>
            <w:bookmarkEnd w:id="240"/>
            <w:bookmarkEnd w:id="241"/>
            <w:bookmarkEnd w:id="242"/>
            <w:bookmarkEnd w:id="243"/>
            <w:bookmarkEnd w:id="244"/>
            <w:bookmarkEnd w:id="245"/>
          </w:p>
          <w:p w14:paraId="3DDEBF88">
            <w:pPr>
              <w:pStyle w:val="3"/>
              <w:bidi w:val="0"/>
              <w:rPr>
                <w:rFonts w:hint="eastAsia"/>
                <w:color w:val="000000" w:themeColor="text1"/>
                <w:highlight w:val="none"/>
                <w:lang w:val="en-US" w:eastAsia="zh-CN"/>
                <w14:textFill>
                  <w14:solidFill>
                    <w14:schemeClr w14:val="tx1"/>
                  </w14:solidFill>
                </w14:textFill>
              </w:rPr>
            </w:pPr>
            <w:bookmarkStart w:id="246" w:name="_Toc11101"/>
            <w:r>
              <w:rPr>
                <w:rFonts w:hint="eastAsia"/>
                <w:color w:val="000000" w:themeColor="text1"/>
                <w:highlight w:val="none"/>
                <w:lang w:val="en-US" w:eastAsia="zh-CN"/>
                <w14:textFill>
                  <w14:solidFill>
                    <w14:schemeClr w14:val="tx1"/>
                  </w14:solidFill>
                </w14:textFill>
              </w:rPr>
              <w:t>地下水、土壤污染分析</w:t>
            </w:r>
            <w:bookmarkEnd w:id="246"/>
          </w:p>
          <w:p w14:paraId="218305F0">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本项目位于</w:t>
            </w:r>
            <w:r>
              <w:rPr>
                <w:rFonts w:hint="eastAsia"/>
                <w:color w:val="000000" w:themeColor="text1"/>
                <w:highlight w:val="none"/>
                <w:lang w:val="en-US" w:eastAsia="zh-CN"/>
                <w14:textFill>
                  <w14:solidFill>
                    <w14:schemeClr w14:val="tx1"/>
                  </w14:solidFill>
                </w14:textFill>
              </w:rPr>
              <w:t>福建省三明市永安市贡川镇水东工业园区56号</w:t>
            </w:r>
            <w:r>
              <w:rPr>
                <w:rFonts w:hint="eastAsia"/>
                <w:color w:val="000000" w:themeColor="text1"/>
                <w:highlight w:val="none"/>
                <w14:textFill>
                  <w14:solidFill>
                    <w14:schemeClr w14:val="tx1"/>
                  </w14:solidFill>
                </w14:textFill>
              </w:rPr>
              <w:t>（永安市石墨和石墨烯产业园），项目区域地下水、土壤环境敏感程度均为不敏感，</w:t>
            </w:r>
            <w:r>
              <w:rPr>
                <w:color w:val="000000" w:themeColor="text1"/>
                <w:highlight w:val="none"/>
                <w14:textFill>
                  <w14:solidFill>
                    <w14:schemeClr w14:val="tx1"/>
                  </w14:solidFill>
                </w14:textFill>
              </w:rPr>
              <w:t>因此</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本次评价不对项目</w:t>
            </w:r>
            <w:r>
              <w:rPr>
                <w:rFonts w:hint="eastAsia"/>
                <w:color w:val="000000" w:themeColor="text1"/>
                <w:highlight w:val="none"/>
                <w14:textFill>
                  <w14:solidFill>
                    <w14:schemeClr w14:val="tx1"/>
                  </w14:solidFill>
                </w14:textFill>
              </w:rPr>
              <w:t>地下水、</w:t>
            </w:r>
            <w:r>
              <w:rPr>
                <w:color w:val="000000" w:themeColor="text1"/>
                <w:highlight w:val="none"/>
                <w14:textFill>
                  <w14:solidFill>
                    <w14:schemeClr w14:val="tx1"/>
                  </w14:solidFill>
                </w14:textFill>
              </w:rPr>
              <w:t>土壤进行环境影响评价，仅</w:t>
            </w:r>
            <w:r>
              <w:rPr>
                <w:rFonts w:hint="eastAsia"/>
                <w:color w:val="000000" w:themeColor="text1"/>
                <w:highlight w:val="none"/>
                <w14:textFill>
                  <w14:solidFill>
                    <w14:schemeClr w14:val="tx1"/>
                  </w14:solidFill>
                </w14:textFill>
              </w:rPr>
              <w:t>对</w:t>
            </w:r>
            <w:r>
              <w:rPr>
                <w:color w:val="000000" w:themeColor="text1"/>
                <w:highlight w:val="none"/>
                <w14:textFill>
                  <w14:solidFill>
                    <w14:schemeClr w14:val="tx1"/>
                  </w14:solidFill>
                </w14:textFill>
              </w:rPr>
              <w:t>地下水和土壤的污染途径、污染防控措施分析。</w:t>
            </w:r>
          </w:p>
          <w:p w14:paraId="24CFFC91">
            <w:pPr>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项目地下水和土壤的污染源、污染途径见</w:t>
            </w:r>
            <w:r>
              <w:rPr>
                <w:rFonts w:hint="default"/>
                <w:color w:val="000000" w:themeColor="text1"/>
                <w:highlight w:val="none"/>
                <w:lang w:val="en-US"/>
                <w14:textFill>
                  <w14:solidFill>
                    <w14:schemeClr w14:val="tx1"/>
                  </w14:solidFill>
                </w14:textFill>
              </w:rPr>
              <w:fldChar w:fldCharType="begin"/>
            </w:r>
            <w:r>
              <w:rPr>
                <w:rFonts w:hint="default"/>
                <w:color w:val="000000" w:themeColor="text1"/>
                <w:highlight w:val="none"/>
                <w:lang w:val="en-US"/>
                <w14:textFill>
                  <w14:solidFill>
                    <w14:schemeClr w14:val="tx1"/>
                  </w14:solidFill>
                </w14:textFill>
              </w:rPr>
              <w:instrText xml:space="preserve"> REF _Ref318 \n \h </w:instrText>
            </w:r>
            <w:r>
              <w:rPr>
                <w:rFonts w:hint="default"/>
                <w:color w:val="000000" w:themeColor="text1"/>
                <w:highlight w:val="none"/>
                <w:lang w:val="en-US"/>
                <w14:textFill>
                  <w14:solidFill>
                    <w14:schemeClr w14:val="tx1"/>
                  </w14:solidFill>
                </w14:textFill>
              </w:rPr>
              <w:fldChar w:fldCharType="separate"/>
            </w:r>
            <w:r>
              <w:rPr>
                <w:rFonts w:hint="default"/>
                <w:color w:val="000000" w:themeColor="text1"/>
                <w:highlight w:val="none"/>
                <w:lang w:val="en-US"/>
                <w14:textFill>
                  <w14:solidFill>
                    <w14:schemeClr w14:val="tx1"/>
                  </w14:solidFill>
                </w14:textFill>
              </w:rPr>
              <w:t>表4.5-1</w:t>
            </w:r>
            <w:r>
              <w:rPr>
                <w:rFonts w:hint="default"/>
                <w:color w:val="000000" w:themeColor="text1"/>
                <w:highlight w:val="none"/>
                <w:lang w:val="en-US"/>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w:t>
            </w:r>
          </w:p>
          <w:p w14:paraId="1B4A6AAF">
            <w:pPr>
              <w:pStyle w:val="30"/>
              <w:bidi w:val="0"/>
              <w:rPr>
                <w:color w:val="000000" w:themeColor="text1"/>
                <w:highlight w:val="none"/>
                <w14:textFill>
                  <w14:solidFill>
                    <w14:schemeClr w14:val="tx1"/>
                  </w14:solidFill>
                </w14:textFill>
              </w:rPr>
            </w:pPr>
            <w:bookmarkStart w:id="247" w:name="_Ref318"/>
            <w:r>
              <w:rPr>
                <w:rFonts w:hint="eastAsia"/>
                <w:color w:val="000000" w:themeColor="text1"/>
                <w:highlight w:val="none"/>
                <w14:textFill>
                  <w14:solidFill>
                    <w14:schemeClr w14:val="tx1"/>
                  </w14:solidFill>
                </w14:textFill>
              </w:rPr>
              <w:t>地下水、土壤的污染源、污染途径一览表</w:t>
            </w:r>
            <w:bookmarkEnd w:id="247"/>
          </w:p>
          <w:tbl>
            <w:tblPr>
              <w:tblStyle w:val="1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32"/>
              <w:gridCol w:w="1659"/>
              <w:gridCol w:w="2046"/>
              <w:gridCol w:w="3734"/>
            </w:tblGrid>
            <w:tr w14:paraId="7B0825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9" w:type="pct"/>
                  <w:noWrap w:val="0"/>
                  <w:vAlign w:val="center"/>
                </w:tcPr>
                <w:p w14:paraId="17D203B6">
                  <w:pPr>
                    <w:pStyle w:val="26"/>
                    <w:rPr>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类别</w:t>
                  </w:r>
                </w:p>
              </w:tc>
              <w:tc>
                <w:tcPr>
                  <w:tcW w:w="979" w:type="pct"/>
                  <w:noWrap w:val="0"/>
                  <w:vAlign w:val="center"/>
                </w:tcPr>
                <w:p w14:paraId="1A39B1E1">
                  <w:pPr>
                    <w:pStyle w:val="26"/>
                    <w:rPr>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污染源</w:t>
                  </w:r>
                </w:p>
              </w:tc>
              <w:tc>
                <w:tcPr>
                  <w:tcW w:w="1207" w:type="pct"/>
                  <w:noWrap w:val="0"/>
                  <w:vAlign w:val="center"/>
                </w:tcPr>
                <w:p w14:paraId="22D5BBEA">
                  <w:pPr>
                    <w:pStyle w:val="26"/>
                    <w:rPr>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污染物类型</w:t>
                  </w:r>
                </w:p>
              </w:tc>
              <w:tc>
                <w:tcPr>
                  <w:tcW w:w="2203" w:type="pct"/>
                  <w:noWrap w:val="0"/>
                  <w:vAlign w:val="center"/>
                </w:tcPr>
                <w:p w14:paraId="25A10997">
                  <w:pPr>
                    <w:pStyle w:val="26"/>
                    <w:rPr>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污染途径</w:t>
                  </w:r>
                </w:p>
              </w:tc>
            </w:tr>
            <w:tr w14:paraId="0FFB61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9" w:type="pct"/>
                  <w:vMerge w:val="restart"/>
                  <w:noWrap w:val="0"/>
                  <w:vAlign w:val="center"/>
                </w:tcPr>
                <w:p w14:paraId="13000AB5">
                  <w:pPr>
                    <w:pStyle w:val="26"/>
                    <w:rPr>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地下水</w:t>
                  </w:r>
                </w:p>
              </w:tc>
              <w:tc>
                <w:tcPr>
                  <w:tcW w:w="1659" w:type="dxa"/>
                  <w:noWrap w:val="0"/>
                  <w:vAlign w:val="center"/>
                </w:tcPr>
                <w:p w14:paraId="5B0256DD">
                  <w:pPr>
                    <w:pStyle w:val="26"/>
                    <w:ind w:firstLine="0" w:firstLineChars="0"/>
                    <w:rPr>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原料仓库</w:t>
                  </w:r>
                </w:p>
              </w:tc>
              <w:tc>
                <w:tcPr>
                  <w:tcW w:w="2046" w:type="dxa"/>
                  <w:noWrap w:val="0"/>
                  <w:vAlign w:val="center"/>
                </w:tcPr>
                <w:p w14:paraId="4C547F5D">
                  <w:pPr>
                    <w:pStyle w:val="26"/>
                    <w:ind w:firstLine="0" w:firstLineChars="0"/>
                    <w:rPr>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粘接剂、工业乙醇</w:t>
                  </w:r>
                </w:p>
              </w:tc>
              <w:tc>
                <w:tcPr>
                  <w:tcW w:w="2203" w:type="pct"/>
                  <w:noWrap w:val="0"/>
                  <w:vAlign w:val="center"/>
                </w:tcPr>
                <w:p w14:paraId="200E5817">
                  <w:pPr>
                    <w:pStyle w:val="26"/>
                    <w:rPr>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包装破损、发生泄漏、造成地表漫流</w:t>
                  </w:r>
                </w:p>
              </w:tc>
            </w:tr>
            <w:tr w14:paraId="0A2108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9" w:type="pct"/>
                  <w:vMerge w:val="continue"/>
                  <w:noWrap w:val="0"/>
                  <w:vAlign w:val="center"/>
                </w:tcPr>
                <w:p w14:paraId="1FA86F77">
                  <w:pPr>
                    <w:pStyle w:val="26"/>
                    <w:rPr>
                      <w:rFonts w:hint="eastAsia"/>
                      <w:color w:val="000000" w:themeColor="text1"/>
                      <w:highlight w:val="none"/>
                      <w:lang w:val="en-US" w:eastAsia="zh-CN"/>
                      <w14:textFill>
                        <w14:solidFill>
                          <w14:schemeClr w14:val="tx1"/>
                        </w14:solidFill>
                      </w14:textFill>
                    </w:rPr>
                  </w:pPr>
                </w:p>
              </w:tc>
              <w:tc>
                <w:tcPr>
                  <w:tcW w:w="979" w:type="pct"/>
                  <w:noWrap w:val="0"/>
                  <w:vAlign w:val="center"/>
                </w:tcPr>
                <w:p w14:paraId="2B084693">
                  <w:pPr>
                    <w:pStyle w:val="26"/>
                    <w:rPr>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危险废物贮存间</w:t>
                  </w:r>
                </w:p>
              </w:tc>
              <w:tc>
                <w:tcPr>
                  <w:tcW w:w="1207" w:type="pct"/>
                  <w:noWrap w:val="0"/>
                  <w:vAlign w:val="center"/>
                </w:tcPr>
                <w:p w14:paraId="024525DA">
                  <w:pPr>
                    <w:pStyle w:val="26"/>
                    <w:rPr>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检验室废液、废机油等</w:t>
                  </w:r>
                </w:p>
              </w:tc>
              <w:tc>
                <w:tcPr>
                  <w:tcW w:w="2203" w:type="pct"/>
                  <w:noWrap w:val="0"/>
                  <w:vAlign w:val="center"/>
                </w:tcPr>
                <w:p w14:paraId="0AEE2E9E">
                  <w:pPr>
                    <w:pStyle w:val="26"/>
                    <w:rPr>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包装破损、发生泄漏、造成地表漫流</w:t>
                  </w:r>
                </w:p>
              </w:tc>
            </w:tr>
            <w:tr w14:paraId="0B91B8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9" w:type="pct"/>
                  <w:vMerge w:val="restart"/>
                  <w:noWrap w:val="0"/>
                  <w:vAlign w:val="center"/>
                </w:tcPr>
                <w:p w14:paraId="5CC06C5F">
                  <w:pPr>
                    <w:pStyle w:val="26"/>
                    <w:rPr>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土壤</w:t>
                  </w:r>
                </w:p>
              </w:tc>
              <w:tc>
                <w:tcPr>
                  <w:tcW w:w="979" w:type="pct"/>
                  <w:noWrap w:val="0"/>
                  <w:vAlign w:val="center"/>
                </w:tcPr>
                <w:p w14:paraId="334AD55F">
                  <w:pPr>
                    <w:pStyle w:val="26"/>
                    <w:rPr>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生产过程</w:t>
                  </w:r>
                </w:p>
              </w:tc>
              <w:tc>
                <w:tcPr>
                  <w:tcW w:w="1207" w:type="pct"/>
                  <w:noWrap w:val="0"/>
                  <w:vAlign w:val="center"/>
                </w:tcPr>
                <w:p w14:paraId="6C91204E">
                  <w:pPr>
                    <w:pStyle w:val="26"/>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颗粒物、沥青烟、苯并[a]芘等</w:t>
                  </w:r>
                </w:p>
              </w:tc>
              <w:tc>
                <w:tcPr>
                  <w:tcW w:w="2203" w:type="pct"/>
                  <w:noWrap w:val="0"/>
                  <w:vAlign w:val="center"/>
                </w:tcPr>
                <w:p w14:paraId="441DD2FF">
                  <w:pPr>
                    <w:pStyle w:val="26"/>
                    <w:rPr>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大气沉降</w:t>
                  </w:r>
                </w:p>
              </w:tc>
            </w:tr>
            <w:tr w14:paraId="609894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9" w:type="pct"/>
                  <w:vMerge w:val="continue"/>
                  <w:noWrap w:val="0"/>
                  <w:vAlign w:val="center"/>
                </w:tcPr>
                <w:p w14:paraId="3EB61399">
                  <w:pPr>
                    <w:pStyle w:val="26"/>
                    <w:rPr>
                      <w:color w:val="000000" w:themeColor="text1"/>
                      <w:highlight w:val="none"/>
                      <w:lang w:val="en-US" w:eastAsia="zh-CN"/>
                      <w14:textFill>
                        <w14:solidFill>
                          <w14:schemeClr w14:val="tx1"/>
                        </w14:solidFill>
                      </w14:textFill>
                    </w:rPr>
                  </w:pPr>
                </w:p>
              </w:tc>
              <w:tc>
                <w:tcPr>
                  <w:tcW w:w="979" w:type="pct"/>
                  <w:noWrap w:val="0"/>
                  <w:vAlign w:val="center"/>
                </w:tcPr>
                <w:p w14:paraId="380F54A2">
                  <w:pPr>
                    <w:pStyle w:val="26"/>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原料仓库</w:t>
                  </w:r>
                </w:p>
              </w:tc>
              <w:tc>
                <w:tcPr>
                  <w:tcW w:w="1207" w:type="pct"/>
                  <w:noWrap w:val="0"/>
                  <w:vAlign w:val="center"/>
                </w:tcPr>
                <w:p w14:paraId="678A74FA">
                  <w:pPr>
                    <w:pStyle w:val="26"/>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粘接剂、工业乙醇、沥青</w:t>
                  </w:r>
                </w:p>
              </w:tc>
              <w:tc>
                <w:tcPr>
                  <w:tcW w:w="2203" w:type="pct"/>
                  <w:noWrap w:val="0"/>
                  <w:vAlign w:val="center"/>
                </w:tcPr>
                <w:p w14:paraId="2E6D5490">
                  <w:pPr>
                    <w:pStyle w:val="26"/>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包装破损、发生泄漏、造成地表漫流或土壤沉积</w:t>
                  </w:r>
                </w:p>
              </w:tc>
            </w:tr>
            <w:tr w14:paraId="6D21F9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9" w:type="pct"/>
                  <w:vMerge w:val="continue"/>
                  <w:noWrap w:val="0"/>
                  <w:vAlign w:val="center"/>
                </w:tcPr>
                <w:p w14:paraId="6BB77A33">
                  <w:pPr>
                    <w:pStyle w:val="26"/>
                    <w:rPr>
                      <w:color w:val="000000" w:themeColor="text1"/>
                      <w:highlight w:val="none"/>
                      <w:lang w:val="en-US" w:eastAsia="zh-CN"/>
                      <w14:textFill>
                        <w14:solidFill>
                          <w14:schemeClr w14:val="tx1"/>
                        </w14:solidFill>
                      </w14:textFill>
                    </w:rPr>
                  </w:pPr>
                </w:p>
              </w:tc>
              <w:tc>
                <w:tcPr>
                  <w:tcW w:w="979" w:type="pct"/>
                  <w:noWrap w:val="0"/>
                  <w:vAlign w:val="center"/>
                </w:tcPr>
                <w:p w14:paraId="3CB0BE02">
                  <w:pPr>
                    <w:pStyle w:val="26"/>
                    <w:rPr>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危险废物贮存间</w:t>
                  </w:r>
                </w:p>
              </w:tc>
              <w:tc>
                <w:tcPr>
                  <w:tcW w:w="1207" w:type="pct"/>
                  <w:noWrap w:val="0"/>
                  <w:vAlign w:val="center"/>
                </w:tcPr>
                <w:p w14:paraId="2B23E441">
                  <w:pPr>
                    <w:pStyle w:val="26"/>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检验室废液、废机油等</w:t>
                  </w:r>
                </w:p>
              </w:tc>
              <w:tc>
                <w:tcPr>
                  <w:tcW w:w="2203" w:type="pct"/>
                  <w:noWrap w:val="0"/>
                  <w:vAlign w:val="center"/>
                </w:tcPr>
                <w:p w14:paraId="70085E97">
                  <w:pPr>
                    <w:pStyle w:val="26"/>
                    <w:rPr>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包装破损、发生泄漏、造成地表漫流</w:t>
                  </w:r>
                </w:p>
              </w:tc>
            </w:tr>
          </w:tbl>
          <w:p w14:paraId="6E1E2F03">
            <w:pPr>
              <w:pStyle w:val="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地下水、土壤污染防治措施</w:t>
            </w:r>
          </w:p>
          <w:p w14:paraId="4BCD2D7D">
            <w:pP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为了防止项目污染物渗漏对地下水的污染影响，建设单位要严格落实本次评价提出的污染分区防渗措施。根据《环境影响评价技术导则 地下水环境》（HJ610-2016），地下水污染防渗分区划分为重点防渗区、一般防渗区、简单防渗区，厂区污染防治分区划分参照表情况见</w:t>
            </w:r>
            <w:r>
              <w:rPr>
                <w:rFonts w:hint="eastAsia" w:cs="Times New Roman"/>
                <w:color w:val="000000" w:themeColor="text1"/>
                <w:highlight w:val="none"/>
                <w:lang w:val="en-US" w:eastAsia="zh-CN"/>
                <w14:textFill>
                  <w14:solidFill>
                    <w14:schemeClr w14:val="tx1"/>
                  </w14:solidFill>
                </w14:textFill>
              </w:rPr>
              <w:fldChar w:fldCharType="begin"/>
            </w:r>
            <w:r>
              <w:rPr>
                <w:rFonts w:hint="eastAsia" w:cs="Times New Roman"/>
                <w:color w:val="000000" w:themeColor="text1"/>
                <w:highlight w:val="none"/>
                <w:lang w:val="en-US" w:eastAsia="zh-CN"/>
                <w14:textFill>
                  <w14:solidFill>
                    <w14:schemeClr w14:val="tx1"/>
                  </w14:solidFill>
                </w14:textFill>
              </w:rPr>
              <w:instrText xml:space="preserve"> REF _Ref1271 \n \h </w:instrText>
            </w:r>
            <w:r>
              <w:rPr>
                <w:rFonts w:hint="eastAsia" w:cs="Times New Roman"/>
                <w:color w:val="000000" w:themeColor="text1"/>
                <w:highlight w:val="none"/>
                <w:lang w:val="en-US" w:eastAsia="zh-CN"/>
                <w14:textFill>
                  <w14:solidFill>
                    <w14:schemeClr w14:val="tx1"/>
                  </w14:solidFill>
                </w14:textFill>
              </w:rPr>
              <w:fldChar w:fldCharType="separate"/>
            </w:r>
            <w:r>
              <w:rPr>
                <w:rFonts w:hint="eastAsia" w:cs="Times New Roman"/>
                <w:color w:val="000000" w:themeColor="text1"/>
                <w:highlight w:val="none"/>
                <w:lang w:val="en-US" w:eastAsia="zh-CN"/>
                <w14:textFill>
                  <w14:solidFill>
                    <w14:schemeClr w14:val="tx1"/>
                  </w14:solidFill>
                </w14:textFill>
              </w:rPr>
              <w:t>表4.5-2</w:t>
            </w:r>
            <w:r>
              <w:rPr>
                <w:rFonts w:hint="eastAsia" w:cs="Times New Roman"/>
                <w:color w:val="000000" w:themeColor="text1"/>
                <w:highlight w:val="none"/>
                <w:lang w:val="en-US" w:eastAsia="zh-CN"/>
                <w14:textFill>
                  <w14:solidFill>
                    <w14:schemeClr w14:val="tx1"/>
                  </w14:solidFill>
                </w14:textFill>
              </w:rPr>
              <w:fldChar w:fldCharType="end"/>
            </w: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全厂防渗分区判定结果详见</w: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begin"/>
            </w:r>
            <w:r>
              <w:rPr>
                <w:rFonts w:hint="default" w:ascii="Times New Roman" w:hAnsi="Times New Roman" w:cs="Times New Roman"/>
                <w:color w:val="000000" w:themeColor="text1"/>
                <w:highlight w:val="none"/>
                <w:lang w:val="en-US" w:eastAsia="zh-CN"/>
                <w14:textFill>
                  <w14:solidFill>
                    <w14:schemeClr w14:val="tx1"/>
                  </w14:solidFill>
                </w14:textFill>
              </w:rPr>
              <w:instrText xml:space="preserve"> REF _Ref1307 \n \h </w:instrTex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separate"/>
            </w:r>
            <w:r>
              <w:rPr>
                <w:rFonts w:hint="default" w:ascii="Times New Roman" w:hAnsi="Times New Roman" w:cs="Times New Roman"/>
                <w:color w:val="000000" w:themeColor="text1"/>
                <w:highlight w:val="none"/>
                <w:lang w:val="en-US" w:eastAsia="zh-CN"/>
                <w14:textFill>
                  <w14:solidFill>
                    <w14:schemeClr w14:val="tx1"/>
                  </w14:solidFill>
                </w14:textFill>
              </w:rPr>
              <w:t>表4.5-3</w: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end"/>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分区防渗图详见附图8。</w:t>
            </w:r>
          </w:p>
          <w:p w14:paraId="2F904F78">
            <w:pPr>
              <w:pStyle w:val="30"/>
              <w:numPr>
                <w:ilvl w:val="4"/>
                <w:numId w:val="3"/>
              </w:numPr>
              <w:tabs>
                <w:tab w:val="left" w:pos="0"/>
              </w:tabs>
              <w:bidi w:val="0"/>
              <w:rPr>
                <w:rFonts w:hint="default"/>
                <w:color w:val="000000" w:themeColor="text1"/>
                <w:highlight w:val="none"/>
                <w14:textFill>
                  <w14:solidFill>
                    <w14:schemeClr w14:val="tx1"/>
                  </w14:solidFill>
                </w14:textFill>
              </w:rPr>
            </w:pPr>
            <w:bookmarkStart w:id="248" w:name="_Ref1271"/>
            <w:r>
              <w:rPr>
                <w:rFonts w:hint="default" w:ascii="Times New Roman" w:hAnsi="Times New Roman" w:cs="Times New Roman"/>
                <w:color w:val="000000" w:themeColor="text1"/>
                <w:highlight w:val="none"/>
                <w14:textFill>
                  <w14:solidFill>
                    <w14:schemeClr w14:val="tx1"/>
                  </w14:solidFill>
                </w14:textFill>
              </w:rPr>
              <w:t>防渗分区参照表</w:t>
            </w:r>
            <w:bookmarkEnd w:id="248"/>
          </w:p>
          <w:tbl>
            <w:tblPr>
              <w:tblStyle w:val="1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1563"/>
              <w:gridCol w:w="1470"/>
              <w:gridCol w:w="1548"/>
              <w:gridCol w:w="2592"/>
            </w:tblGrid>
            <w:tr w14:paraId="374D65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66" w:type="pct"/>
                  <w:noWrap w:val="0"/>
                  <w:vAlign w:val="center"/>
                </w:tcPr>
                <w:p w14:paraId="1FF20E1F">
                  <w:pPr>
                    <w:pStyle w:val="2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防渗分区</w:t>
                  </w:r>
                </w:p>
              </w:tc>
              <w:tc>
                <w:tcPr>
                  <w:tcW w:w="922" w:type="pct"/>
                  <w:noWrap w:val="0"/>
                  <w:vAlign w:val="center"/>
                </w:tcPr>
                <w:p w14:paraId="763451EF">
                  <w:pPr>
                    <w:pStyle w:val="2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天然包气带防污性能</w:t>
                  </w:r>
                </w:p>
              </w:tc>
              <w:tc>
                <w:tcPr>
                  <w:tcW w:w="867" w:type="pct"/>
                  <w:noWrap w:val="0"/>
                  <w:vAlign w:val="center"/>
                </w:tcPr>
                <w:p w14:paraId="32552C98">
                  <w:pPr>
                    <w:pStyle w:val="2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污染控制难易程度</w:t>
                  </w:r>
                </w:p>
              </w:tc>
              <w:tc>
                <w:tcPr>
                  <w:tcW w:w="913" w:type="pct"/>
                  <w:noWrap w:val="0"/>
                  <w:vAlign w:val="center"/>
                </w:tcPr>
                <w:p w14:paraId="02128239">
                  <w:pPr>
                    <w:pStyle w:val="2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污染物类型</w:t>
                  </w:r>
                </w:p>
              </w:tc>
              <w:tc>
                <w:tcPr>
                  <w:tcW w:w="1529" w:type="pct"/>
                  <w:noWrap w:val="0"/>
                  <w:vAlign w:val="center"/>
                </w:tcPr>
                <w:p w14:paraId="5AA0A778">
                  <w:pPr>
                    <w:pStyle w:val="2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防渗技术要求</w:t>
                  </w:r>
                </w:p>
              </w:tc>
            </w:tr>
            <w:tr w14:paraId="033B77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66" w:type="pct"/>
                  <w:vMerge w:val="restart"/>
                  <w:noWrap w:val="0"/>
                  <w:vAlign w:val="center"/>
                </w:tcPr>
                <w:p w14:paraId="70FBADDA">
                  <w:pPr>
                    <w:pStyle w:val="2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重点防渗区</w:t>
                  </w:r>
                </w:p>
              </w:tc>
              <w:tc>
                <w:tcPr>
                  <w:tcW w:w="922" w:type="pct"/>
                  <w:noWrap w:val="0"/>
                  <w:vAlign w:val="center"/>
                </w:tcPr>
                <w:p w14:paraId="787007A9">
                  <w:pPr>
                    <w:pStyle w:val="2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弱</w:t>
                  </w:r>
                </w:p>
              </w:tc>
              <w:tc>
                <w:tcPr>
                  <w:tcW w:w="867" w:type="pct"/>
                  <w:noWrap w:val="0"/>
                  <w:vAlign w:val="center"/>
                </w:tcPr>
                <w:p w14:paraId="33FBB054">
                  <w:pPr>
                    <w:pStyle w:val="2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难</w:t>
                  </w:r>
                </w:p>
              </w:tc>
              <w:tc>
                <w:tcPr>
                  <w:tcW w:w="913" w:type="pct"/>
                  <w:vMerge w:val="restart"/>
                  <w:noWrap w:val="0"/>
                  <w:vAlign w:val="center"/>
                </w:tcPr>
                <w:p w14:paraId="03939F94">
                  <w:pPr>
                    <w:pStyle w:val="2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重金属、持久性有机污染物</w:t>
                  </w:r>
                </w:p>
              </w:tc>
              <w:tc>
                <w:tcPr>
                  <w:tcW w:w="1529" w:type="pct"/>
                  <w:vMerge w:val="restart"/>
                  <w:noWrap w:val="0"/>
                  <w:vAlign w:val="center"/>
                </w:tcPr>
                <w:p w14:paraId="4E540CE6">
                  <w:pPr>
                    <w:pStyle w:val="2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等效黏土防渗层Mb≥6.0m，K≤1×10</w:t>
                  </w:r>
                  <w:r>
                    <w:rPr>
                      <w:rFonts w:hint="default" w:ascii="Times New Roman" w:hAnsi="Times New Roman" w:cs="Times New Roman"/>
                      <w:color w:val="000000" w:themeColor="text1"/>
                      <w:highlight w:val="none"/>
                      <w:vertAlign w:val="superscript"/>
                      <w14:textFill>
                        <w14:solidFill>
                          <w14:schemeClr w14:val="tx1"/>
                        </w14:solidFill>
                      </w14:textFill>
                    </w:rPr>
                    <w:t>-7</w:t>
                  </w:r>
                  <w:r>
                    <w:rPr>
                      <w:rFonts w:hint="default" w:ascii="Times New Roman" w:hAnsi="Times New Roman" w:cs="Times New Roman"/>
                      <w:color w:val="000000" w:themeColor="text1"/>
                      <w:highlight w:val="none"/>
                      <w14:textFill>
                        <w14:solidFill>
                          <w14:schemeClr w14:val="tx1"/>
                        </w14:solidFill>
                      </w14:textFill>
                    </w:rPr>
                    <w:t>cm/s，或参照GB18598执行</w:t>
                  </w:r>
                </w:p>
              </w:tc>
            </w:tr>
            <w:tr w14:paraId="53C128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66" w:type="pct"/>
                  <w:vMerge w:val="continue"/>
                  <w:noWrap w:val="0"/>
                  <w:vAlign w:val="center"/>
                </w:tcPr>
                <w:p w14:paraId="5FDD243F">
                  <w:pPr>
                    <w:pStyle w:val="26"/>
                    <w:bidi w:val="0"/>
                    <w:rPr>
                      <w:rFonts w:hint="default" w:ascii="Times New Roman" w:hAnsi="Times New Roman" w:cs="Times New Roman"/>
                      <w:color w:val="000000" w:themeColor="text1"/>
                      <w:highlight w:val="none"/>
                      <w14:textFill>
                        <w14:solidFill>
                          <w14:schemeClr w14:val="tx1"/>
                        </w14:solidFill>
                      </w14:textFill>
                    </w:rPr>
                  </w:pPr>
                </w:p>
              </w:tc>
              <w:tc>
                <w:tcPr>
                  <w:tcW w:w="922" w:type="pct"/>
                  <w:noWrap w:val="0"/>
                  <w:vAlign w:val="center"/>
                </w:tcPr>
                <w:p w14:paraId="0A7EE7BF">
                  <w:pPr>
                    <w:pStyle w:val="2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中-强</w:t>
                  </w:r>
                </w:p>
              </w:tc>
              <w:tc>
                <w:tcPr>
                  <w:tcW w:w="867" w:type="pct"/>
                  <w:noWrap w:val="0"/>
                  <w:vAlign w:val="center"/>
                </w:tcPr>
                <w:p w14:paraId="6308BD58">
                  <w:pPr>
                    <w:pStyle w:val="2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难</w:t>
                  </w:r>
                </w:p>
              </w:tc>
              <w:tc>
                <w:tcPr>
                  <w:tcW w:w="913" w:type="pct"/>
                  <w:vMerge w:val="continue"/>
                  <w:noWrap w:val="0"/>
                  <w:vAlign w:val="center"/>
                </w:tcPr>
                <w:p w14:paraId="6AFE823F">
                  <w:pPr>
                    <w:pStyle w:val="26"/>
                    <w:bidi w:val="0"/>
                    <w:rPr>
                      <w:rFonts w:hint="default" w:ascii="Times New Roman" w:hAnsi="Times New Roman" w:cs="Times New Roman"/>
                      <w:color w:val="000000" w:themeColor="text1"/>
                      <w:highlight w:val="none"/>
                      <w14:textFill>
                        <w14:solidFill>
                          <w14:schemeClr w14:val="tx1"/>
                        </w14:solidFill>
                      </w14:textFill>
                    </w:rPr>
                  </w:pPr>
                </w:p>
              </w:tc>
              <w:tc>
                <w:tcPr>
                  <w:tcW w:w="1529" w:type="pct"/>
                  <w:vMerge w:val="continue"/>
                  <w:noWrap w:val="0"/>
                  <w:vAlign w:val="center"/>
                </w:tcPr>
                <w:p w14:paraId="24661034">
                  <w:pPr>
                    <w:pStyle w:val="26"/>
                    <w:bidi w:val="0"/>
                    <w:rPr>
                      <w:rFonts w:hint="default" w:ascii="Times New Roman" w:hAnsi="Times New Roman" w:cs="Times New Roman"/>
                      <w:color w:val="000000" w:themeColor="text1"/>
                      <w:highlight w:val="none"/>
                      <w14:textFill>
                        <w14:solidFill>
                          <w14:schemeClr w14:val="tx1"/>
                        </w14:solidFill>
                      </w14:textFill>
                    </w:rPr>
                  </w:pPr>
                </w:p>
              </w:tc>
            </w:tr>
            <w:tr w14:paraId="5EBB64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66" w:type="pct"/>
                  <w:vMerge w:val="continue"/>
                  <w:noWrap w:val="0"/>
                  <w:vAlign w:val="center"/>
                </w:tcPr>
                <w:p w14:paraId="61C4FECF">
                  <w:pPr>
                    <w:pStyle w:val="26"/>
                    <w:bidi w:val="0"/>
                    <w:rPr>
                      <w:rFonts w:hint="default" w:ascii="Times New Roman" w:hAnsi="Times New Roman" w:cs="Times New Roman"/>
                      <w:color w:val="000000" w:themeColor="text1"/>
                      <w:highlight w:val="none"/>
                      <w14:textFill>
                        <w14:solidFill>
                          <w14:schemeClr w14:val="tx1"/>
                        </w14:solidFill>
                      </w14:textFill>
                    </w:rPr>
                  </w:pPr>
                </w:p>
              </w:tc>
              <w:tc>
                <w:tcPr>
                  <w:tcW w:w="922" w:type="pct"/>
                  <w:noWrap w:val="0"/>
                  <w:vAlign w:val="center"/>
                </w:tcPr>
                <w:p w14:paraId="32148241">
                  <w:pPr>
                    <w:pStyle w:val="2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弱</w:t>
                  </w:r>
                </w:p>
              </w:tc>
              <w:tc>
                <w:tcPr>
                  <w:tcW w:w="867" w:type="pct"/>
                  <w:noWrap w:val="0"/>
                  <w:vAlign w:val="center"/>
                </w:tcPr>
                <w:p w14:paraId="485DE422">
                  <w:pPr>
                    <w:pStyle w:val="2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易</w:t>
                  </w:r>
                </w:p>
              </w:tc>
              <w:tc>
                <w:tcPr>
                  <w:tcW w:w="913" w:type="pct"/>
                  <w:vMerge w:val="continue"/>
                  <w:noWrap w:val="0"/>
                  <w:vAlign w:val="center"/>
                </w:tcPr>
                <w:p w14:paraId="26DBCAEF">
                  <w:pPr>
                    <w:pStyle w:val="26"/>
                    <w:bidi w:val="0"/>
                    <w:rPr>
                      <w:rFonts w:hint="default" w:ascii="Times New Roman" w:hAnsi="Times New Roman" w:cs="Times New Roman"/>
                      <w:color w:val="000000" w:themeColor="text1"/>
                      <w:highlight w:val="none"/>
                      <w14:textFill>
                        <w14:solidFill>
                          <w14:schemeClr w14:val="tx1"/>
                        </w14:solidFill>
                      </w14:textFill>
                    </w:rPr>
                  </w:pPr>
                </w:p>
              </w:tc>
              <w:tc>
                <w:tcPr>
                  <w:tcW w:w="1529" w:type="pct"/>
                  <w:vMerge w:val="continue"/>
                  <w:noWrap w:val="0"/>
                  <w:vAlign w:val="center"/>
                </w:tcPr>
                <w:p w14:paraId="236B2B24">
                  <w:pPr>
                    <w:pStyle w:val="26"/>
                    <w:bidi w:val="0"/>
                    <w:rPr>
                      <w:rFonts w:hint="default" w:ascii="Times New Roman" w:hAnsi="Times New Roman" w:cs="Times New Roman"/>
                      <w:color w:val="000000" w:themeColor="text1"/>
                      <w:highlight w:val="none"/>
                      <w14:textFill>
                        <w14:solidFill>
                          <w14:schemeClr w14:val="tx1"/>
                        </w14:solidFill>
                      </w14:textFill>
                    </w:rPr>
                  </w:pPr>
                </w:p>
              </w:tc>
            </w:tr>
            <w:tr w14:paraId="643EA2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66" w:type="pct"/>
                  <w:vMerge w:val="restart"/>
                  <w:noWrap w:val="0"/>
                  <w:vAlign w:val="center"/>
                </w:tcPr>
                <w:p w14:paraId="14AE6AB2">
                  <w:pPr>
                    <w:pStyle w:val="2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一般防渗区</w:t>
                  </w:r>
                </w:p>
              </w:tc>
              <w:tc>
                <w:tcPr>
                  <w:tcW w:w="922" w:type="pct"/>
                  <w:noWrap w:val="0"/>
                  <w:vAlign w:val="center"/>
                </w:tcPr>
                <w:p w14:paraId="080F9577">
                  <w:pPr>
                    <w:pStyle w:val="2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弱</w:t>
                  </w:r>
                </w:p>
              </w:tc>
              <w:tc>
                <w:tcPr>
                  <w:tcW w:w="867" w:type="pct"/>
                  <w:noWrap w:val="0"/>
                  <w:vAlign w:val="center"/>
                </w:tcPr>
                <w:p w14:paraId="6CD4E8E3">
                  <w:pPr>
                    <w:pStyle w:val="2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易-难</w:t>
                  </w:r>
                </w:p>
              </w:tc>
              <w:tc>
                <w:tcPr>
                  <w:tcW w:w="913" w:type="pct"/>
                  <w:vMerge w:val="restart"/>
                  <w:noWrap w:val="0"/>
                  <w:vAlign w:val="center"/>
                </w:tcPr>
                <w:p w14:paraId="62F2BE98">
                  <w:pPr>
                    <w:pStyle w:val="2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其他类型</w:t>
                  </w:r>
                </w:p>
              </w:tc>
              <w:tc>
                <w:tcPr>
                  <w:tcW w:w="1529" w:type="pct"/>
                  <w:vMerge w:val="restart"/>
                  <w:noWrap w:val="0"/>
                  <w:vAlign w:val="center"/>
                </w:tcPr>
                <w:p w14:paraId="3B0EC18D">
                  <w:pPr>
                    <w:pStyle w:val="2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等效黏土防渗层Mb≥1.5m，K≤1×10</w:t>
                  </w:r>
                  <w:r>
                    <w:rPr>
                      <w:rFonts w:hint="default" w:ascii="Times New Roman" w:hAnsi="Times New Roman" w:cs="Times New Roman"/>
                      <w:color w:val="000000" w:themeColor="text1"/>
                      <w:highlight w:val="none"/>
                      <w:vertAlign w:val="superscript"/>
                      <w14:textFill>
                        <w14:solidFill>
                          <w14:schemeClr w14:val="tx1"/>
                        </w14:solidFill>
                      </w14:textFill>
                    </w:rPr>
                    <w:t>-7</w:t>
                  </w:r>
                  <w:r>
                    <w:rPr>
                      <w:rFonts w:hint="default" w:ascii="Times New Roman" w:hAnsi="Times New Roman" w:cs="Times New Roman"/>
                      <w:color w:val="000000" w:themeColor="text1"/>
                      <w:highlight w:val="none"/>
                      <w14:textFill>
                        <w14:solidFill>
                          <w14:schemeClr w14:val="tx1"/>
                        </w14:solidFill>
                      </w14:textFill>
                    </w:rPr>
                    <w:t>cm/s，或参照GB16889执行</w:t>
                  </w:r>
                </w:p>
              </w:tc>
            </w:tr>
            <w:tr w14:paraId="5647AD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66" w:type="pct"/>
                  <w:vMerge w:val="continue"/>
                  <w:noWrap w:val="0"/>
                  <w:vAlign w:val="center"/>
                </w:tcPr>
                <w:p w14:paraId="1783F12F">
                  <w:pPr>
                    <w:pStyle w:val="26"/>
                    <w:bidi w:val="0"/>
                    <w:rPr>
                      <w:rFonts w:hint="default" w:ascii="Times New Roman" w:hAnsi="Times New Roman" w:cs="Times New Roman"/>
                      <w:color w:val="000000" w:themeColor="text1"/>
                      <w:highlight w:val="none"/>
                      <w14:textFill>
                        <w14:solidFill>
                          <w14:schemeClr w14:val="tx1"/>
                        </w14:solidFill>
                      </w14:textFill>
                    </w:rPr>
                  </w:pPr>
                </w:p>
              </w:tc>
              <w:tc>
                <w:tcPr>
                  <w:tcW w:w="922" w:type="pct"/>
                  <w:noWrap w:val="0"/>
                  <w:vAlign w:val="center"/>
                </w:tcPr>
                <w:p w14:paraId="3E0D95C8">
                  <w:pPr>
                    <w:pStyle w:val="2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中-强</w:t>
                  </w:r>
                </w:p>
              </w:tc>
              <w:tc>
                <w:tcPr>
                  <w:tcW w:w="867" w:type="pct"/>
                  <w:noWrap w:val="0"/>
                  <w:vAlign w:val="center"/>
                </w:tcPr>
                <w:p w14:paraId="4C16C26C">
                  <w:pPr>
                    <w:pStyle w:val="2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难</w:t>
                  </w:r>
                </w:p>
              </w:tc>
              <w:tc>
                <w:tcPr>
                  <w:tcW w:w="913" w:type="pct"/>
                  <w:vMerge w:val="continue"/>
                  <w:noWrap w:val="0"/>
                  <w:vAlign w:val="center"/>
                </w:tcPr>
                <w:p w14:paraId="76FDE49B">
                  <w:pPr>
                    <w:pStyle w:val="26"/>
                    <w:bidi w:val="0"/>
                    <w:rPr>
                      <w:rFonts w:hint="default" w:ascii="Times New Roman" w:hAnsi="Times New Roman" w:cs="Times New Roman"/>
                      <w:color w:val="000000" w:themeColor="text1"/>
                      <w:highlight w:val="none"/>
                      <w14:textFill>
                        <w14:solidFill>
                          <w14:schemeClr w14:val="tx1"/>
                        </w14:solidFill>
                      </w14:textFill>
                    </w:rPr>
                  </w:pPr>
                </w:p>
              </w:tc>
              <w:tc>
                <w:tcPr>
                  <w:tcW w:w="1529" w:type="pct"/>
                  <w:vMerge w:val="continue"/>
                  <w:noWrap w:val="0"/>
                  <w:vAlign w:val="center"/>
                </w:tcPr>
                <w:p w14:paraId="0982FF03">
                  <w:pPr>
                    <w:pStyle w:val="26"/>
                    <w:bidi w:val="0"/>
                    <w:rPr>
                      <w:rFonts w:hint="default" w:ascii="Times New Roman" w:hAnsi="Times New Roman" w:cs="Times New Roman"/>
                      <w:color w:val="000000" w:themeColor="text1"/>
                      <w:highlight w:val="none"/>
                      <w14:textFill>
                        <w14:solidFill>
                          <w14:schemeClr w14:val="tx1"/>
                        </w14:solidFill>
                      </w14:textFill>
                    </w:rPr>
                  </w:pPr>
                </w:p>
              </w:tc>
            </w:tr>
            <w:tr w14:paraId="1A747E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66" w:type="pct"/>
                  <w:vMerge w:val="continue"/>
                  <w:noWrap w:val="0"/>
                  <w:vAlign w:val="center"/>
                </w:tcPr>
                <w:p w14:paraId="7678C044">
                  <w:pPr>
                    <w:pStyle w:val="26"/>
                    <w:bidi w:val="0"/>
                    <w:rPr>
                      <w:rFonts w:hint="default" w:ascii="Times New Roman" w:hAnsi="Times New Roman" w:cs="Times New Roman"/>
                      <w:color w:val="000000" w:themeColor="text1"/>
                      <w:highlight w:val="none"/>
                      <w14:textFill>
                        <w14:solidFill>
                          <w14:schemeClr w14:val="tx1"/>
                        </w14:solidFill>
                      </w14:textFill>
                    </w:rPr>
                  </w:pPr>
                </w:p>
              </w:tc>
              <w:tc>
                <w:tcPr>
                  <w:tcW w:w="922" w:type="pct"/>
                  <w:noWrap w:val="0"/>
                  <w:vAlign w:val="center"/>
                </w:tcPr>
                <w:p w14:paraId="78A6BA84">
                  <w:pPr>
                    <w:pStyle w:val="2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中</w:t>
                  </w:r>
                </w:p>
              </w:tc>
              <w:tc>
                <w:tcPr>
                  <w:tcW w:w="867" w:type="pct"/>
                  <w:noWrap w:val="0"/>
                  <w:vAlign w:val="center"/>
                </w:tcPr>
                <w:p w14:paraId="16C408FB">
                  <w:pPr>
                    <w:pStyle w:val="2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易</w:t>
                  </w:r>
                </w:p>
              </w:tc>
              <w:tc>
                <w:tcPr>
                  <w:tcW w:w="913" w:type="pct"/>
                  <w:vMerge w:val="restart"/>
                  <w:noWrap w:val="0"/>
                  <w:vAlign w:val="center"/>
                </w:tcPr>
                <w:p w14:paraId="1EB4817F">
                  <w:pPr>
                    <w:pStyle w:val="2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重金属、持久性有机污染物</w:t>
                  </w:r>
                </w:p>
              </w:tc>
              <w:tc>
                <w:tcPr>
                  <w:tcW w:w="1529" w:type="pct"/>
                  <w:vMerge w:val="continue"/>
                  <w:noWrap w:val="0"/>
                  <w:vAlign w:val="center"/>
                </w:tcPr>
                <w:p w14:paraId="023C9C88">
                  <w:pPr>
                    <w:pStyle w:val="26"/>
                    <w:bidi w:val="0"/>
                    <w:rPr>
                      <w:rFonts w:hint="default" w:ascii="Times New Roman" w:hAnsi="Times New Roman" w:cs="Times New Roman"/>
                      <w:color w:val="000000" w:themeColor="text1"/>
                      <w:highlight w:val="none"/>
                      <w14:textFill>
                        <w14:solidFill>
                          <w14:schemeClr w14:val="tx1"/>
                        </w14:solidFill>
                      </w14:textFill>
                    </w:rPr>
                  </w:pPr>
                </w:p>
              </w:tc>
            </w:tr>
            <w:tr w14:paraId="64D221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66" w:type="pct"/>
                  <w:vMerge w:val="continue"/>
                  <w:noWrap w:val="0"/>
                  <w:vAlign w:val="center"/>
                </w:tcPr>
                <w:p w14:paraId="7E27E059">
                  <w:pPr>
                    <w:pStyle w:val="26"/>
                    <w:bidi w:val="0"/>
                    <w:rPr>
                      <w:rFonts w:hint="default" w:ascii="Times New Roman" w:hAnsi="Times New Roman" w:cs="Times New Roman"/>
                      <w:color w:val="000000" w:themeColor="text1"/>
                      <w:highlight w:val="none"/>
                      <w14:textFill>
                        <w14:solidFill>
                          <w14:schemeClr w14:val="tx1"/>
                        </w14:solidFill>
                      </w14:textFill>
                    </w:rPr>
                  </w:pPr>
                </w:p>
              </w:tc>
              <w:tc>
                <w:tcPr>
                  <w:tcW w:w="922" w:type="pct"/>
                  <w:noWrap w:val="0"/>
                  <w:vAlign w:val="center"/>
                </w:tcPr>
                <w:p w14:paraId="740F0388">
                  <w:pPr>
                    <w:pStyle w:val="2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强</w:t>
                  </w:r>
                </w:p>
              </w:tc>
              <w:tc>
                <w:tcPr>
                  <w:tcW w:w="867" w:type="pct"/>
                  <w:noWrap w:val="0"/>
                  <w:vAlign w:val="center"/>
                </w:tcPr>
                <w:p w14:paraId="00DBC8E2">
                  <w:pPr>
                    <w:pStyle w:val="2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易</w:t>
                  </w:r>
                </w:p>
              </w:tc>
              <w:tc>
                <w:tcPr>
                  <w:tcW w:w="913" w:type="pct"/>
                  <w:vMerge w:val="continue"/>
                  <w:noWrap w:val="0"/>
                  <w:vAlign w:val="center"/>
                </w:tcPr>
                <w:p w14:paraId="5F0EC8A2">
                  <w:pPr>
                    <w:pStyle w:val="26"/>
                    <w:bidi w:val="0"/>
                    <w:rPr>
                      <w:rFonts w:hint="default" w:ascii="Times New Roman" w:hAnsi="Times New Roman" w:cs="Times New Roman"/>
                      <w:color w:val="000000" w:themeColor="text1"/>
                      <w:highlight w:val="none"/>
                      <w14:textFill>
                        <w14:solidFill>
                          <w14:schemeClr w14:val="tx1"/>
                        </w14:solidFill>
                      </w14:textFill>
                    </w:rPr>
                  </w:pPr>
                </w:p>
              </w:tc>
              <w:tc>
                <w:tcPr>
                  <w:tcW w:w="1529" w:type="pct"/>
                  <w:vMerge w:val="continue"/>
                  <w:noWrap w:val="0"/>
                  <w:vAlign w:val="center"/>
                </w:tcPr>
                <w:p w14:paraId="7F19BED4">
                  <w:pPr>
                    <w:pStyle w:val="26"/>
                    <w:bidi w:val="0"/>
                    <w:rPr>
                      <w:rFonts w:hint="default" w:ascii="Times New Roman" w:hAnsi="Times New Roman" w:cs="Times New Roman"/>
                      <w:color w:val="000000" w:themeColor="text1"/>
                      <w:highlight w:val="none"/>
                      <w14:textFill>
                        <w14:solidFill>
                          <w14:schemeClr w14:val="tx1"/>
                        </w14:solidFill>
                      </w14:textFill>
                    </w:rPr>
                  </w:pPr>
                </w:p>
              </w:tc>
            </w:tr>
            <w:tr w14:paraId="35595A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66" w:type="pct"/>
                  <w:noWrap w:val="0"/>
                  <w:vAlign w:val="center"/>
                </w:tcPr>
                <w:p w14:paraId="2038425F">
                  <w:pPr>
                    <w:pStyle w:val="2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简单防渗区</w:t>
                  </w:r>
                </w:p>
              </w:tc>
              <w:tc>
                <w:tcPr>
                  <w:tcW w:w="922" w:type="pct"/>
                  <w:noWrap w:val="0"/>
                  <w:vAlign w:val="center"/>
                </w:tcPr>
                <w:p w14:paraId="035442F9">
                  <w:pPr>
                    <w:pStyle w:val="2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中-强</w:t>
                  </w:r>
                </w:p>
              </w:tc>
              <w:tc>
                <w:tcPr>
                  <w:tcW w:w="867" w:type="pct"/>
                  <w:noWrap w:val="0"/>
                  <w:vAlign w:val="center"/>
                </w:tcPr>
                <w:p w14:paraId="78A2FFAE">
                  <w:pPr>
                    <w:pStyle w:val="2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易</w:t>
                  </w:r>
                </w:p>
              </w:tc>
              <w:tc>
                <w:tcPr>
                  <w:tcW w:w="913" w:type="pct"/>
                  <w:noWrap w:val="0"/>
                  <w:vAlign w:val="center"/>
                </w:tcPr>
                <w:p w14:paraId="658FCE39">
                  <w:pPr>
                    <w:pStyle w:val="2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其他类型</w:t>
                  </w:r>
                </w:p>
              </w:tc>
              <w:tc>
                <w:tcPr>
                  <w:tcW w:w="1529" w:type="pct"/>
                  <w:noWrap w:val="0"/>
                  <w:vAlign w:val="center"/>
                </w:tcPr>
                <w:p w14:paraId="45C96EC4">
                  <w:pPr>
                    <w:pStyle w:val="2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一般地面硬化</w:t>
                  </w:r>
                </w:p>
              </w:tc>
            </w:tr>
          </w:tbl>
          <w:p w14:paraId="6E6E99BC">
            <w:pPr>
              <w:pStyle w:val="30"/>
              <w:bidi w:val="0"/>
              <w:rPr>
                <w:rFonts w:hint="default"/>
                <w:color w:val="000000" w:themeColor="text1"/>
                <w:highlight w:val="none"/>
                <w:lang w:val="en-US" w:eastAsia="zh-CN"/>
                <w14:textFill>
                  <w14:solidFill>
                    <w14:schemeClr w14:val="tx1"/>
                  </w14:solidFill>
                </w14:textFill>
              </w:rPr>
            </w:pPr>
            <w:bookmarkStart w:id="249" w:name="_Ref1307"/>
            <w:bookmarkEnd w:id="249"/>
            <w:bookmarkStart w:id="250" w:name="_Ref869"/>
            <w:r>
              <w:rPr>
                <w:rFonts w:hint="default" w:ascii="Times New Roman" w:hAnsi="Times New Roman" w:cs="Times New Roman"/>
                <w:color w:val="000000" w:themeColor="text1"/>
                <w:highlight w:val="none"/>
                <w:lang w:val="en-US" w:eastAsia="zh-CN"/>
                <w14:textFill>
                  <w14:solidFill>
                    <w14:schemeClr w14:val="tx1"/>
                  </w14:solidFill>
                </w14:textFill>
              </w:rPr>
              <w:t>厂区防渗分区一览表</w:t>
            </w:r>
            <w:bookmarkEnd w:id="250"/>
          </w:p>
          <w:tbl>
            <w:tblPr>
              <w:tblStyle w:val="1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1830"/>
              <w:gridCol w:w="886"/>
              <w:gridCol w:w="1184"/>
              <w:gridCol w:w="1156"/>
              <w:gridCol w:w="1350"/>
              <w:gridCol w:w="1338"/>
            </w:tblGrid>
            <w:tr w14:paraId="544FBD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428" w:type="pct"/>
                  <w:noWrap w:val="0"/>
                  <w:vAlign w:val="center"/>
                </w:tcPr>
                <w:p w14:paraId="06F884F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序号</w:t>
                  </w:r>
                </w:p>
              </w:tc>
              <w:tc>
                <w:tcPr>
                  <w:tcW w:w="1080" w:type="pct"/>
                  <w:noWrap w:val="0"/>
                  <w:vAlign w:val="center"/>
                </w:tcPr>
                <w:p w14:paraId="30159E1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判定内容</w:t>
                  </w:r>
                </w:p>
              </w:tc>
              <w:tc>
                <w:tcPr>
                  <w:tcW w:w="523" w:type="pct"/>
                  <w:noWrap w:val="0"/>
                  <w:vAlign w:val="center"/>
                </w:tcPr>
                <w:p w14:paraId="0579F80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天然包气带防污性能</w:t>
                  </w:r>
                </w:p>
              </w:tc>
              <w:tc>
                <w:tcPr>
                  <w:tcW w:w="699" w:type="pct"/>
                  <w:noWrap w:val="0"/>
                  <w:vAlign w:val="center"/>
                </w:tcPr>
                <w:p w14:paraId="652B751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污染控制难易程度</w:t>
                  </w:r>
                </w:p>
              </w:tc>
              <w:tc>
                <w:tcPr>
                  <w:tcW w:w="682" w:type="pct"/>
                  <w:noWrap w:val="0"/>
                  <w:vAlign w:val="center"/>
                </w:tcPr>
                <w:p w14:paraId="629B3E9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污染物类型</w:t>
                  </w:r>
                </w:p>
              </w:tc>
              <w:tc>
                <w:tcPr>
                  <w:tcW w:w="797" w:type="pct"/>
                  <w:noWrap w:val="0"/>
                  <w:vAlign w:val="center"/>
                </w:tcPr>
                <w:p w14:paraId="4A93603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判定结果</w:t>
                  </w:r>
                </w:p>
              </w:tc>
              <w:tc>
                <w:tcPr>
                  <w:tcW w:w="789" w:type="pct"/>
                  <w:noWrap w:val="0"/>
                  <w:vAlign w:val="center"/>
                </w:tcPr>
                <w:p w14:paraId="3A2E6C5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防渗区域</w:t>
                  </w:r>
                </w:p>
              </w:tc>
            </w:tr>
            <w:tr w14:paraId="066199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8" w:type="pct"/>
                  <w:noWrap w:val="0"/>
                  <w:vAlign w:val="center"/>
                </w:tcPr>
                <w:p w14:paraId="3AB1DA8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w:t>
                  </w:r>
                </w:p>
              </w:tc>
              <w:tc>
                <w:tcPr>
                  <w:tcW w:w="1080" w:type="pct"/>
                  <w:noWrap w:val="0"/>
                  <w:vAlign w:val="center"/>
                </w:tcPr>
                <w:p w14:paraId="075F31F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危险废物贮存间</w:t>
                  </w:r>
                </w:p>
              </w:tc>
              <w:tc>
                <w:tcPr>
                  <w:tcW w:w="523" w:type="pct"/>
                  <w:noWrap w:val="0"/>
                  <w:vAlign w:val="center"/>
                </w:tcPr>
                <w:p w14:paraId="546D4A7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中</w:t>
                  </w:r>
                </w:p>
              </w:tc>
              <w:tc>
                <w:tcPr>
                  <w:tcW w:w="699" w:type="pct"/>
                  <w:noWrap w:val="0"/>
                  <w:vAlign w:val="center"/>
                </w:tcPr>
                <w:p w14:paraId="08CC91A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难</w:t>
                  </w:r>
                </w:p>
              </w:tc>
              <w:tc>
                <w:tcPr>
                  <w:tcW w:w="682" w:type="pct"/>
                  <w:noWrap w:val="0"/>
                  <w:vAlign w:val="center"/>
                </w:tcPr>
                <w:p w14:paraId="55FE658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持久性有机污染物</w:t>
                  </w:r>
                </w:p>
              </w:tc>
              <w:tc>
                <w:tcPr>
                  <w:tcW w:w="797" w:type="pct"/>
                  <w:noWrap w:val="0"/>
                  <w:vAlign w:val="center"/>
                </w:tcPr>
                <w:p w14:paraId="07E84B1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重点防渗</w:t>
                  </w:r>
                </w:p>
              </w:tc>
              <w:tc>
                <w:tcPr>
                  <w:tcW w:w="789" w:type="pct"/>
                  <w:noWrap w:val="0"/>
                  <w:vAlign w:val="center"/>
                </w:tcPr>
                <w:p w14:paraId="69909D4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地面、墙体</w:t>
                  </w:r>
                </w:p>
              </w:tc>
            </w:tr>
            <w:tr w14:paraId="20A764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8" w:type="pct"/>
                  <w:noWrap w:val="0"/>
                  <w:vAlign w:val="center"/>
                </w:tcPr>
                <w:p w14:paraId="0EF9532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w:t>
                  </w:r>
                </w:p>
              </w:tc>
              <w:tc>
                <w:tcPr>
                  <w:tcW w:w="1080" w:type="pct"/>
                  <w:noWrap w:val="0"/>
                  <w:vAlign w:val="center"/>
                </w:tcPr>
                <w:p w14:paraId="760A627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一般工业固体废物贮存间</w:t>
                  </w:r>
                </w:p>
              </w:tc>
              <w:tc>
                <w:tcPr>
                  <w:tcW w:w="523" w:type="pct"/>
                  <w:noWrap w:val="0"/>
                  <w:vAlign w:val="center"/>
                </w:tcPr>
                <w:p w14:paraId="7E66EF3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中</w:t>
                  </w:r>
                </w:p>
              </w:tc>
              <w:tc>
                <w:tcPr>
                  <w:tcW w:w="699" w:type="pct"/>
                  <w:noWrap w:val="0"/>
                  <w:vAlign w:val="center"/>
                </w:tcPr>
                <w:p w14:paraId="4D0A2A4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易</w:t>
                  </w:r>
                </w:p>
              </w:tc>
              <w:tc>
                <w:tcPr>
                  <w:tcW w:w="682" w:type="pct"/>
                  <w:vMerge w:val="restart"/>
                  <w:noWrap w:val="0"/>
                  <w:vAlign w:val="center"/>
                </w:tcPr>
                <w:p w14:paraId="036FA07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持久性有机污染物</w:t>
                  </w:r>
                </w:p>
              </w:tc>
              <w:tc>
                <w:tcPr>
                  <w:tcW w:w="797" w:type="pct"/>
                  <w:vMerge w:val="restart"/>
                  <w:noWrap w:val="0"/>
                  <w:vAlign w:val="center"/>
                </w:tcPr>
                <w:p w14:paraId="010D3F0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一般防渗区</w:t>
                  </w:r>
                </w:p>
              </w:tc>
              <w:tc>
                <w:tcPr>
                  <w:tcW w:w="789" w:type="pct"/>
                  <w:vMerge w:val="restart"/>
                  <w:noWrap w:val="0"/>
                  <w:vAlign w:val="center"/>
                </w:tcPr>
                <w:p w14:paraId="3C48AF7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地面</w:t>
                  </w:r>
                </w:p>
              </w:tc>
            </w:tr>
            <w:tr w14:paraId="261E6E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8" w:type="pct"/>
                  <w:noWrap w:val="0"/>
                  <w:vAlign w:val="center"/>
                </w:tcPr>
                <w:p w14:paraId="5FC1C39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w:t>
                  </w:r>
                </w:p>
              </w:tc>
              <w:tc>
                <w:tcPr>
                  <w:tcW w:w="1080" w:type="pct"/>
                  <w:noWrap w:val="0"/>
                  <w:vAlign w:val="center"/>
                </w:tcPr>
                <w:p w14:paraId="56808E6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1#车间、3#车间</w:t>
                  </w:r>
                </w:p>
              </w:tc>
              <w:tc>
                <w:tcPr>
                  <w:tcW w:w="523" w:type="pct"/>
                  <w:noWrap w:val="0"/>
                  <w:vAlign w:val="center"/>
                </w:tcPr>
                <w:p w14:paraId="704B88E7">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中</w:t>
                  </w:r>
                </w:p>
              </w:tc>
              <w:tc>
                <w:tcPr>
                  <w:tcW w:w="699" w:type="pct"/>
                  <w:noWrap w:val="0"/>
                  <w:vAlign w:val="center"/>
                </w:tcPr>
                <w:p w14:paraId="75C41B05">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易</w:t>
                  </w:r>
                </w:p>
              </w:tc>
              <w:tc>
                <w:tcPr>
                  <w:tcW w:w="682" w:type="pct"/>
                  <w:vMerge w:val="continue"/>
                  <w:noWrap w:val="0"/>
                  <w:vAlign w:val="center"/>
                </w:tcPr>
                <w:p w14:paraId="32C45FA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797" w:type="pct"/>
                  <w:vMerge w:val="continue"/>
                  <w:noWrap w:val="0"/>
                  <w:vAlign w:val="center"/>
                </w:tcPr>
                <w:p w14:paraId="35E8424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789" w:type="pct"/>
                  <w:vMerge w:val="continue"/>
                  <w:noWrap w:val="0"/>
                  <w:vAlign w:val="center"/>
                </w:tcPr>
                <w:p w14:paraId="4DF8447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r>
            <w:tr w14:paraId="3D4663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8" w:type="pct"/>
                  <w:noWrap w:val="0"/>
                  <w:vAlign w:val="center"/>
                </w:tcPr>
                <w:p w14:paraId="772D194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w:t>
                  </w:r>
                </w:p>
              </w:tc>
              <w:tc>
                <w:tcPr>
                  <w:tcW w:w="1080" w:type="pct"/>
                  <w:noWrap w:val="0"/>
                  <w:vAlign w:val="center"/>
                </w:tcPr>
                <w:p w14:paraId="01EB5FF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其他区域</w:t>
                  </w:r>
                </w:p>
              </w:tc>
              <w:tc>
                <w:tcPr>
                  <w:tcW w:w="523" w:type="pct"/>
                  <w:noWrap w:val="0"/>
                  <w:vAlign w:val="center"/>
                </w:tcPr>
                <w:p w14:paraId="326B396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中</w:t>
                  </w:r>
                </w:p>
              </w:tc>
              <w:tc>
                <w:tcPr>
                  <w:tcW w:w="699" w:type="pct"/>
                  <w:noWrap w:val="0"/>
                  <w:vAlign w:val="center"/>
                </w:tcPr>
                <w:p w14:paraId="6711395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易</w:t>
                  </w:r>
                </w:p>
              </w:tc>
              <w:tc>
                <w:tcPr>
                  <w:tcW w:w="682" w:type="pct"/>
                  <w:noWrap w:val="0"/>
                  <w:vAlign w:val="center"/>
                </w:tcPr>
                <w:p w14:paraId="275CC4F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其他类型</w:t>
                  </w:r>
                </w:p>
              </w:tc>
              <w:tc>
                <w:tcPr>
                  <w:tcW w:w="797" w:type="pct"/>
                  <w:noWrap w:val="0"/>
                  <w:vAlign w:val="center"/>
                </w:tcPr>
                <w:p w14:paraId="7C0170F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简单防渗区</w:t>
                  </w:r>
                </w:p>
              </w:tc>
              <w:tc>
                <w:tcPr>
                  <w:tcW w:w="789" w:type="pct"/>
                  <w:noWrap w:val="0"/>
                  <w:vAlign w:val="center"/>
                </w:tcPr>
                <w:p w14:paraId="240A6E2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地面</w:t>
                  </w:r>
                </w:p>
              </w:tc>
            </w:tr>
          </w:tbl>
          <w:p w14:paraId="5331AA1E">
            <w:pPr>
              <w:rPr>
                <w:rFonts w:hint="default" w:ascii="Times New Roman" w:hAnsi="Times New Roman" w:cs="Times New Roman"/>
                <w:b/>
                <w:bCs/>
                <w:color w:val="000000" w:themeColor="text1"/>
                <w:highlight w:val="none"/>
                <w:lang w:val="en-US" w:eastAsia="zh-CN"/>
                <w14:textFill>
                  <w14:solidFill>
                    <w14:schemeClr w14:val="tx1"/>
                  </w14:solidFill>
                </w14:textFill>
              </w:rPr>
            </w:pPr>
            <w:r>
              <w:rPr>
                <w:rFonts w:hint="default" w:ascii="Times New Roman" w:hAnsi="Times New Roman" w:cs="Times New Roman"/>
                <w:b/>
                <w:bCs/>
                <w:color w:val="000000" w:themeColor="text1"/>
                <w:highlight w:val="none"/>
                <w:lang w:val="en-US" w:eastAsia="zh-CN"/>
                <w14:textFill>
                  <w14:solidFill>
                    <w14:schemeClr w14:val="tx1"/>
                  </w14:solidFill>
                </w14:textFill>
              </w:rPr>
              <w:t>防渗要求如下：</w:t>
            </w:r>
          </w:p>
          <w:p w14:paraId="1300F283">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A.重点防渗区</w:t>
            </w:r>
          </w:p>
          <w:p w14:paraId="3373B1EC">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指</w:t>
            </w:r>
            <w:r>
              <w:rPr>
                <w:rFonts w:hint="default" w:ascii="Times New Roman" w:hAnsi="Times New Roman" w:eastAsia="宋体" w:cs="Times New Roman"/>
                <w:color w:val="000000" w:themeColor="text1"/>
                <w:highlight w:val="none"/>
                <w:lang w:val="en-US" w:eastAsia="zh-CN"/>
                <w14:textFill>
                  <w14:solidFill>
                    <w14:schemeClr w14:val="tx1"/>
                  </w14:solidFill>
                </w14:textFill>
              </w:rPr>
              <w:t>污染地下水环境的物料泄漏后，不容易被及时发现和处理的区域。本项目重点污染防治区主要包括危险废物贮存间。</w:t>
            </w:r>
          </w:p>
          <w:p w14:paraId="6BE3074D">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重点污染区防渗要求：参照《危险废物贮存污染控制标准》（GB18597-2023）《危险废物污染防治技术政策》等危险废物处理的相关标准、法律法规的要求进行设计，防渗层为至少1m厚黏土层（渗透系数≤10</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-7</w:t>
            </w:r>
            <w:r>
              <w:rPr>
                <w:rFonts w:hint="default" w:ascii="Times New Roman" w:hAnsi="Times New Roman" w:cs="Times New Roman"/>
                <w:color w:val="000000" w:themeColor="text1"/>
                <w:highlight w:val="none"/>
                <w:lang w:val="en-US" w:eastAsia="zh-CN"/>
                <w14:textFill>
                  <w14:solidFill>
                    <w14:schemeClr w14:val="tx1"/>
                  </w14:solidFill>
                </w14:textFill>
              </w:rPr>
              <w:t>cm/s），或2mm厚高密度聚氯乙烯，或至少2mm厚的其它人工材料，渗透系数≤10</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-10</w:t>
            </w:r>
            <w:r>
              <w:rPr>
                <w:rFonts w:hint="default" w:ascii="Times New Roman" w:hAnsi="Times New Roman" w:cs="Times New Roman"/>
                <w:color w:val="000000" w:themeColor="text1"/>
                <w:highlight w:val="none"/>
                <w:lang w:val="en-US" w:eastAsia="zh-CN"/>
                <w14:textFill>
                  <w14:solidFill>
                    <w14:schemeClr w14:val="tx1"/>
                  </w14:solidFill>
                </w14:textFill>
              </w:rPr>
              <w:t>cm/s。</w:t>
            </w:r>
          </w:p>
          <w:p w14:paraId="387E2D23">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B.一般防渗区</w:t>
            </w:r>
          </w:p>
          <w:p w14:paraId="77904BA9">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指裸露于地面的生产功能单元，污染地下水环境的物料泄漏后，容易被及时发现和处理的区域。本项目主要</w:t>
            </w:r>
            <w:r>
              <w:rPr>
                <w:rFonts w:hint="default" w:ascii="Times New Roman" w:hAnsi="Times New Roman" w:eastAsia="宋体" w:cs="Times New Roman"/>
                <w:color w:val="000000" w:themeColor="text1"/>
                <w:highlight w:val="none"/>
                <w:lang w:val="en-US" w:eastAsia="zh-CN"/>
                <w14:textFill>
                  <w14:solidFill>
                    <w14:schemeClr w14:val="tx1"/>
                  </w14:solidFill>
                </w14:textFill>
              </w:rPr>
              <w:t>包括一般工业固体废物贮存间、</w:t>
            </w:r>
            <w:r>
              <w:rPr>
                <w:rFonts w:hint="eastAsia" w:eastAsia="宋体" w:cs="Times New Roman"/>
                <w:color w:val="000000" w:themeColor="text1"/>
                <w:highlight w:val="none"/>
                <w:lang w:val="en-US" w:eastAsia="zh-CN"/>
                <w14:textFill>
                  <w14:solidFill>
                    <w14:schemeClr w14:val="tx1"/>
                  </w14:solidFill>
                </w14:textFill>
              </w:rPr>
              <w:t>生产车间等区域</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14:paraId="320FF55A">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对于一般污染防治区，参照《一般工业固体废物贮存和填埋场污染控制标准》（GB18599-2020）Ⅱ类场进行设计。</w:t>
            </w:r>
          </w:p>
          <w:p w14:paraId="32D8CEC2">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一般污染区防渗要求：人工合成材料应采用高密度聚乙烯膜，厚度不小于1.5 mm，并满足GB/T17643规定的技术指标要求。采用其他人工合成材料的，其防渗性能至少相当于1.5 mm高密度聚乙烯膜的防渗性能。粘土衬层厚度应不小于0.75 m，且经压实、人工改性等措施处理后的饱和渗透系数不应大于1.0×10</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-7</w:t>
            </w:r>
            <w:r>
              <w:rPr>
                <w:rFonts w:hint="default" w:ascii="Times New Roman" w:hAnsi="Times New Roman" w:cs="Times New Roman"/>
                <w:color w:val="000000" w:themeColor="text1"/>
                <w:highlight w:val="none"/>
                <w:lang w:val="en-US" w:eastAsia="zh-CN"/>
                <w14:textFill>
                  <w14:solidFill>
                    <w14:schemeClr w14:val="tx1"/>
                  </w14:solidFill>
                </w14:textFill>
              </w:rPr>
              <w:t>cm/s。使用其他粘土类防渗衬层材料时，应具有同等以上隔水效力。</w:t>
            </w:r>
          </w:p>
          <w:p w14:paraId="28541905">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C.简单防渗区</w:t>
            </w:r>
          </w:p>
          <w:p w14:paraId="11F06CAB">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指不会对地下水环境造成污染的区域，如</w:t>
            </w:r>
            <w:r>
              <w:rPr>
                <w:rFonts w:hint="eastAsia" w:cs="Times New Roman"/>
                <w:color w:val="000000" w:themeColor="text1"/>
                <w:highlight w:val="none"/>
                <w:lang w:val="en-US" w:eastAsia="zh-CN"/>
                <w14:textFill>
                  <w14:solidFill>
                    <w14:schemeClr w14:val="tx1"/>
                  </w14:solidFill>
                </w14:textFill>
              </w:rPr>
              <w:t>办公、生活</w:t>
            </w:r>
            <w:r>
              <w:rPr>
                <w:rFonts w:hint="default" w:ascii="Times New Roman" w:hAnsi="Times New Roman" w:cs="Times New Roman"/>
                <w:color w:val="000000" w:themeColor="text1"/>
                <w:highlight w:val="none"/>
                <w:lang w:val="en-US" w:eastAsia="zh-CN"/>
                <w14:textFill>
                  <w14:solidFill>
                    <w14:schemeClr w14:val="tx1"/>
                  </w14:solidFill>
                </w14:textFill>
              </w:rPr>
              <w:t>等其他区域。对于基本上不产生污染物的非污染防治区，不采取专门针对地下水污染的防治措施，但装置区外系统管廊区地基处理应分层压实。</w:t>
            </w:r>
          </w:p>
          <w:p w14:paraId="6E058150">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为保证防渗工程正常施工、运行，达到设计防渗等级，应对工程质量进行管理控制：</w:t>
            </w:r>
          </w:p>
          <w:p w14:paraId="26EDF8CE">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a.选择具有相应资质的设计单位对工程进行设计，防渗工程的设计符合相应要求及设计规范；</w:t>
            </w:r>
          </w:p>
          <w:p w14:paraId="11542D09">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b.工程材料符合设计要求，并按照有关规定和要求进行质量检验，保证使用材料全部合格；</w:t>
            </w:r>
          </w:p>
          <w:p w14:paraId="7BABD962">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c.聘请优秀专业施工队伍，施工方法符合规范要求；</w:t>
            </w:r>
          </w:p>
          <w:p w14:paraId="2FB4F319">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d.工程完工后应进行质量检测；</w:t>
            </w:r>
          </w:p>
          <w:p w14:paraId="3DFEC15B">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e.在防渗措施投入使用后，应加强日常的维护管理。</w:t>
            </w:r>
          </w:p>
          <w:p w14:paraId="17A765E0">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综上所述，采取分区防渗等措施后，对土壤及地下水环境影响较小，防治措施可行。</w:t>
            </w:r>
          </w:p>
          <w:p w14:paraId="5D05B222">
            <w:pPr>
              <w:pStyle w:val="2"/>
              <w:bidi w:val="0"/>
              <w:rPr>
                <w:rFonts w:hint="default"/>
                <w:color w:val="000000" w:themeColor="text1"/>
                <w:highlight w:val="none"/>
                <w:lang w:val="en-US" w:eastAsia="zh-CN"/>
                <w14:textFill>
                  <w14:solidFill>
                    <w14:schemeClr w14:val="tx1"/>
                  </w14:solidFill>
                </w14:textFill>
              </w:rPr>
            </w:pPr>
            <w:bookmarkStart w:id="251" w:name="_Toc29962"/>
            <w:r>
              <w:rPr>
                <w:rFonts w:hint="default"/>
                <w:color w:val="000000" w:themeColor="text1"/>
                <w:highlight w:val="none"/>
                <w:lang w:val="en-US" w:eastAsia="zh-CN"/>
                <w14:textFill>
                  <w14:solidFill>
                    <w14:schemeClr w14:val="tx1"/>
                  </w14:solidFill>
                </w14:textFill>
              </w:rPr>
              <w:t>生态环境影响分析</w:t>
            </w:r>
            <w:bookmarkEnd w:id="251"/>
          </w:p>
          <w:p w14:paraId="3072CFFC">
            <w:pP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本项目3#车间、综合楼为已建建筑，1#车间现状为空地，1#车间土建施工由租赁方（福建中禾新材料有限公司）负责，项目属于租赁出租方</w:t>
            </w:r>
            <w:r>
              <w:rPr>
                <w:rFonts w:hint="default"/>
                <w:color w:val="000000" w:themeColor="text1"/>
                <w:highlight w:val="none"/>
                <w:lang w:val="en-US" w:eastAsia="zh-CN"/>
                <w14:textFill>
                  <w14:solidFill>
                    <w14:schemeClr w14:val="tx1"/>
                  </w14:solidFill>
                </w14:textFill>
              </w:rPr>
              <w:t>已建</w:t>
            </w:r>
            <w:r>
              <w:rPr>
                <w:rFonts w:hint="eastAsia"/>
                <w:color w:val="000000" w:themeColor="text1"/>
                <w:highlight w:val="none"/>
                <w:lang w:val="en-US" w:eastAsia="zh-CN"/>
                <w14:textFill>
                  <w14:solidFill>
                    <w14:schemeClr w14:val="tx1"/>
                  </w14:solidFill>
                </w14:textFill>
              </w:rPr>
              <w:t>的</w:t>
            </w:r>
            <w:r>
              <w:rPr>
                <w:rFonts w:hint="default"/>
                <w:color w:val="000000" w:themeColor="text1"/>
                <w:highlight w:val="none"/>
                <w:lang w:val="en-US" w:eastAsia="zh-CN"/>
                <w14:textFill>
                  <w14:solidFill>
                    <w14:schemeClr w14:val="tx1"/>
                  </w14:solidFill>
                </w14:textFill>
              </w:rPr>
              <w:t>空置厂房进行建设，</w:t>
            </w:r>
            <w:r>
              <w:rPr>
                <w:rFonts w:hint="eastAsia"/>
                <w:color w:val="000000" w:themeColor="text1"/>
                <w:highlight w:val="none"/>
                <w:lang w:val="en-US" w:eastAsia="zh-CN"/>
                <w14:textFill>
                  <w14:solidFill>
                    <w14:schemeClr w14:val="tx1"/>
                  </w14:solidFill>
                </w14:textFill>
              </w:rPr>
              <w:t>不涉及土建施工，</w:t>
            </w:r>
            <w:r>
              <w:rPr>
                <w:rFonts w:hint="default"/>
                <w:color w:val="000000" w:themeColor="text1"/>
                <w:highlight w:val="none"/>
                <w:lang w:val="en-US" w:eastAsia="zh-CN"/>
                <w14:textFill>
                  <w14:solidFill>
                    <w14:schemeClr w14:val="tx1"/>
                  </w14:solidFill>
                </w14:textFill>
              </w:rPr>
              <w:t>施工期活动主要为设备安装，对周边生态环境影响很小</w:t>
            </w:r>
            <w:r>
              <w:rPr>
                <w:rFonts w:hint="eastAsia"/>
                <w:color w:val="000000" w:themeColor="text1"/>
                <w:highlight w:val="none"/>
                <w:lang w:val="en-US" w:eastAsia="zh-CN"/>
                <w14:textFill>
                  <w14:solidFill>
                    <w14:schemeClr w14:val="tx1"/>
                  </w14:solidFill>
                </w14:textFill>
              </w:rPr>
              <w:t>。</w:t>
            </w:r>
          </w:p>
          <w:p w14:paraId="2A6D2B43">
            <w:pPr>
              <w:pStyle w:val="2"/>
              <w:numPr>
                <w:ilvl w:val="1"/>
                <w:numId w:val="3"/>
              </w:numPr>
              <w:tabs>
                <w:tab w:val="left" w:pos="420"/>
              </w:tabs>
              <w:bidi w:val="0"/>
              <w:rPr>
                <w:rFonts w:hint="default"/>
                <w:color w:val="000000" w:themeColor="text1"/>
                <w:highlight w:val="none"/>
                <w:lang w:val="en-US" w:eastAsia="zh-CN"/>
                <w14:textFill>
                  <w14:solidFill>
                    <w14:schemeClr w14:val="tx1"/>
                  </w14:solidFill>
                </w14:textFill>
              </w:rPr>
            </w:pPr>
            <w:bookmarkStart w:id="252" w:name="_Toc26438"/>
            <w:r>
              <w:rPr>
                <w:rFonts w:hint="eastAsia"/>
                <w:color w:val="000000" w:themeColor="text1"/>
                <w:highlight w:val="none"/>
                <w:lang w:val="en-US" w:eastAsia="zh-CN"/>
                <w14:textFill>
                  <w14:solidFill>
                    <w14:schemeClr w14:val="tx1"/>
                  </w14:solidFill>
                </w14:textFill>
              </w:rPr>
              <w:t>环境风险分析</w:t>
            </w:r>
            <w:bookmarkEnd w:id="252"/>
          </w:p>
          <w:p w14:paraId="61B333D2">
            <w:pPr>
              <w:pStyle w:val="3"/>
              <w:bidi w:val="0"/>
              <w:rPr>
                <w:rFonts w:hint="default"/>
                <w:color w:val="000000" w:themeColor="text1"/>
                <w:highlight w:val="none"/>
                <w:lang w:val="en-US" w:eastAsia="zh-CN"/>
                <w14:textFill>
                  <w14:solidFill>
                    <w14:schemeClr w14:val="tx1"/>
                  </w14:solidFill>
                </w14:textFill>
              </w:rPr>
            </w:pPr>
            <w:bookmarkStart w:id="253" w:name="_Toc2755"/>
            <w:bookmarkStart w:id="254" w:name="_Toc2415"/>
            <w:r>
              <w:rPr>
                <w:rFonts w:hint="eastAsia"/>
                <w:color w:val="000000" w:themeColor="text1"/>
                <w:highlight w:val="none"/>
                <w14:textFill>
                  <w14:solidFill>
                    <w14:schemeClr w14:val="tx1"/>
                  </w14:solidFill>
                </w14:textFill>
              </w:rPr>
              <w:t>风险源分析</w:t>
            </w:r>
            <w:bookmarkEnd w:id="253"/>
            <w:bookmarkEnd w:id="254"/>
          </w:p>
          <w:p w14:paraId="1EA8C66C">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（1）风险潜势初判</w:t>
            </w:r>
          </w:p>
          <w:p w14:paraId="5FA02C0C">
            <w:pPr>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对照《建设项目环境风险评价技术导则》（HJ169-2018）附录B，本项目涉及的风险物质有废矿物油；对照《企业突发环境事件风险分级方法》（HJ941-2018）中的附录A，本项目原辅材料使用的工业乙醇属于“第四部分 </w:t>
            </w:r>
            <w:r>
              <w:rPr>
                <w:rFonts w:hint="eastAsia"/>
                <w:iCs/>
                <w:color w:val="000000" w:themeColor="text1"/>
                <w:highlight w:val="none"/>
                <w:lang w:val="en-US" w:eastAsia="zh-CN"/>
                <w14:textFill>
                  <w14:solidFill>
                    <w14:schemeClr w14:val="tx1"/>
                  </w14:solidFill>
                </w14:textFill>
              </w:rPr>
              <w:t>易燃液态物质</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项目风险源储存量及成分一览表</w:t>
            </w:r>
          </w:p>
          <w:p w14:paraId="79CDD3B1">
            <w:pPr>
              <w:pStyle w:val="30"/>
              <w:bidi w:val="0"/>
              <w:rPr>
                <w:rFonts w:hint="eastAsia"/>
                <w:color w:val="000000" w:themeColor="text1"/>
                <w:highlight w:val="none"/>
                <w:lang w:val="en-US" w:eastAsia="zh-CN"/>
                <w14:textFill>
                  <w14:solidFill>
                    <w14:schemeClr w14:val="tx1"/>
                  </w14:solidFill>
                </w14:textFill>
              </w:rPr>
            </w:pPr>
            <w:bookmarkStart w:id="255" w:name="_Ref12586"/>
            <w:r>
              <w:rPr>
                <w:rFonts w:hint="eastAsia"/>
                <w:color w:val="000000" w:themeColor="text1"/>
                <w:highlight w:val="none"/>
                <w14:textFill>
                  <w14:solidFill>
                    <w14:schemeClr w14:val="tx1"/>
                  </w14:solidFill>
                </w14:textFill>
              </w:rPr>
              <w:t>项目风险源储存量及成分一览表</w:t>
            </w:r>
            <w:bookmarkEnd w:id="255"/>
          </w:p>
          <w:p w14:paraId="1667AE36">
            <w:pPr>
              <w:jc w:val="center"/>
              <w:rPr>
                <w:rFonts w:hint="eastAsia"/>
                <w:lang w:val="en-US" w:eastAsia="zh-CN"/>
              </w:rPr>
            </w:pPr>
            <w:r>
              <w:rPr>
                <w:rFonts w:hint="eastAsia"/>
                <w:b/>
                <w:bCs/>
                <w:color w:val="FF0000"/>
                <w:sz w:val="36"/>
                <w:szCs w:val="36"/>
                <w:highlight w:val="yellow"/>
                <w:lang w:val="en-US" w:eastAsia="zh-CN"/>
              </w:rPr>
              <w:t>涉密，删除</w:t>
            </w:r>
          </w:p>
          <w:p w14:paraId="27125663">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（2）风险等级判定</w:t>
            </w:r>
          </w:p>
          <w:p w14:paraId="111249C0">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根据《建设项目环境风险评价技术导则》（HJ169-2018）附录B对应的临界量，计算所涉及的每种危险物质在厂区最大存在总量与其比值Q，在不同厂区的同一种物质，按其在厂界内的最大存在总量计算。</w:t>
            </w:r>
          </w:p>
          <w:p w14:paraId="090B0D0D">
            <w:pPr>
              <w:ind w:firstLine="480"/>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当只涉及一种危险物质时，计算该物质的总量与其临界量比值，即为Q；</w:t>
            </w:r>
          </w:p>
          <w:p w14:paraId="7087C632">
            <w:pPr>
              <w:ind w:firstLine="480"/>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当存在多种危险物质时，则按下式计算物质数量与其临界量比值（Q）：</w:t>
            </w:r>
          </w:p>
          <w:p w14:paraId="73BD4100">
            <w:pPr>
              <w:ind w:firstLine="480"/>
              <w:jc w:val="center"/>
              <w:rPr>
                <w:bCs/>
                <w:color w:val="000000" w:themeColor="text1"/>
                <w:highlight w:val="none"/>
                <w14:textFill>
                  <w14:solidFill>
                    <w14:schemeClr w14:val="tx1"/>
                  </w14:solidFill>
                </w14:textFill>
              </w:rPr>
            </w:pPr>
            <w:r>
              <w:rPr>
                <w:bCs/>
                <w:color w:val="000000" w:themeColor="text1"/>
                <w:position w:val="-30"/>
                <w:highlight w:val="none"/>
                <w14:textFill>
                  <w14:solidFill>
                    <w14:schemeClr w14:val="tx1"/>
                  </w14:solidFill>
                </w14:textFill>
              </w:rPr>
              <w:object>
                <v:shape id="_x0000_i1036" o:spt="75" type="#_x0000_t75" style="height:33.8pt;width:112.05pt;" o:ole="t" filled="f" o:preferrelative="t" stroked="f" coordsize="21600,21600">
                  <v:path/>
                  <v:fill on="f" focussize="0,0"/>
                  <v:stroke on="f"/>
                  <v:imagedata r:id="rId55" o:title=""/>
                  <o:lock v:ext="edit" aspectratio="t"/>
                  <w10:wrap type="none"/>
                  <w10:anchorlock/>
                </v:shape>
                <o:OLEObject Type="Embed" ProgID="Equation.3" ShapeID="_x0000_i1036" DrawAspect="Content" ObjectID="_1468075736" r:id="rId54">
                  <o:LockedField>false</o:LockedField>
                </o:OLEObject>
              </w:object>
            </w:r>
          </w:p>
          <w:p w14:paraId="6CA8B0C3">
            <w:pPr>
              <w:ind w:firstLine="480"/>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式中：q</w:t>
            </w:r>
            <w:r>
              <w:rPr>
                <w:bCs/>
                <w:color w:val="000000" w:themeColor="text1"/>
                <w:highlight w:val="none"/>
                <w:vertAlign w:val="subscript"/>
                <w14:textFill>
                  <w14:solidFill>
                    <w14:schemeClr w14:val="tx1"/>
                  </w14:solidFill>
                </w14:textFill>
              </w:rPr>
              <w:t>1</w:t>
            </w:r>
            <w:r>
              <w:rPr>
                <w:bCs/>
                <w:color w:val="000000" w:themeColor="text1"/>
                <w:highlight w:val="none"/>
                <w14:textFill>
                  <w14:solidFill>
                    <w14:schemeClr w14:val="tx1"/>
                  </w14:solidFill>
                </w14:textFill>
              </w:rPr>
              <w:t>，q</w:t>
            </w:r>
            <w:r>
              <w:rPr>
                <w:bCs/>
                <w:color w:val="000000" w:themeColor="text1"/>
                <w:highlight w:val="none"/>
                <w:vertAlign w:val="subscript"/>
                <w14:textFill>
                  <w14:solidFill>
                    <w14:schemeClr w14:val="tx1"/>
                  </w14:solidFill>
                </w14:textFill>
              </w:rPr>
              <w:t>2</w:t>
            </w:r>
            <w:r>
              <w:rPr>
                <w:bCs/>
                <w:color w:val="000000" w:themeColor="text1"/>
                <w:highlight w:val="none"/>
                <w14:textFill>
                  <w14:solidFill>
                    <w14:schemeClr w14:val="tx1"/>
                  </w14:solidFill>
                </w14:textFill>
              </w:rPr>
              <w:t>，…，q</w:t>
            </w:r>
            <w:r>
              <w:rPr>
                <w:bCs/>
                <w:color w:val="000000" w:themeColor="text1"/>
                <w:highlight w:val="none"/>
                <w:vertAlign w:val="subscript"/>
                <w14:textFill>
                  <w14:solidFill>
                    <w14:schemeClr w14:val="tx1"/>
                  </w14:solidFill>
                </w14:textFill>
              </w:rPr>
              <w:t>n——</w:t>
            </w:r>
            <w:r>
              <w:rPr>
                <w:bCs/>
                <w:color w:val="000000" w:themeColor="text1"/>
                <w:highlight w:val="none"/>
                <w14:textFill>
                  <w14:solidFill>
                    <w14:schemeClr w14:val="tx1"/>
                  </w14:solidFill>
                </w14:textFill>
              </w:rPr>
              <w:t>为每种环境风险物质的存在量，t；</w:t>
            </w:r>
          </w:p>
          <w:p w14:paraId="31DF1617">
            <w:pPr>
              <w:ind w:firstLine="1200" w:firstLineChars="500"/>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Q</w:t>
            </w:r>
            <w:r>
              <w:rPr>
                <w:bCs/>
                <w:color w:val="000000" w:themeColor="text1"/>
                <w:highlight w:val="none"/>
                <w:vertAlign w:val="subscript"/>
                <w14:textFill>
                  <w14:solidFill>
                    <w14:schemeClr w14:val="tx1"/>
                  </w14:solidFill>
                </w14:textFill>
              </w:rPr>
              <w:t>1</w:t>
            </w:r>
            <w:r>
              <w:rPr>
                <w:bCs/>
                <w:color w:val="000000" w:themeColor="text1"/>
                <w:highlight w:val="none"/>
                <w14:textFill>
                  <w14:solidFill>
                    <w14:schemeClr w14:val="tx1"/>
                  </w14:solidFill>
                </w14:textFill>
              </w:rPr>
              <w:t>，Q</w:t>
            </w:r>
            <w:r>
              <w:rPr>
                <w:bCs/>
                <w:color w:val="000000" w:themeColor="text1"/>
                <w:highlight w:val="none"/>
                <w:vertAlign w:val="subscript"/>
                <w14:textFill>
                  <w14:solidFill>
                    <w14:schemeClr w14:val="tx1"/>
                  </w14:solidFill>
                </w14:textFill>
              </w:rPr>
              <w:t>2</w:t>
            </w:r>
            <w:r>
              <w:rPr>
                <w:bCs/>
                <w:color w:val="000000" w:themeColor="text1"/>
                <w:highlight w:val="none"/>
                <w14:textFill>
                  <w14:solidFill>
                    <w14:schemeClr w14:val="tx1"/>
                  </w14:solidFill>
                </w14:textFill>
              </w:rPr>
              <w:t>，…，Q</w:t>
            </w:r>
            <w:r>
              <w:rPr>
                <w:bCs/>
                <w:color w:val="000000" w:themeColor="text1"/>
                <w:highlight w:val="none"/>
                <w:vertAlign w:val="subscript"/>
                <w14:textFill>
                  <w14:solidFill>
                    <w14:schemeClr w14:val="tx1"/>
                  </w14:solidFill>
                </w14:textFill>
              </w:rPr>
              <w:t>n——</w:t>
            </w:r>
            <w:r>
              <w:rPr>
                <w:bCs/>
                <w:color w:val="000000" w:themeColor="text1"/>
                <w:highlight w:val="none"/>
                <w14:textFill>
                  <w14:solidFill>
                    <w14:schemeClr w14:val="tx1"/>
                  </w14:solidFill>
                </w14:textFill>
              </w:rPr>
              <w:t>为每种环境风险物质的临界量，t。</w:t>
            </w:r>
          </w:p>
          <w:p w14:paraId="145D140C">
            <w:pPr>
              <w:ind w:firstLine="1200" w:firstLineChars="5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当Q＜1时，该项目环境风险潜势为Ⅰ。</w:t>
            </w:r>
          </w:p>
          <w:p w14:paraId="21978DBF">
            <w:pPr>
              <w:ind w:firstLine="1200" w:firstLineChars="500"/>
              <w:rPr>
                <w:rFonts w:hint="eastAsia"/>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当Q≥1时，将Q值划分为：（1）1≤Q＜10；（2）10≤Q＜100；（3）Q≥100。</w:t>
            </w:r>
          </w:p>
          <w:p w14:paraId="1CE8750E">
            <w:pPr>
              <w:rPr>
                <w:rFonts w:hint="eastAsia"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项目全厂涉及的</w:t>
            </w:r>
            <w:r>
              <w:rPr>
                <w:rFonts w:hint="eastAsia"/>
                <w:color w:val="000000" w:themeColor="text1"/>
                <w:highlight w:val="none"/>
                <w14:textFill>
                  <w14:solidFill>
                    <w14:schemeClr w14:val="tx1"/>
                  </w14:solidFill>
                </w14:textFill>
              </w:rPr>
              <w:t>风险</w:t>
            </w:r>
            <w:r>
              <w:rPr>
                <w:color w:val="000000" w:themeColor="text1"/>
                <w:highlight w:val="none"/>
                <w14:textFill>
                  <w14:solidFill>
                    <w14:schemeClr w14:val="tx1"/>
                  </w14:solidFill>
                </w14:textFill>
              </w:rPr>
              <w:t>物质Q值计算见</w:t>
            </w:r>
            <w:r>
              <w:rPr>
                <w:rFonts w:hint="default"/>
                <w:color w:val="000000" w:themeColor="text1"/>
                <w:highlight w:val="none"/>
                <w:lang w:val="en-US"/>
                <w14:textFill>
                  <w14:solidFill>
                    <w14:schemeClr w14:val="tx1"/>
                  </w14:solidFill>
                </w14:textFill>
              </w:rPr>
              <w:fldChar w:fldCharType="begin"/>
            </w:r>
            <w:r>
              <w:rPr>
                <w:rFonts w:hint="default"/>
                <w:color w:val="000000" w:themeColor="text1"/>
                <w:highlight w:val="none"/>
                <w:lang w:val="en-US"/>
                <w14:textFill>
                  <w14:solidFill>
                    <w14:schemeClr w14:val="tx1"/>
                  </w14:solidFill>
                </w14:textFill>
              </w:rPr>
              <w:instrText xml:space="preserve"> REF _Ref12541 \n \h </w:instrText>
            </w:r>
            <w:r>
              <w:rPr>
                <w:rFonts w:hint="default"/>
                <w:color w:val="000000" w:themeColor="text1"/>
                <w:highlight w:val="none"/>
                <w:lang w:val="en-US"/>
                <w14:textFill>
                  <w14:solidFill>
                    <w14:schemeClr w14:val="tx1"/>
                  </w14:solidFill>
                </w14:textFill>
              </w:rPr>
              <w:fldChar w:fldCharType="separate"/>
            </w:r>
            <w:r>
              <w:rPr>
                <w:rFonts w:hint="default"/>
                <w:color w:val="000000" w:themeColor="text1"/>
                <w:highlight w:val="none"/>
                <w:lang w:val="en-US"/>
                <w14:textFill>
                  <w14:solidFill>
                    <w14:schemeClr w14:val="tx1"/>
                  </w14:solidFill>
                </w14:textFill>
              </w:rPr>
              <w:t>表4.7-2</w:t>
            </w:r>
            <w:r>
              <w:rPr>
                <w:rFonts w:hint="default"/>
                <w:color w:val="000000" w:themeColor="text1"/>
                <w:highlight w:val="none"/>
                <w:lang w:val="en-US"/>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w:t>
            </w:r>
          </w:p>
          <w:p w14:paraId="216F73C4">
            <w:pPr>
              <w:pStyle w:val="30"/>
              <w:bidi w:val="0"/>
              <w:rPr>
                <w:rFonts w:hint="eastAsia"/>
                <w:color w:val="000000" w:themeColor="text1"/>
                <w:highlight w:val="none"/>
                <w:lang w:val="en-US" w:eastAsia="zh-CN"/>
                <w14:textFill>
                  <w14:solidFill>
                    <w14:schemeClr w14:val="tx1"/>
                  </w14:solidFill>
                </w14:textFill>
              </w:rPr>
            </w:pPr>
            <w:bookmarkStart w:id="256" w:name="_Ref12541"/>
            <w:r>
              <w:rPr>
                <w:rFonts w:hint="eastAsia"/>
                <w:color w:val="000000" w:themeColor="text1"/>
                <w:highlight w:val="none"/>
                <w14:textFill>
                  <w14:solidFill>
                    <w14:schemeClr w14:val="tx1"/>
                  </w14:solidFill>
                </w14:textFill>
              </w:rPr>
              <w:t>项目风险物质与临界量比值一览表</w:t>
            </w:r>
            <w:bookmarkEnd w:id="256"/>
          </w:p>
          <w:p w14:paraId="7358D438">
            <w:pPr>
              <w:jc w:val="center"/>
              <w:rPr>
                <w:rFonts w:hint="eastAsia"/>
                <w:lang w:val="en-US" w:eastAsia="zh-CN"/>
              </w:rPr>
            </w:pPr>
            <w:r>
              <w:rPr>
                <w:rFonts w:hint="eastAsia"/>
                <w:b/>
                <w:bCs/>
                <w:color w:val="FF0000"/>
                <w:sz w:val="36"/>
                <w:szCs w:val="36"/>
                <w:highlight w:val="yellow"/>
                <w:lang w:val="en-US" w:eastAsia="zh-CN"/>
              </w:rPr>
              <w:t>涉密，删除</w:t>
            </w:r>
          </w:p>
          <w:p w14:paraId="61BA29DF">
            <w:pPr>
              <w:rPr>
                <w:rFonts w:hint="eastAsia"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环境风险评价工作等级划分为一级、二级、三级。根据建设项目涉及的物质及工艺系统危险性和所在地的环境敏感性确定环境风险潜势。评价工作等级确定表具体见</w:t>
            </w:r>
            <w:r>
              <w:rPr>
                <w:rFonts w:hint="default"/>
                <w:color w:val="000000" w:themeColor="text1"/>
                <w:highlight w:val="none"/>
                <w:lang w:val="en-US"/>
                <w14:textFill>
                  <w14:solidFill>
                    <w14:schemeClr w14:val="tx1"/>
                  </w14:solidFill>
                </w14:textFill>
              </w:rPr>
              <w:fldChar w:fldCharType="begin"/>
            </w:r>
            <w:r>
              <w:rPr>
                <w:rFonts w:hint="default"/>
                <w:color w:val="000000" w:themeColor="text1"/>
                <w:highlight w:val="none"/>
                <w:lang w:val="en-US"/>
                <w14:textFill>
                  <w14:solidFill>
                    <w14:schemeClr w14:val="tx1"/>
                  </w14:solidFill>
                </w14:textFill>
              </w:rPr>
              <w:instrText xml:space="preserve"> REF _Ref24729 \n \h </w:instrText>
            </w:r>
            <w:r>
              <w:rPr>
                <w:rFonts w:hint="default"/>
                <w:color w:val="000000" w:themeColor="text1"/>
                <w:highlight w:val="none"/>
                <w:lang w:val="en-US"/>
                <w14:textFill>
                  <w14:solidFill>
                    <w14:schemeClr w14:val="tx1"/>
                  </w14:solidFill>
                </w14:textFill>
              </w:rPr>
              <w:fldChar w:fldCharType="separate"/>
            </w:r>
            <w:r>
              <w:rPr>
                <w:rFonts w:hint="default"/>
                <w:color w:val="000000" w:themeColor="text1"/>
                <w:highlight w:val="none"/>
                <w:lang w:val="en-US"/>
                <w14:textFill>
                  <w14:solidFill>
                    <w14:schemeClr w14:val="tx1"/>
                  </w14:solidFill>
                </w14:textFill>
              </w:rPr>
              <w:t>表4.7-3</w:t>
            </w:r>
            <w:r>
              <w:rPr>
                <w:rFonts w:hint="default"/>
                <w:color w:val="000000" w:themeColor="text1"/>
                <w:highlight w:val="none"/>
                <w:lang w:val="en-US"/>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w:t>
            </w:r>
          </w:p>
          <w:p w14:paraId="0143A87E">
            <w:pPr>
              <w:pStyle w:val="30"/>
              <w:bidi w:val="0"/>
              <w:rPr>
                <w:rFonts w:hint="eastAsia"/>
                <w:color w:val="000000" w:themeColor="text1"/>
                <w:highlight w:val="none"/>
                <w:lang w:val="en-US" w:eastAsia="zh-CN"/>
                <w14:textFill>
                  <w14:solidFill>
                    <w14:schemeClr w14:val="tx1"/>
                  </w14:solidFill>
                </w14:textFill>
              </w:rPr>
            </w:pPr>
            <w:bookmarkStart w:id="257" w:name="_Ref24729"/>
            <w:r>
              <w:rPr>
                <w:color w:val="000000" w:themeColor="text1"/>
                <w:highlight w:val="none"/>
                <w14:textFill>
                  <w14:solidFill>
                    <w14:schemeClr w14:val="tx1"/>
                  </w14:solidFill>
                </w14:textFill>
              </w:rPr>
              <w:t>评价工作等级划分</w:t>
            </w:r>
            <w:bookmarkEnd w:id="257"/>
          </w:p>
          <w:tbl>
            <w:tblPr>
              <w:tblStyle w:val="17"/>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89"/>
              <w:gridCol w:w="1642"/>
              <w:gridCol w:w="1642"/>
              <w:gridCol w:w="1642"/>
              <w:gridCol w:w="1657"/>
            </w:tblGrid>
            <w:tr w14:paraId="181305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115" w:type="pct"/>
                  <w:tcBorders>
                    <w:top w:val="single" w:color="auto" w:sz="12" w:space="0"/>
                    <w:left w:val="nil"/>
                    <w:bottom w:val="single" w:color="auto" w:sz="4" w:space="0"/>
                    <w:right w:val="single" w:color="auto" w:sz="4" w:space="0"/>
                  </w:tcBorders>
                  <w:noWrap w:val="0"/>
                  <w:vAlign w:val="center"/>
                </w:tcPr>
                <w:p w14:paraId="199A8562">
                  <w:pPr>
                    <w:pStyle w:val="2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环境风险潜势</w:t>
                  </w:r>
                </w:p>
              </w:tc>
              <w:tc>
                <w:tcPr>
                  <w:tcW w:w="969" w:type="pct"/>
                  <w:tcBorders>
                    <w:top w:val="single" w:color="auto" w:sz="12" w:space="0"/>
                    <w:left w:val="single" w:color="auto" w:sz="4" w:space="0"/>
                    <w:bottom w:val="single" w:color="auto" w:sz="4" w:space="0"/>
                    <w:right w:val="single" w:color="auto" w:sz="4" w:space="0"/>
                  </w:tcBorders>
                  <w:noWrap w:val="0"/>
                  <w:vAlign w:val="center"/>
                </w:tcPr>
                <w:p w14:paraId="7990D37F">
                  <w:pPr>
                    <w:pStyle w:val="2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Ⅳ、Ⅳ+</w:t>
                  </w:r>
                </w:p>
              </w:tc>
              <w:tc>
                <w:tcPr>
                  <w:tcW w:w="969" w:type="pct"/>
                  <w:tcBorders>
                    <w:top w:val="single" w:color="auto" w:sz="12" w:space="0"/>
                    <w:left w:val="single" w:color="auto" w:sz="4" w:space="0"/>
                    <w:bottom w:val="single" w:color="auto" w:sz="4" w:space="0"/>
                    <w:right w:val="single" w:color="auto" w:sz="4" w:space="0"/>
                  </w:tcBorders>
                  <w:noWrap w:val="0"/>
                  <w:vAlign w:val="center"/>
                </w:tcPr>
                <w:p w14:paraId="2DB5A7BE">
                  <w:pPr>
                    <w:pStyle w:val="2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Ⅲ</w:t>
                  </w:r>
                </w:p>
              </w:tc>
              <w:tc>
                <w:tcPr>
                  <w:tcW w:w="969" w:type="pct"/>
                  <w:tcBorders>
                    <w:top w:val="single" w:color="auto" w:sz="12" w:space="0"/>
                    <w:left w:val="single" w:color="auto" w:sz="4" w:space="0"/>
                    <w:bottom w:val="single" w:color="auto" w:sz="4" w:space="0"/>
                    <w:right w:val="single" w:color="auto" w:sz="4" w:space="0"/>
                  </w:tcBorders>
                  <w:noWrap w:val="0"/>
                  <w:vAlign w:val="center"/>
                </w:tcPr>
                <w:p w14:paraId="1686DC15">
                  <w:pPr>
                    <w:pStyle w:val="2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Ⅱ</w:t>
                  </w:r>
                </w:p>
              </w:tc>
              <w:tc>
                <w:tcPr>
                  <w:tcW w:w="977" w:type="pct"/>
                  <w:tcBorders>
                    <w:top w:val="single" w:color="auto" w:sz="12" w:space="0"/>
                    <w:left w:val="single" w:color="auto" w:sz="4" w:space="0"/>
                    <w:bottom w:val="single" w:color="auto" w:sz="4" w:space="0"/>
                    <w:right w:val="nil"/>
                  </w:tcBorders>
                  <w:noWrap w:val="0"/>
                  <w:vAlign w:val="center"/>
                </w:tcPr>
                <w:p w14:paraId="55F2757D">
                  <w:pPr>
                    <w:pStyle w:val="2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Ⅰ</w:t>
                  </w:r>
                </w:p>
              </w:tc>
            </w:tr>
            <w:tr w14:paraId="5C1E8F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pct"/>
                  <w:tcBorders>
                    <w:top w:val="single" w:color="auto" w:sz="4" w:space="0"/>
                    <w:left w:val="nil"/>
                    <w:bottom w:val="single" w:color="auto" w:sz="4" w:space="0"/>
                    <w:right w:val="single" w:color="auto" w:sz="4" w:space="0"/>
                  </w:tcBorders>
                  <w:noWrap w:val="0"/>
                  <w:vAlign w:val="center"/>
                </w:tcPr>
                <w:p w14:paraId="692B1C47">
                  <w:pPr>
                    <w:pStyle w:val="2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评价工作等级</w:t>
                  </w:r>
                </w:p>
              </w:tc>
              <w:tc>
                <w:tcPr>
                  <w:tcW w:w="969" w:type="pct"/>
                  <w:tcBorders>
                    <w:top w:val="single" w:color="auto" w:sz="4" w:space="0"/>
                    <w:left w:val="single" w:color="auto" w:sz="4" w:space="0"/>
                    <w:bottom w:val="single" w:color="auto" w:sz="4" w:space="0"/>
                    <w:right w:val="single" w:color="auto" w:sz="4" w:space="0"/>
                  </w:tcBorders>
                  <w:noWrap w:val="0"/>
                  <w:vAlign w:val="center"/>
                </w:tcPr>
                <w:p w14:paraId="1970D243">
                  <w:pPr>
                    <w:pStyle w:val="2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一</w:t>
                  </w:r>
                </w:p>
              </w:tc>
              <w:tc>
                <w:tcPr>
                  <w:tcW w:w="969" w:type="pct"/>
                  <w:tcBorders>
                    <w:top w:val="single" w:color="auto" w:sz="4" w:space="0"/>
                    <w:left w:val="single" w:color="auto" w:sz="4" w:space="0"/>
                    <w:bottom w:val="single" w:color="auto" w:sz="4" w:space="0"/>
                    <w:right w:val="single" w:color="auto" w:sz="4" w:space="0"/>
                  </w:tcBorders>
                  <w:noWrap w:val="0"/>
                  <w:vAlign w:val="center"/>
                </w:tcPr>
                <w:p w14:paraId="5E75F872">
                  <w:pPr>
                    <w:pStyle w:val="2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二</w:t>
                  </w:r>
                </w:p>
              </w:tc>
              <w:tc>
                <w:tcPr>
                  <w:tcW w:w="969" w:type="pct"/>
                  <w:tcBorders>
                    <w:top w:val="single" w:color="auto" w:sz="4" w:space="0"/>
                    <w:left w:val="single" w:color="auto" w:sz="4" w:space="0"/>
                    <w:bottom w:val="single" w:color="auto" w:sz="4" w:space="0"/>
                    <w:right w:val="single" w:color="auto" w:sz="4" w:space="0"/>
                  </w:tcBorders>
                  <w:noWrap w:val="0"/>
                  <w:vAlign w:val="center"/>
                </w:tcPr>
                <w:p w14:paraId="57336A5C">
                  <w:pPr>
                    <w:pStyle w:val="2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三</w:t>
                  </w:r>
                </w:p>
              </w:tc>
              <w:tc>
                <w:tcPr>
                  <w:tcW w:w="977" w:type="pct"/>
                  <w:tcBorders>
                    <w:top w:val="single" w:color="auto" w:sz="4" w:space="0"/>
                    <w:left w:val="single" w:color="auto" w:sz="4" w:space="0"/>
                    <w:bottom w:val="single" w:color="auto" w:sz="4" w:space="0"/>
                    <w:right w:val="nil"/>
                  </w:tcBorders>
                  <w:noWrap w:val="0"/>
                  <w:vAlign w:val="center"/>
                </w:tcPr>
                <w:p w14:paraId="5E4EE65F">
                  <w:pPr>
                    <w:pStyle w:val="2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简单分析a</w:t>
                  </w:r>
                </w:p>
              </w:tc>
            </w:tr>
            <w:tr w14:paraId="5C738F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tcBorders>
                    <w:top w:val="single" w:color="auto" w:sz="4" w:space="0"/>
                    <w:left w:val="nil"/>
                    <w:bottom w:val="single" w:color="auto" w:sz="12" w:space="0"/>
                    <w:right w:val="nil"/>
                  </w:tcBorders>
                  <w:noWrap w:val="0"/>
                  <w:vAlign w:val="center"/>
                </w:tcPr>
                <w:p w14:paraId="1FC2A72A">
                  <w:pPr>
                    <w:pStyle w:val="26"/>
                    <w:spacing w:line="240" w:lineRule="auto"/>
                    <w:jc w:val="left"/>
                    <w:rPr>
                      <w:color w:val="000000" w:themeColor="text1"/>
                      <w:highlight w:val="none"/>
                      <w14:textFill>
                        <w14:solidFill>
                          <w14:schemeClr w14:val="tx1"/>
                        </w14:solidFill>
                      </w14:textFill>
                    </w:rPr>
                  </w:pPr>
                  <w:r>
                    <w:rPr>
                      <w:color w:val="000000" w:themeColor="text1"/>
                      <w:sz w:val="18"/>
                      <w:szCs w:val="18"/>
                      <w:highlight w:val="none"/>
                      <w14:textFill>
                        <w14:solidFill>
                          <w14:schemeClr w14:val="tx1"/>
                        </w14:solidFill>
                      </w14:textFill>
                    </w:rPr>
                    <w:t>注：a是相对于详细评价工作内容而言，在描述危险物质、环境影响途径、环境危害后果、风险防范措施等方面给出定性的说明。</w:t>
                  </w:r>
                </w:p>
              </w:tc>
            </w:tr>
          </w:tbl>
          <w:p w14:paraId="35AF5B33">
            <w:pPr>
              <w:rPr>
                <w:rFonts w:hint="eastAsia"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根据上表计算可知，项目全厂Q值为</w:t>
            </w:r>
            <w:r>
              <w:rPr>
                <w:rFonts w:hint="eastAsia"/>
                <w:color w:val="000000" w:themeColor="text1"/>
                <w:highlight w:val="none"/>
                <w:lang w:val="en-US" w:eastAsia="zh-CN"/>
                <w14:textFill>
                  <w14:solidFill>
                    <w14:schemeClr w14:val="tx1"/>
                  </w14:solidFill>
                </w14:textFill>
              </w:rPr>
              <w:t>0.2056</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，项目</w:t>
            </w:r>
            <w:r>
              <w:rPr>
                <w:color w:val="000000" w:themeColor="text1"/>
                <w:highlight w:val="none"/>
                <w14:textFill>
                  <w14:solidFill>
                    <w14:schemeClr w14:val="tx1"/>
                  </w14:solidFill>
                </w14:textFill>
              </w:rPr>
              <w:t>环境风险潜势为Ⅰ</w:t>
            </w:r>
            <w:r>
              <w:rPr>
                <w:rFonts w:hint="eastAsia"/>
                <w:color w:val="000000" w:themeColor="text1"/>
                <w:highlight w:val="none"/>
                <w14:textFill>
                  <w14:solidFill>
                    <w14:schemeClr w14:val="tx1"/>
                  </w14:solidFill>
                </w14:textFill>
              </w:rPr>
              <w:t>，则项目环境风险评价工作等级为简单分析</w:t>
            </w:r>
            <w:r>
              <w:rPr>
                <w:rFonts w:hint="eastAsia"/>
                <w:color w:val="000000" w:themeColor="text1"/>
                <w:highlight w:val="none"/>
                <w:lang w:eastAsia="zh-CN"/>
                <w14:textFill>
                  <w14:solidFill>
                    <w14:schemeClr w14:val="tx1"/>
                  </w14:solidFill>
                </w14:textFill>
              </w:rPr>
              <w:t>。</w:t>
            </w:r>
          </w:p>
          <w:p w14:paraId="5367E667">
            <w:pPr>
              <w:pStyle w:val="3"/>
              <w:bidi w:val="0"/>
              <w:rPr>
                <w:rFonts w:hint="eastAsia"/>
                <w:color w:val="000000" w:themeColor="text1"/>
                <w:highlight w:val="none"/>
                <w:lang w:val="en-US" w:eastAsia="zh-CN"/>
                <w14:textFill>
                  <w14:solidFill>
                    <w14:schemeClr w14:val="tx1"/>
                  </w14:solidFill>
                </w14:textFill>
              </w:rPr>
            </w:pPr>
            <w:bookmarkStart w:id="258" w:name="_Toc7487"/>
            <w:bookmarkStart w:id="259" w:name="_Toc32105"/>
            <w:r>
              <w:rPr>
                <w:rFonts w:hint="eastAsia"/>
                <w:color w:val="000000" w:themeColor="text1"/>
                <w:highlight w:val="none"/>
                <w14:textFill>
                  <w14:solidFill>
                    <w14:schemeClr w14:val="tx1"/>
                  </w14:solidFill>
                </w14:textFill>
              </w:rPr>
              <w:t>环境风险识别</w:t>
            </w:r>
            <w:bookmarkEnd w:id="258"/>
            <w:bookmarkEnd w:id="259"/>
          </w:p>
          <w:p w14:paraId="6A805B77">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通过环境识别，本项目主要风险为危险废物泄漏、液态物料泄漏和火灾，具体详见</w:t>
            </w:r>
            <w:r>
              <w:rPr>
                <w:rFonts w:hint="eastAsia"/>
                <w:color w:val="000000" w:themeColor="text1"/>
                <w:highlight w:val="none"/>
                <w:lang w:eastAsia="zh-CN"/>
                <w14:textFill>
                  <w14:solidFill>
                    <w14:schemeClr w14:val="tx1"/>
                  </w14:solidFill>
                </w14:textFill>
              </w:rPr>
              <w:fldChar w:fldCharType="begin"/>
            </w:r>
            <w:r>
              <w:rPr>
                <w:rFonts w:hint="eastAsia"/>
                <w:color w:val="000000" w:themeColor="text1"/>
                <w:highlight w:val="none"/>
                <w:lang w:eastAsia="zh-CN"/>
                <w14:textFill>
                  <w14:solidFill>
                    <w14:schemeClr w14:val="tx1"/>
                  </w14:solidFill>
                </w14:textFill>
              </w:rPr>
              <w:instrText xml:space="preserve"> REF _Ref12874 \n \h </w:instrText>
            </w:r>
            <w:r>
              <w:rPr>
                <w:rFonts w:hint="eastAsia"/>
                <w:color w:val="000000" w:themeColor="text1"/>
                <w:highlight w:val="none"/>
                <w:lang w:eastAsia="zh-CN"/>
                <w14:textFill>
                  <w14:solidFill>
                    <w14:schemeClr w14:val="tx1"/>
                  </w14:solidFill>
                </w14:textFill>
              </w:rPr>
              <w:fldChar w:fldCharType="separate"/>
            </w:r>
            <w:r>
              <w:rPr>
                <w:rFonts w:hint="eastAsia"/>
                <w:color w:val="000000" w:themeColor="text1"/>
                <w:highlight w:val="none"/>
                <w:lang w:eastAsia="zh-CN"/>
                <w14:textFill>
                  <w14:solidFill>
                    <w14:schemeClr w14:val="tx1"/>
                  </w14:solidFill>
                </w14:textFill>
              </w:rPr>
              <w:t>表4.7-4</w:t>
            </w:r>
            <w:r>
              <w:rPr>
                <w:rFonts w:hint="eastAsia"/>
                <w:color w:val="000000" w:themeColor="text1"/>
                <w:highlight w:val="none"/>
                <w:lang w:eastAsia="zh-CN"/>
                <w14:textFill>
                  <w14:solidFill>
                    <w14:schemeClr w14:val="tx1"/>
                  </w14:solidFill>
                </w14:textFill>
              </w:rPr>
              <w:fldChar w:fldCharType="end"/>
            </w:r>
            <w:r>
              <w:rPr>
                <w:rFonts w:hint="eastAsia"/>
                <w:color w:val="000000" w:themeColor="text1"/>
                <w:highlight w:val="none"/>
                <w:lang w:eastAsia="zh-CN"/>
                <w14:textFill>
                  <w14:solidFill>
                    <w14:schemeClr w14:val="tx1"/>
                  </w14:solidFill>
                </w14:textFill>
              </w:rPr>
              <w:t>。</w:t>
            </w:r>
          </w:p>
          <w:p w14:paraId="4A4A5B9C">
            <w:pPr>
              <w:pStyle w:val="30"/>
              <w:bidi w:val="0"/>
              <w:rPr>
                <w:rFonts w:hint="eastAsia"/>
                <w:color w:val="000000" w:themeColor="text1"/>
                <w:highlight w:val="none"/>
                <w:lang w:val="en-US" w:eastAsia="zh-CN"/>
                <w14:textFill>
                  <w14:solidFill>
                    <w14:schemeClr w14:val="tx1"/>
                  </w14:solidFill>
                </w14:textFill>
              </w:rPr>
            </w:pPr>
            <w:bookmarkStart w:id="260" w:name="_Ref12874"/>
            <w:r>
              <w:rPr>
                <w:rFonts w:hint="eastAsia"/>
                <w:color w:val="000000" w:themeColor="text1"/>
                <w:highlight w:val="none"/>
                <w14:textFill>
                  <w14:solidFill>
                    <w14:schemeClr w14:val="tx1"/>
                  </w14:solidFill>
                </w14:textFill>
              </w:rPr>
              <w:t>项目环境风险源发生情况及污染情况一览表</w:t>
            </w:r>
            <w:bookmarkEnd w:id="260"/>
          </w:p>
          <w:tbl>
            <w:tblPr>
              <w:tblStyle w:val="1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42"/>
              <w:gridCol w:w="4116"/>
              <w:gridCol w:w="3313"/>
            </w:tblGrid>
            <w:tr w14:paraId="289F82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5" w:type="pct"/>
                  <w:noWrap w:val="0"/>
                  <w:vAlign w:val="center"/>
                </w:tcPr>
                <w:p w14:paraId="25FAF5CC">
                  <w:pPr>
                    <w:pStyle w:val="2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风险源类型</w:t>
                  </w:r>
                </w:p>
              </w:tc>
              <w:tc>
                <w:tcPr>
                  <w:tcW w:w="2429" w:type="pct"/>
                  <w:noWrap w:val="0"/>
                  <w:vAlign w:val="center"/>
                </w:tcPr>
                <w:p w14:paraId="748C58F4">
                  <w:pPr>
                    <w:pStyle w:val="2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可能发生的原因</w:t>
                  </w:r>
                </w:p>
              </w:tc>
              <w:tc>
                <w:tcPr>
                  <w:tcW w:w="1955" w:type="pct"/>
                  <w:noWrap w:val="0"/>
                  <w:vAlign w:val="center"/>
                </w:tcPr>
                <w:p w14:paraId="7536551E">
                  <w:pPr>
                    <w:pStyle w:val="2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可能发生的污染情况</w:t>
                  </w:r>
                </w:p>
              </w:tc>
            </w:tr>
            <w:tr w14:paraId="37C765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5" w:type="pct"/>
                  <w:noWrap w:val="0"/>
                  <w:vAlign w:val="center"/>
                </w:tcPr>
                <w:p w14:paraId="697A5C5F">
                  <w:pPr>
                    <w:pStyle w:val="2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液态物料泄漏</w:t>
                  </w:r>
                </w:p>
              </w:tc>
              <w:tc>
                <w:tcPr>
                  <w:tcW w:w="2429" w:type="pct"/>
                  <w:noWrap w:val="0"/>
                  <w:vAlign w:val="center"/>
                </w:tcPr>
                <w:p w14:paraId="07E81ED5">
                  <w:pPr>
                    <w:pStyle w:val="26"/>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①物料在存储中搬运、管理不当或者误操作造成包装桶破裂引起物料泄漏；</w:t>
                  </w:r>
                </w:p>
                <w:p w14:paraId="404505FB">
                  <w:pPr>
                    <w:pStyle w:val="26"/>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②使用过程中误操作引起物料泄漏。</w:t>
                  </w:r>
                </w:p>
              </w:tc>
              <w:tc>
                <w:tcPr>
                  <w:tcW w:w="1955" w:type="pct"/>
                  <w:noWrap w:val="0"/>
                  <w:vAlign w:val="center"/>
                </w:tcPr>
                <w:p w14:paraId="6796836B">
                  <w:pPr>
                    <w:pStyle w:val="2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可能通过厂区地面的雨水收集管网进入外部环境</w:t>
                  </w:r>
                </w:p>
              </w:tc>
            </w:tr>
            <w:tr w14:paraId="56AA59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5" w:type="pct"/>
                  <w:noWrap w:val="0"/>
                  <w:vAlign w:val="center"/>
                </w:tcPr>
                <w:p w14:paraId="31987204">
                  <w:pPr>
                    <w:pStyle w:val="2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危险废物泄漏</w:t>
                  </w:r>
                </w:p>
              </w:tc>
              <w:tc>
                <w:tcPr>
                  <w:tcW w:w="2429" w:type="pct"/>
                  <w:noWrap w:val="0"/>
                  <w:vAlign w:val="center"/>
                </w:tcPr>
                <w:p w14:paraId="3E50FD52">
                  <w:pPr>
                    <w:pStyle w:val="26"/>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废机油泄漏</w:t>
                  </w:r>
                  <w:r>
                    <w:rPr>
                      <w:color w:val="000000" w:themeColor="text1"/>
                      <w:highlight w:val="none"/>
                      <w14:textFill>
                        <w14:solidFill>
                          <w14:schemeClr w14:val="tx1"/>
                        </w14:solidFill>
                      </w14:textFill>
                    </w:rPr>
                    <w:t>出</w:t>
                  </w:r>
                  <w:r>
                    <w:rPr>
                      <w:rFonts w:hint="eastAsia"/>
                      <w:color w:val="000000" w:themeColor="text1"/>
                      <w:highlight w:val="none"/>
                      <w:lang w:val="en-US" w:eastAsia="zh-CN"/>
                      <w14:textFill>
                        <w14:solidFill>
                          <w14:schemeClr w14:val="tx1"/>
                        </w14:solidFill>
                      </w14:textFill>
                    </w:rPr>
                    <w:t>贮存</w:t>
                  </w:r>
                  <w:r>
                    <w:rPr>
                      <w:color w:val="000000" w:themeColor="text1"/>
                      <w:highlight w:val="none"/>
                      <w14:textFill>
                        <w14:solidFill>
                          <w14:schemeClr w14:val="tx1"/>
                        </w14:solidFill>
                      </w14:textFill>
                    </w:rPr>
                    <w:t>区</w:t>
                  </w:r>
                </w:p>
              </w:tc>
              <w:tc>
                <w:tcPr>
                  <w:tcW w:w="1955" w:type="pct"/>
                  <w:noWrap w:val="0"/>
                  <w:vAlign w:val="center"/>
                </w:tcPr>
                <w:p w14:paraId="252E8D10">
                  <w:pPr>
                    <w:pStyle w:val="26"/>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废机油、检验室废液</w:t>
                  </w:r>
                  <w:r>
                    <w:rPr>
                      <w:color w:val="000000" w:themeColor="text1"/>
                      <w:highlight w:val="none"/>
                      <w14:textFill>
                        <w14:solidFill>
                          <w14:schemeClr w14:val="tx1"/>
                        </w14:solidFill>
                      </w14:textFill>
                    </w:rPr>
                    <w:t>遭遇雨淋，可能污染地面、土壤、地表水</w:t>
                  </w:r>
                </w:p>
              </w:tc>
            </w:tr>
            <w:tr w14:paraId="4E50E8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5" w:type="pct"/>
                  <w:noWrap w:val="0"/>
                  <w:vAlign w:val="center"/>
                </w:tcPr>
                <w:p w14:paraId="14E89176">
                  <w:pPr>
                    <w:pStyle w:val="2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火灾衍生次生</w:t>
                  </w:r>
                </w:p>
              </w:tc>
              <w:tc>
                <w:tcPr>
                  <w:tcW w:w="2429" w:type="pct"/>
                  <w:noWrap w:val="0"/>
                  <w:vAlign w:val="center"/>
                </w:tcPr>
                <w:p w14:paraId="5EAF9FA3">
                  <w:pPr>
                    <w:pStyle w:val="2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厂区易燃可燃化学品等遇明火发生火灾</w:t>
                  </w:r>
                </w:p>
              </w:tc>
              <w:tc>
                <w:tcPr>
                  <w:tcW w:w="1955" w:type="pct"/>
                  <w:noWrap w:val="0"/>
                  <w:vAlign w:val="center"/>
                </w:tcPr>
                <w:p w14:paraId="2D63D7EF">
                  <w:pPr>
                    <w:pStyle w:val="26"/>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火灾产生的衍生、次生CO对大气环境产生影响</w:t>
                  </w:r>
                </w:p>
              </w:tc>
            </w:tr>
          </w:tbl>
          <w:p w14:paraId="3EC4A0F3">
            <w:pPr>
              <w:pStyle w:val="3"/>
              <w:bidi w:val="0"/>
              <w:rPr>
                <w:rFonts w:hint="eastAsia"/>
                <w:color w:val="000000" w:themeColor="text1"/>
                <w:highlight w:val="none"/>
                <w:lang w:val="en-US" w:eastAsia="zh-CN"/>
                <w14:textFill>
                  <w14:solidFill>
                    <w14:schemeClr w14:val="tx1"/>
                  </w14:solidFill>
                </w14:textFill>
              </w:rPr>
            </w:pPr>
            <w:bookmarkStart w:id="261" w:name="_Toc32215"/>
            <w:bookmarkStart w:id="262" w:name="_Toc307"/>
            <w:r>
              <w:rPr>
                <w:rFonts w:hint="eastAsia"/>
                <w:color w:val="000000" w:themeColor="text1"/>
                <w:highlight w:val="none"/>
                <w14:textFill>
                  <w14:solidFill>
                    <w14:schemeClr w14:val="tx1"/>
                  </w14:solidFill>
                </w14:textFill>
              </w:rPr>
              <w:t>环境风险</w:t>
            </w:r>
            <w:r>
              <w:rPr>
                <w:rFonts w:hint="eastAsia"/>
                <w:color w:val="000000" w:themeColor="text1"/>
                <w:highlight w:val="none"/>
                <w:lang w:val="en-US" w:eastAsia="zh-CN"/>
                <w14:textFill>
                  <w14:solidFill>
                    <w14:schemeClr w14:val="tx1"/>
                  </w14:solidFill>
                </w14:textFill>
              </w:rPr>
              <w:t>分析</w:t>
            </w:r>
          </w:p>
          <w:p w14:paraId="6A986F73">
            <w:pP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（1）液态物料泄漏环境风险影响分析</w:t>
            </w:r>
          </w:p>
          <w:p w14:paraId="21579C56">
            <w:pP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使用的液态物料主要有粘结剂、乙醇等，当出现泄漏时，可能会通过厂区地面的雨水收集管网进入外部地表水，对区域环境造成污染。若生产过程操作不当，导致液态物料发生泄漏，受热产生的蒸汽经呼吸道吸入，高浓度时会刺激鼻和上呼吸道，引起黏膜溃疡和上呼吸道炎症，重者可引起化学性肺炎、肺水肿和反应性窒息。另外，乙醇作为一种易燃易爆的物质，其泄漏后与空气形成的爆炸性混合物，一旦遇到明火、高温等，极易引发燃烧爆炸，从而造成严重的环境破坏。</w:t>
            </w:r>
          </w:p>
          <w:p w14:paraId="0E2194C8">
            <w:pP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（2）危险废物泄漏环境风险影响分析</w:t>
            </w:r>
          </w:p>
          <w:p w14:paraId="4216954C">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暂存于危险废物贮存间的危险废物，如：废机油、检验室废液等，可能由于工作人员摆放不规范等各种原因导致盛装容器倾倒，或因不利天气影响，雨水渗漏进危险废物贮存间，导致混合有危险废物的雨水流出危险废物贮存间引发泄漏事故，可能会对土壤、地下水环境造成污染。本项目应将危险废物分类摆放整齐，避免倾倒泄露，危险废物贮存间应加强防腐、防渗、防泄漏措施，并加强危险废物贮存间管理，建立危险废物管理台账，制订危险废物管理计划。盛装危险废物的容器和包装物以及贮存危险废物的场所，依法设置相应警示标志和标签。严格执行危险废物转移联单制度。</w:t>
            </w:r>
          </w:p>
          <w:p w14:paraId="6DA0960D">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（3）火灾、爆炸事故环境风险影响分析</w:t>
            </w:r>
          </w:p>
          <w:p w14:paraId="2C5700D6">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使用的乙醇为易燃液体，如遇到明火或火花，会引发火灾。火灾爆炸事故危害除热辐射、冲击波和抛射物等直接危害造成人员伤亡外，未完全燃烧的危险物质在高温下迅速挥发释放至大气，燃烧物质燃烧过程中则同时产生伴生和次生物质，加上燃烧后形成的浓烟，浓烟是由燃烧物质释放出的高温蒸汽和毒气、被分解和凝聚的未燃烧物质、被火焰加热而带入上升气流中的大量空气等多种物质组成，它不但含有大量的热量，而且含有毒气体和弥散的固体微粒，浓烟对火场周围人员的生命安全危害程度远超过火灾本身，并对周围的大气环境质量造成很大的污染和破坏。另外，燃烧时的强烈热辐射还可能造成新的火灾，会对周围的大气环境造成一定的影响，因此，建设单位应做好消防设施配置，有效控制火势。此外，发生火灾事故时，泄漏物质需进行围堵，洗消废水应与出租方进行联动处置，确保洗消废水可以顺利收集进入事故应急池中，避免外泄到周围环境中。</w:t>
            </w:r>
          </w:p>
          <w:p w14:paraId="782D18B7">
            <w:pPr>
              <w:pStyle w:val="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环境风险</w:t>
            </w:r>
            <w:r>
              <w:rPr>
                <w:rFonts w:hint="eastAsia"/>
                <w:color w:val="000000" w:themeColor="text1"/>
                <w:highlight w:val="none"/>
                <w14:textFill>
                  <w14:solidFill>
                    <w14:schemeClr w14:val="tx1"/>
                  </w14:solidFill>
                </w14:textFill>
              </w:rPr>
              <w:t>防范措施</w:t>
            </w:r>
            <w:bookmarkEnd w:id="261"/>
            <w:bookmarkEnd w:id="262"/>
            <w:r>
              <w:rPr>
                <w:rFonts w:hint="eastAsia"/>
                <w:color w:val="000000" w:themeColor="text1"/>
                <w:highlight w:val="none"/>
                <w:lang w:val="en-US" w:eastAsia="zh-CN"/>
                <w14:textFill>
                  <w14:solidFill>
                    <w14:schemeClr w14:val="tx1"/>
                  </w14:solidFill>
                </w14:textFill>
              </w:rPr>
              <w:t>及应急要求</w:t>
            </w:r>
          </w:p>
          <w:p w14:paraId="48FA1C35">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（1）环境风险监控措施</w:t>
            </w:r>
          </w:p>
          <w:p w14:paraId="44DD2937">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原料仓库、</w:t>
            </w:r>
            <w:r>
              <w:rPr>
                <w:rFonts w:hint="eastAsia"/>
                <w:color w:val="000000" w:themeColor="text1"/>
                <w:highlight w:val="none"/>
                <w:lang w:val="en-US" w:eastAsia="zh-CN"/>
                <w14:textFill>
                  <w14:solidFill>
                    <w14:schemeClr w14:val="tx1"/>
                  </w14:solidFill>
                </w14:textFill>
              </w:rPr>
              <w:t>成品仓库</w:t>
            </w:r>
            <w:r>
              <w:rPr>
                <w:rFonts w:hint="eastAsia"/>
                <w:color w:val="000000" w:themeColor="text1"/>
                <w:highlight w:val="none"/>
                <w14:textFill>
                  <w14:solidFill>
                    <w14:schemeClr w14:val="tx1"/>
                  </w14:solidFill>
                </w14:textFill>
              </w:rPr>
              <w:t>、危险废物贮存间、生产车间等均设置视频监控探头，由专人管理，设置明显的警示标志；专人负责项目的环境风险事故排查，每日定期对原料仓库、</w:t>
            </w:r>
            <w:r>
              <w:rPr>
                <w:rFonts w:hint="eastAsia"/>
                <w:color w:val="000000" w:themeColor="text1"/>
                <w:highlight w:val="none"/>
                <w:lang w:val="en-US" w:eastAsia="zh-CN"/>
                <w14:textFill>
                  <w14:solidFill>
                    <w14:schemeClr w14:val="tx1"/>
                  </w14:solidFill>
                </w14:textFill>
              </w:rPr>
              <w:t>成品仓库</w:t>
            </w:r>
            <w:r>
              <w:rPr>
                <w:rFonts w:hint="eastAsia"/>
                <w:color w:val="000000" w:themeColor="text1"/>
                <w:highlight w:val="none"/>
                <w14:textFill>
                  <w14:solidFill>
                    <w14:schemeClr w14:val="tx1"/>
                  </w14:solidFill>
                </w14:textFill>
              </w:rPr>
              <w:t>、危险废物贮存间、生产车间等风险源进行排查，及时发现事故风险隐患，预防火灾。</w:t>
            </w:r>
          </w:p>
          <w:p w14:paraId="28235E91">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（2）原辅料贮运安全防范措施</w:t>
            </w:r>
          </w:p>
          <w:p w14:paraId="456E7F51">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①原辅料在运输到本项目厂区时，需由有相应运输资质的单位进行运输，由专人专车运输到本厂区。</w:t>
            </w:r>
          </w:p>
          <w:p w14:paraId="32627AE0">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②在装卸原辅料过程中，操作人员应轻装轻卸，严禁摔碰、翻滚，防止包装材料破损，并禁止肩扛、背负。</w:t>
            </w:r>
          </w:p>
          <w:p w14:paraId="54FDDC30">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③生产操作员工上岗前接受培训，在生产中严格按照操作规程来进行操作，避免因操作失误造成原辅料的泄漏。</w:t>
            </w:r>
          </w:p>
          <w:p w14:paraId="1936C6E1">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④各种原辅料应按其相应堆存规范堆置，禁止堆叠过高，防止滚动。</w:t>
            </w:r>
          </w:p>
          <w:p w14:paraId="6A10089B">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⑤易燃危险品物质的堆存，应远离火源，同时建立严格的管理和规章制度并上墙，辅料装卸、使用时，全过程应有人在现场监督，一旦发生事故，立即采取防范措施。</w:t>
            </w:r>
          </w:p>
          <w:p w14:paraId="17D39DAA">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⑥应避免生产车间的液态辅料产生跑冒滴漏。</w:t>
            </w:r>
          </w:p>
          <w:p w14:paraId="351C57D1">
            <w:pPr>
              <w:ind w:firstLine="48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lang w:eastAsia="zh-CN"/>
                <w14:textFill>
                  <w14:solidFill>
                    <w14:schemeClr w14:val="tx1"/>
                  </w14:solidFill>
                </w14:textFill>
              </w:rPr>
              <w:t>）火灾和爆炸事故防范措施</w:t>
            </w:r>
          </w:p>
          <w:p w14:paraId="482176EB">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w:t>
            </w:r>
            <w:r>
              <w:rPr>
                <w:rFonts w:hint="eastAsia"/>
                <w:color w:val="000000" w:themeColor="text1"/>
                <w:highlight w:val="none"/>
                <w:lang w:val="en-US" w:eastAsia="zh-CN"/>
                <w14:textFill>
                  <w14:solidFill>
                    <w14:schemeClr w14:val="tx1"/>
                  </w14:solidFill>
                </w14:textFill>
              </w:rPr>
              <w:t>运营</w:t>
            </w:r>
            <w:r>
              <w:rPr>
                <w:rFonts w:hint="eastAsia"/>
                <w:color w:val="000000" w:themeColor="text1"/>
                <w:highlight w:val="none"/>
                <w14:textFill>
                  <w14:solidFill>
                    <w14:schemeClr w14:val="tx1"/>
                  </w14:solidFill>
                </w14:textFill>
              </w:rPr>
              <w:t>期间应充分考虑到不安全的因素，一定要在火灾防范方面制定严格的措施。本报告建议</w:t>
            </w:r>
            <w:r>
              <w:rPr>
                <w:rFonts w:hint="eastAsia"/>
                <w:color w:val="000000" w:themeColor="text1"/>
                <w:highlight w:val="none"/>
                <w:lang w:val="en-US" w:eastAsia="zh-CN"/>
                <w14:textFill>
                  <w14:solidFill>
                    <w14:schemeClr w14:val="tx1"/>
                  </w14:solidFill>
                </w14:textFill>
              </w:rPr>
              <w:t>建设单位</w:t>
            </w:r>
            <w:r>
              <w:rPr>
                <w:rFonts w:hint="eastAsia"/>
                <w:color w:val="000000" w:themeColor="text1"/>
                <w:highlight w:val="none"/>
                <w14:textFill>
                  <w14:solidFill>
                    <w14:schemeClr w14:val="tx1"/>
                  </w14:solidFill>
                </w14:textFill>
              </w:rPr>
              <w:t>采取如下措施：</w:t>
            </w:r>
          </w:p>
          <w:p w14:paraId="6C397E8A">
            <w:pPr>
              <w:ind w:firstLine="48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w:t>
            </w:r>
            <w:r>
              <w:rPr>
                <w:rFonts w:hint="eastAsia"/>
                <w:color w:val="000000" w:themeColor="text1"/>
                <w:highlight w:val="none"/>
                <w14:textFill>
                  <w14:solidFill>
                    <w14:schemeClr w14:val="tx1"/>
                  </w14:solidFill>
                </w14:textFill>
              </w:rPr>
              <w:t>生产区内的所有运营设备、电气装置都可满足防火防爆的要求。</w:t>
            </w:r>
          </w:p>
          <w:p w14:paraId="7921BB4F">
            <w:pPr>
              <w:ind w:firstLine="48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w:t>
            </w:r>
            <w:r>
              <w:rPr>
                <w:rFonts w:hint="eastAsia"/>
                <w:color w:val="000000" w:themeColor="text1"/>
                <w:highlight w:val="none"/>
                <w14:textFill>
                  <w14:solidFill>
                    <w14:schemeClr w14:val="tx1"/>
                  </w14:solidFill>
                </w14:textFill>
              </w:rPr>
              <w:t>生产车间、仓库等风险单元设置防静电、防雷措施，防止工作人员在进入生产车间或进行装卸作业时产生静电，防止操作人员带电作业；工作人员在进入车间、仓库或进行危险作业时，应使用抗静电工作帽和具有导电性的作业鞋。</w:t>
            </w:r>
          </w:p>
          <w:p w14:paraId="757B126C">
            <w:pPr>
              <w:ind w:firstLine="48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③</w:t>
            </w:r>
            <w:r>
              <w:rPr>
                <w:rFonts w:hint="eastAsia"/>
                <w:color w:val="000000" w:themeColor="text1"/>
                <w:highlight w:val="none"/>
                <w14:textFill>
                  <w14:solidFill>
                    <w14:schemeClr w14:val="tx1"/>
                  </w14:solidFill>
                </w14:textFill>
              </w:rPr>
              <w:t>火源的管理：严禁火源进入生产</w:t>
            </w:r>
            <w:r>
              <w:rPr>
                <w:rFonts w:hint="eastAsia"/>
                <w:color w:val="000000" w:themeColor="text1"/>
                <w:highlight w:val="none"/>
                <w:lang w:val="en-US" w:eastAsia="zh-CN"/>
                <w14:textFill>
                  <w14:solidFill>
                    <w14:schemeClr w14:val="tx1"/>
                  </w14:solidFill>
                </w14:textFill>
              </w:rPr>
              <w:t>车间</w:t>
            </w:r>
            <w:r>
              <w:rPr>
                <w:rFonts w:hint="eastAsia"/>
                <w:color w:val="000000" w:themeColor="text1"/>
                <w:highlight w:val="none"/>
                <w14:textFill>
                  <w14:solidFill>
                    <w14:schemeClr w14:val="tx1"/>
                  </w14:solidFill>
                </w14:textFill>
              </w:rPr>
              <w:t>、仓库、</w:t>
            </w:r>
            <w:r>
              <w:rPr>
                <w:rFonts w:hint="eastAsia"/>
                <w:color w:val="000000" w:themeColor="text1"/>
                <w:highlight w:val="none"/>
                <w:lang w:val="en-US" w:eastAsia="zh-CN"/>
                <w14:textFill>
                  <w14:solidFill>
                    <w14:schemeClr w14:val="tx1"/>
                  </w14:solidFill>
                </w14:textFill>
              </w:rPr>
              <w:t>储罐区</w:t>
            </w:r>
            <w:r>
              <w:rPr>
                <w:rFonts w:hint="eastAsia"/>
                <w:color w:val="000000" w:themeColor="text1"/>
                <w:highlight w:val="none"/>
                <w14:textFill>
                  <w14:solidFill>
                    <w14:schemeClr w14:val="tx1"/>
                  </w14:solidFill>
                </w14:textFill>
              </w:rPr>
              <w:t>，严格控制明火，明火发生源为打火机等。需进行维修焊接时，应首先经过安全部门确认、准许，并记录在案。</w:t>
            </w:r>
          </w:p>
          <w:p w14:paraId="221746F3">
            <w:pPr>
              <w:ind w:firstLine="48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④</w:t>
            </w:r>
            <w:r>
              <w:rPr>
                <w:rFonts w:hint="eastAsia"/>
                <w:color w:val="000000" w:themeColor="text1"/>
                <w:highlight w:val="none"/>
                <w14:textFill>
                  <w14:solidFill>
                    <w14:schemeClr w14:val="tx1"/>
                  </w14:solidFill>
                </w14:textFill>
              </w:rPr>
              <w:t>灭火器应布置在明显便于取用的地方，并定期维护检查，确保能正常使用。</w:t>
            </w:r>
          </w:p>
          <w:p w14:paraId="31885FE0">
            <w:pPr>
              <w:ind w:firstLine="48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⑤</w:t>
            </w:r>
            <w:r>
              <w:rPr>
                <w:rFonts w:hint="eastAsia"/>
                <w:color w:val="000000" w:themeColor="text1"/>
                <w:highlight w:val="none"/>
                <w14:textFill>
                  <w14:solidFill>
                    <w14:schemeClr w14:val="tx1"/>
                  </w14:solidFill>
                </w14:textFill>
              </w:rPr>
              <w:t>制定和落实防火安全责任制及消防安全规章制度，除加强对员工的消防知识进行培训，对消防安全责任人及员工也定期进行消防知识培训，消防安全管理人员持证上岗。</w:t>
            </w:r>
          </w:p>
          <w:p w14:paraId="767251FD">
            <w:pPr>
              <w:ind w:firstLine="48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⑥</w:t>
            </w:r>
            <w:r>
              <w:rPr>
                <w:rFonts w:hint="eastAsia"/>
                <w:color w:val="000000" w:themeColor="text1"/>
                <w:highlight w:val="none"/>
                <w14:textFill>
                  <w14:solidFill>
                    <w14:schemeClr w14:val="tx1"/>
                  </w14:solidFill>
                </w14:textFill>
              </w:rPr>
              <w:t>自动消防系统应定期维护保养，保证消防设施正常运作。</w:t>
            </w:r>
          </w:p>
          <w:p w14:paraId="602AFB6F">
            <w:pPr>
              <w:ind w:firstLine="48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⑦</w:t>
            </w:r>
            <w:r>
              <w:rPr>
                <w:rFonts w:hint="eastAsia"/>
                <w:color w:val="000000" w:themeColor="text1"/>
                <w:highlight w:val="none"/>
                <w14:textFill>
                  <w14:solidFill>
                    <w14:schemeClr w14:val="tx1"/>
                  </w14:solidFill>
                </w14:textFill>
              </w:rPr>
              <w:t>对电路定期予以检查，用电负荷与电路的设计要匹配。</w:t>
            </w:r>
          </w:p>
          <w:p w14:paraId="5682521E">
            <w:pPr>
              <w:ind w:firstLine="48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⑧</w:t>
            </w:r>
            <w:r>
              <w:rPr>
                <w:rFonts w:hint="eastAsia"/>
                <w:color w:val="000000" w:themeColor="text1"/>
                <w:highlight w:val="none"/>
                <w14:textFill>
                  <w14:solidFill>
                    <w14:schemeClr w14:val="tx1"/>
                  </w14:solidFill>
                </w14:textFill>
              </w:rPr>
              <w:t>制定灭火和应急疏散预案，同时设置安全疏散通道。</w:t>
            </w:r>
          </w:p>
          <w:p w14:paraId="3F4219D7">
            <w:pPr>
              <w:ind w:firstLine="48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⑨</w:t>
            </w:r>
            <w:r>
              <w:rPr>
                <w:rFonts w:hint="eastAsia"/>
                <w:color w:val="000000" w:themeColor="text1"/>
                <w:highlight w:val="none"/>
                <w14:textFill>
                  <w14:solidFill>
                    <w14:schemeClr w14:val="tx1"/>
                  </w14:solidFill>
                </w14:textFill>
              </w:rPr>
              <w:t>强化安全、消防和环保管理，建立风险管理机构，制定风险管理制度，加强监督检查。</w:t>
            </w:r>
          </w:p>
          <w:p w14:paraId="4A9B8468">
            <w:pPr>
              <w:ind w:firstLine="48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在通过严格落实上述措施，</w:t>
            </w:r>
            <w:r>
              <w:rPr>
                <w:rFonts w:hint="eastAsia"/>
                <w:color w:val="000000" w:themeColor="text1"/>
                <w:highlight w:val="none"/>
                <w14:textFill>
                  <w14:solidFill>
                    <w14:schemeClr w14:val="tx1"/>
                  </w14:solidFill>
                </w14:textFill>
              </w:rPr>
              <w:t>做好防火和泄漏措施，并加强防范意识，则项目运营期间发生</w:t>
            </w:r>
            <w:r>
              <w:rPr>
                <w:rFonts w:hint="eastAsia"/>
                <w:color w:val="000000" w:themeColor="text1"/>
                <w:highlight w:val="none"/>
                <w:lang w:eastAsia="zh-CN"/>
                <w14:textFill>
                  <w14:solidFill>
                    <w14:schemeClr w14:val="tx1"/>
                  </w14:solidFill>
                </w14:textFill>
              </w:rPr>
              <w:t>火灾和爆炸事故</w:t>
            </w:r>
            <w:r>
              <w:rPr>
                <w:rFonts w:hint="eastAsia"/>
                <w:color w:val="000000" w:themeColor="text1"/>
                <w:highlight w:val="none"/>
                <w14:textFill>
                  <w14:solidFill>
                    <w14:schemeClr w14:val="tx1"/>
                  </w14:solidFill>
                </w14:textFill>
              </w:rPr>
              <w:t>的概率较小。</w:t>
            </w:r>
          </w:p>
          <w:p w14:paraId="211ECC24">
            <w:pPr>
              <w:ind w:firstLine="48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lang w:eastAsia="zh-CN"/>
                <w14:textFill>
                  <w14:solidFill>
                    <w14:schemeClr w14:val="tx1"/>
                  </w14:solidFill>
                </w14:textFill>
              </w:rPr>
              <w:t>）危险废物</w:t>
            </w:r>
            <w:r>
              <w:rPr>
                <w:rFonts w:hint="eastAsia"/>
                <w:color w:val="000000" w:themeColor="text1"/>
                <w:highlight w:val="none"/>
                <w:lang w:val="en-US" w:eastAsia="zh-CN"/>
                <w14:textFill>
                  <w14:solidFill>
                    <w14:schemeClr w14:val="tx1"/>
                  </w14:solidFill>
                </w14:textFill>
              </w:rPr>
              <w:t>贮存间</w:t>
            </w:r>
            <w:r>
              <w:rPr>
                <w:rFonts w:hint="eastAsia"/>
                <w:color w:val="000000" w:themeColor="text1"/>
                <w:highlight w:val="none"/>
                <w:lang w:eastAsia="zh-CN"/>
                <w14:textFill>
                  <w14:solidFill>
                    <w14:schemeClr w14:val="tx1"/>
                  </w14:solidFill>
                </w14:textFill>
              </w:rPr>
              <w:t>风险防范措施</w:t>
            </w:r>
          </w:p>
          <w:p w14:paraId="6DD6FEBB">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①危险废物贮存间应按照《危险废物贮存污染控制标准》（GB 18597-2023）要求进行防渗，具备防风、防雨、防晒、防渗漏措施；危险废物贮存间四周设置围堰及导流沟槽，并设收集池，收集池容积应大于最大包装物容积。废弃物容器的充填量不能超过其设计容量。</w:t>
            </w:r>
          </w:p>
          <w:p w14:paraId="281D0B89">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②设置警示标识等。设置专人管理。</w:t>
            </w:r>
          </w:p>
          <w:p w14:paraId="71E58F09">
            <w:pPr>
              <w:ind w:firstLine="480"/>
              <w:rPr>
                <w:rFonts w:hint="eastAsia"/>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③危险废物贮存间严禁明火，严格遵守操作规程，避免因操作失误发生</w:t>
            </w:r>
            <w:r>
              <w:rPr>
                <w:rFonts w:hint="eastAsia"/>
                <w:color w:val="000000" w:themeColor="text1"/>
                <w:highlight w:val="none"/>
                <w:lang w:eastAsia="zh-CN"/>
                <w14:textFill>
                  <w14:solidFill>
                    <w14:schemeClr w14:val="tx1"/>
                  </w14:solidFill>
                </w14:textFill>
              </w:rPr>
              <w:t>事故。</w:t>
            </w:r>
          </w:p>
          <w:p w14:paraId="0EF5BCF1">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④贮存所内配备通讯设备、照明设备、安全防护服装及工具，并有应急防护措施；配备相应的堵漏材料（沙袋、吸油毡等）。</w:t>
            </w:r>
          </w:p>
          <w:p w14:paraId="4C3C25E9">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⑤制定危险废物管理计划及建立危废台账，加强危险废物管理。</w:t>
            </w:r>
          </w:p>
          <w:p w14:paraId="5C12ED0E">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⑥及时对危险废物委托资质单位清运处置，对储存容器定期检查，对破损容器及时更换，同时对</w:t>
            </w:r>
            <w:r>
              <w:rPr>
                <w:rFonts w:hint="eastAsia"/>
                <w:color w:val="000000" w:themeColor="text1"/>
                <w:highlight w:val="none"/>
                <w:lang w:val="en-US" w:eastAsia="zh-CN"/>
                <w14:textFill>
                  <w14:solidFill>
                    <w14:schemeClr w14:val="tx1"/>
                  </w14:solidFill>
                </w14:textFill>
              </w:rPr>
              <w:t>危险废物贮存间</w:t>
            </w:r>
            <w:r>
              <w:rPr>
                <w:rFonts w:hint="eastAsia"/>
                <w:color w:val="000000" w:themeColor="text1"/>
                <w:highlight w:val="none"/>
                <w14:textFill>
                  <w14:solidFill>
                    <w14:schemeClr w14:val="tx1"/>
                  </w14:solidFill>
                </w14:textFill>
              </w:rPr>
              <w:t>防渗区防渗层定期检查，对破损防渗层进行修补。</w:t>
            </w:r>
          </w:p>
          <w:p w14:paraId="7D16457B">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）消防系统防范措施</w:t>
            </w:r>
          </w:p>
          <w:p w14:paraId="5D7FF485">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①建立火警报警系统，设置手动报警按钮，可进行火灾的手动报警。</w:t>
            </w:r>
          </w:p>
          <w:p w14:paraId="3AB97FB6">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②车间室内外配置一定数量手提式干粉灭火器及推车式干粉灭火器，以扑灭初期火灾及零星火灾。各建筑物室内配置一定数量的防火、防烟面具，以便火灾时人员疏散使用。</w:t>
            </w:r>
          </w:p>
          <w:p w14:paraId="6C7D9DEB">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）生产工艺及管理防范措施</w:t>
            </w:r>
          </w:p>
          <w:p w14:paraId="113841A2">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①加强作业人员操作技能、设备使用、作业程序和应急反应等方面的教育与培训。</w:t>
            </w:r>
          </w:p>
          <w:p w14:paraId="13168D82">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②加强设备的维护和保养，定期检测设备，保证在有效期内使用。</w:t>
            </w:r>
          </w:p>
          <w:p w14:paraId="778A056E">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③在生产过程中，员工应正确穿戴防护用品。</w:t>
            </w:r>
          </w:p>
          <w:p w14:paraId="19D8D969">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④在工艺操作中，员工需严格按照工艺操作规程进行，禁止违规操作。</w:t>
            </w:r>
          </w:p>
          <w:p w14:paraId="154C4744">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⑤防止泄漏化学品进入附近地表水体及市政管网的措施。</w:t>
            </w:r>
          </w:p>
          <w:p w14:paraId="221D6F94">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⑥针对生产储存区域可能发生的液体物料泄漏、火灾及中毒等重大事故，制定切实可行的应急预案，并定期进行演练。</w:t>
            </w:r>
          </w:p>
          <w:p w14:paraId="1B61B8D2">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⑦配备足够的应急物资、防护设备等。</w:t>
            </w:r>
          </w:p>
          <w:p w14:paraId="6EE917DD">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7</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事故应急池</w:t>
            </w:r>
          </w:p>
          <w:p w14:paraId="329C52C3">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事故应急池主要用于厂区内发生泄漏事故或火灾时，控制、收集和存放泄漏物料和污染事故水（包括污染雨水）及污染消防水。事故应急水池容量按下式计算：</w:t>
            </w:r>
          </w:p>
          <w:p w14:paraId="267604CA">
            <w:pPr>
              <w:spacing w:line="360" w:lineRule="auto"/>
              <w:ind w:left="0" w:leftChars="0" w:firstLine="0" w:firstLineChars="0"/>
              <w:jc w:val="cente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V</w:t>
            </w:r>
            <w:r>
              <w:rPr>
                <w:rFonts w:hint="default" w:ascii="Times New Roman" w:hAnsi="Times New Roman" w:eastAsia="宋体" w:cs="Times New Roman"/>
                <w:snapToGrid w:val="0"/>
                <w:color w:val="000000" w:themeColor="text1"/>
                <w:kern w:val="2"/>
                <w:sz w:val="24"/>
                <w:szCs w:val="24"/>
                <w:highlight w:val="none"/>
                <w:vertAlign w:val="subscript"/>
                <w:lang w:val="en-US" w:eastAsia="zh-CN" w:bidi="ar-SA"/>
                <w14:textFill>
                  <w14:solidFill>
                    <w14:schemeClr w14:val="tx1"/>
                  </w14:solidFill>
                </w14:textFill>
              </w:rPr>
              <w:t>总</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=（V</w:t>
            </w:r>
            <w:r>
              <w:rPr>
                <w:rFonts w:hint="default" w:ascii="Times New Roman" w:hAnsi="Times New Roman" w:eastAsia="宋体" w:cs="Times New Roman"/>
                <w:snapToGrid w:val="0"/>
                <w:color w:val="000000" w:themeColor="text1"/>
                <w:kern w:val="2"/>
                <w:sz w:val="24"/>
                <w:szCs w:val="24"/>
                <w:highlight w:val="none"/>
                <w:vertAlign w:val="subscript"/>
                <w:lang w:val="en-US" w:eastAsia="zh-CN" w:bidi="ar-SA"/>
                <w14:textFill>
                  <w14:solidFill>
                    <w14:schemeClr w14:val="tx1"/>
                  </w14:solidFill>
                </w14:textFill>
              </w:rPr>
              <w:t>1</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+V</w:t>
            </w:r>
            <w:r>
              <w:rPr>
                <w:rFonts w:hint="default" w:ascii="Times New Roman" w:hAnsi="Times New Roman" w:eastAsia="宋体" w:cs="Times New Roman"/>
                <w:snapToGrid w:val="0"/>
                <w:color w:val="000000" w:themeColor="text1"/>
                <w:kern w:val="2"/>
                <w:sz w:val="24"/>
                <w:szCs w:val="24"/>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-V</w:t>
            </w:r>
            <w:r>
              <w:rPr>
                <w:rFonts w:hint="default" w:ascii="Times New Roman" w:hAnsi="Times New Roman" w:eastAsia="宋体" w:cs="Times New Roman"/>
                <w:snapToGrid w:val="0"/>
                <w:color w:val="000000" w:themeColor="text1"/>
                <w:kern w:val="2"/>
                <w:sz w:val="24"/>
                <w:szCs w:val="24"/>
                <w:highlight w:val="none"/>
                <w:vertAlign w:val="subscript"/>
                <w:lang w:val="en-US" w:eastAsia="zh-CN" w:bidi="ar-SA"/>
                <w14:textFill>
                  <w14:solidFill>
                    <w14:schemeClr w14:val="tx1"/>
                  </w14:solidFill>
                </w14:textFill>
              </w:rPr>
              <w:t>3</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）max+V</w:t>
            </w:r>
            <w:r>
              <w:rPr>
                <w:rFonts w:hint="default" w:ascii="Times New Roman" w:hAnsi="Times New Roman" w:eastAsia="宋体" w:cs="Times New Roman"/>
                <w:snapToGrid w:val="0"/>
                <w:color w:val="000000" w:themeColor="text1"/>
                <w:kern w:val="2"/>
                <w:sz w:val="24"/>
                <w:szCs w:val="24"/>
                <w:highlight w:val="none"/>
                <w:vertAlign w:val="subscript"/>
                <w:lang w:val="en-US" w:eastAsia="zh-CN" w:bidi="ar-SA"/>
                <w14:textFill>
                  <w14:solidFill>
                    <w14:schemeClr w14:val="tx1"/>
                  </w14:solidFill>
                </w14:textFill>
              </w:rPr>
              <w:t>4</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+V</w:t>
            </w:r>
            <w:r>
              <w:rPr>
                <w:rFonts w:hint="default" w:ascii="Times New Roman" w:hAnsi="Times New Roman" w:eastAsia="宋体" w:cs="Times New Roman"/>
                <w:snapToGrid w:val="0"/>
                <w:color w:val="000000" w:themeColor="text1"/>
                <w:kern w:val="2"/>
                <w:sz w:val="24"/>
                <w:szCs w:val="24"/>
                <w:highlight w:val="none"/>
                <w:vertAlign w:val="subscript"/>
                <w:lang w:val="en-US" w:eastAsia="zh-CN" w:bidi="ar-SA"/>
                <w14:textFill>
                  <w14:solidFill>
                    <w14:schemeClr w14:val="tx1"/>
                  </w14:solidFill>
                </w14:textFill>
              </w:rPr>
              <w:t>5</w:t>
            </w:r>
          </w:p>
          <w:p w14:paraId="05AAB4B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式中：（V</w:t>
            </w:r>
            <w:r>
              <w:rPr>
                <w:rFonts w:hint="default" w:ascii="Times New Roman" w:hAnsi="Times New Roman" w:eastAsia="宋体" w:cs="Times New Roman"/>
                <w:snapToGrid w:val="0"/>
                <w:color w:val="000000" w:themeColor="text1"/>
                <w:kern w:val="2"/>
                <w:sz w:val="24"/>
                <w:szCs w:val="24"/>
                <w:highlight w:val="none"/>
                <w:vertAlign w:val="subscript"/>
                <w:lang w:val="en-US" w:eastAsia="zh-CN" w:bidi="ar-SA"/>
                <w14:textFill>
                  <w14:solidFill>
                    <w14:schemeClr w14:val="tx1"/>
                  </w14:solidFill>
                </w14:textFill>
              </w:rPr>
              <w:t>1</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+V</w:t>
            </w:r>
            <w:r>
              <w:rPr>
                <w:rFonts w:hint="default" w:ascii="Times New Roman" w:hAnsi="Times New Roman" w:eastAsia="宋体" w:cs="Times New Roman"/>
                <w:snapToGrid w:val="0"/>
                <w:color w:val="000000" w:themeColor="text1"/>
                <w:kern w:val="2"/>
                <w:sz w:val="24"/>
                <w:szCs w:val="24"/>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-V</w:t>
            </w:r>
            <w:r>
              <w:rPr>
                <w:rFonts w:hint="default" w:ascii="Times New Roman" w:hAnsi="Times New Roman" w:eastAsia="宋体" w:cs="Times New Roman"/>
                <w:snapToGrid w:val="0"/>
                <w:color w:val="000000" w:themeColor="text1"/>
                <w:kern w:val="2"/>
                <w:sz w:val="24"/>
                <w:szCs w:val="24"/>
                <w:highlight w:val="none"/>
                <w:vertAlign w:val="subscript"/>
                <w:lang w:val="en-US" w:eastAsia="zh-CN" w:bidi="ar-SA"/>
                <w14:textFill>
                  <w14:solidFill>
                    <w14:schemeClr w14:val="tx1"/>
                  </w14:solidFill>
                </w14:textFill>
              </w:rPr>
              <w:t>3</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）max——指对收集系统范围内不同罐组或装置分别计算V</w:t>
            </w:r>
            <w:r>
              <w:rPr>
                <w:rFonts w:hint="default" w:ascii="Times New Roman" w:hAnsi="Times New Roman" w:eastAsia="宋体" w:cs="Times New Roman"/>
                <w:snapToGrid w:val="0"/>
                <w:color w:val="000000" w:themeColor="text1"/>
                <w:kern w:val="2"/>
                <w:sz w:val="24"/>
                <w:szCs w:val="24"/>
                <w:highlight w:val="none"/>
                <w:vertAlign w:val="subscript"/>
                <w:lang w:val="en-US" w:eastAsia="zh-CN" w:bidi="ar-SA"/>
                <w14:textFill>
                  <w14:solidFill>
                    <w14:schemeClr w14:val="tx1"/>
                  </w14:solidFill>
                </w14:textFill>
              </w:rPr>
              <w:t>1</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+V</w:t>
            </w:r>
            <w:r>
              <w:rPr>
                <w:rFonts w:hint="default" w:ascii="Times New Roman" w:hAnsi="Times New Roman" w:eastAsia="宋体" w:cs="Times New Roman"/>
                <w:snapToGrid w:val="0"/>
                <w:color w:val="000000" w:themeColor="text1"/>
                <w:kern w:val="2"/>
                <w:sz w:val="24"/>
                <w:szCs w:val="24"/>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-V</w:t>
            </w:r>
            <w:r>
              <w:rPr>
                <w:rFonts w:hint="default" w:ascii="Times New Roman" w:hAnsi="Times New Roman" w:eastAsia="宋体" w:cs="Times New Roman"/>
                <w:snapToGrid w:val="0"/>
                <w:color w:val="000000" w:themeColor="text1"/>
                <w:kern w:val="2"/>
                <w:sz w:val="24"/>
                <w:szCs w:val="24"/>
                <w:highlight w:val="none"/>
                <w:vertAlign w:val="subscript"/>
                <w:lang w:val="en-US" w:eastAsia="zh-CN" w:bidi="ar-SA"/>
                <w14:textFill>
                  <w14:solidFill>
                    <w14:schemeClr w14:val="tx1"/>
                  </w14:solidFill>
                </w14:textFill>
              </w:rPr>
              <w:t>3</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，取其中最大值；</w:t>
            </w:r>
          </w:p>
          <w:p w14:paraId="68211A01">
            <w:pPr>
              <w:spacing w:line="360" w:lineRule="auto"/>
              <w:ind w:firstLine="720" w:firstLineChars="300"/>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V</w:t>
            </w:r>
            <w:r>
              <w:rPr>
                <w:rFonts w:hint="default" w:ascii="Times New Roman" w:hAnsi="Times New Roman" w:eastAsia="宋体" w:cs="Times New Roman"/>
                <w:snapToGrid w:val="0"/>
                <w:color w:val="000000" w:themeColor="text1"/>
                <w:kern w:val="2"/>
                <w:sz w:val="24"/>
                <w:szCs w:val="24"/>
                <w:highlight w:val="none"/>
                <w:vertAlign w:val="subscript"/>
                <w:lang w:val="en-US" w:eastAsia="zh-CN" w:bidi="ar-SA"/>
                <w14:textFill>
                  <w14:solidFill>
                    <w14:schemeClr w14:val="tx1"/>
                  </w14:solidFill>
                </w14:textFill>
              </w:rPr>
              <w:t>1</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——收集系统范围内发生事故的一个罐组或一套装置的物料量，</w:t>
            </w:r>
            <w:r>
              <w:rPr>
                <w:rFonts w:hint="eastAsia" w:eastAsia="宋体" w:cs="Times New Roman"/>
                <w:snapToGrid w:val="0"/>
                <w:color w:val="000000" w:themeColor="text1"/>
                <w:kern w:val="2"/>
                <w:sz w:val="24"/>
                <w:szCs w:val="24"/>
                <w:highlight w:val="none"/>
                <w:lang w:val="en-US" w:eastAsia="zh-CN" w:bidi="ar-SA"/>
                <w14:textFill>
                  <w14:solidFill>
                    <w14:schemeClr w14:val="tx1"/>
                  </w14:solidFill>
                </w14:textFill>
              </w:rPr>
              <w:t>本项目乙醇储罐</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位于室内</w:t>
            </w:r>
            <w:r>
              <w:rPr>
                <w:rFonts w:hint="eastAsia"/>
                <w:color w:val="000000" w:themeColor="text1"/>
                <w:highlight w:val="none"/>
                <w:lang w:eastAsia="zh-CN"/>
                <w14:textFill>
                  <w14:solidFill>
                    <w14:schemeClr w14:val="tx1"/>
                  </w14:solidFill>
                </w14:textFill>
              </w:rPr>
              <w:t>）</w:t>
            </w:r>
            <w:r>
              <w:rPr>
                <w:rFonts w:hint="eastAsia" w:eastAsia="宋体" w:cs="Times New Roman"/>
                <w:snapToGrid w:val="0"/>
                <w:color w:val="000000" w:themeColor="text1"/>
                <w:kern w:val="2"/>
                <w:sz w:val="24"/>
                <w:szCs w:val="24"/>
                <w:highlight w:val="none"/>
                <w:lang w:val="en-US" w:eastAsia="zh-CN" w:bidi="ar-SA"/>
                <w14:textFill>
                  <w14:solidFill>
                    <w14:schemeClr w14:val="tx1"/>
                  </w14:solidFill>
                </w14:textFill>
              </w:rPr>
              <w:t>最大泄漏量为V</w:t>
            </w:r>
            <w:r>
              <w:rPr>
                <w:rFonts w:hint="eastAsia" w:eastAsia="宋体" w:cs="Times New Roman"/>
                <w:snapToGrid w:val="0"/>
                <w:color w:val="000000" w:themeColor="text1"/>
                <w:kern w:val="2"/>
                <w:sz w:val="24"/>
                <w:szCs w:val="24"/>
                <w:highlight w:val="none"/>
                <w:vertAlign w:val="subscript"/>
                <w:lang w:val="en-US" w:eastAsia="zh-CN" w:bidi="ar-SA"/>
                <w14:textFill>
                  <w14:solidFill>
                    <w14:schemeClr w14:val="tx1"/>
                  </w14:solidFill>
                </w14:textFill>
              </w:rPr>
              <w:t>1</w:t>
            </w:r>
            <w:r>
              <w:rPr>
                <w:rFonts w:hint="eastAsia" w:eastAsia="宋体" w:cs="Times New Roman"/>
                <w:snapToGrid w:val="0"/>
                <w:color w:val="000000" w:themeColor="text1"/>
                <w:kern w:val="2"/>
                <w:sz w:val="24"/>
                <w:szCs w:val="24"/>
                <w:highlight w:val="none"/>
                <w:lang w:val="en-US" w:eastAsia="zh-CN" w:bidi="ar-SA"/>
                <w14:textFill>
                  <w14:solidFill>
                    <w14:schemeClr w14:val="tx1"/>
                  </w14:solidFill>
                </w14:textFill>
              </w:rPr>
              <w:t xml:space="preserve">=3.5 </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m</w:t>
            </w:r>
            <w:r>
              <w:rPr>
                <w:rFonts w:hint="default" w:ascii="Times New Roman" w:hAnsi="Times New Roman" w:eastAsia="宋体" w:cs="Times New Roman"/>
                <w:snapToGrid w:val="0"/>
                <w:color w:val="000000" w:themeColor="text1"/>
                <w:kern w:val="2"/>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w:t>
            </w:r>
          </w:p>
          <w:p w14:paraId="3D175B32">
            <w:pPr>
              <w:spacing w:line="360" w:lineRule="auto"/>
              <w:ind w:firstLine="720" w:firstLineChars="300"/>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V</w:t>
            </w:r>
            <w:r>
              <w:rPr>
                <w:rFonts w:hint="default" w:ascii="Times New Roman" w:hAnsi="Times New Roman" w:eastAsia="宋体" w:cs="Times New Roman"/>
                <w:snapToGrid w:val="0"/>
                <w:color w:val="000000" w:themeColor="text1"/>
                <w:kern w:val="2"/>
                <w:sz w:val="24"/>
                <w:szCs w:val="24"/>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——发生事故的储罐或装置的消防水量，m</w:t>
            </w:r>
            <w:r>
              <w:rPr>
                <w:rFonts w:hint="default" w:ascii="Times New Roman" w:hAnsi="Times New Roman" w:eastAsia="宋体" w:cs="Times New Roman"/>
                <w:snapToGrid w:val="0"/>
                <w:color w:val="000000" w:themeColor="text1"/>
                <w:kern w:val="2"/>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；假设发生火灾时，除企业配备的干粉灭火器外，还有1支消防水枪同时扑救，消防水枪用水量为15</w:t>
            </w:r>
            <w:r>
              <w:rPr>
                <w:rFonts w:hint="eastAsia" w:eastAsia="宋体" w:cs="Times New Roman"/>
                <w:snapToGrid w:val="0"/>
                <w:color w:val="000000" w:themeColor="text1"/>
                <w:kern w:val="2"/>
                <w:sz w:val="24"/>
                <w:szCs w:val="24"/>
                <w:highlight w:val="none"/>
                <w:lang w:val="en-US" w:eastAsia="zh-CN" w:bidi="ar-SA"/>
                <w14:textFill>
                  <w14:solidFill>
                    <w14:schemeClr w14:val="tx1"/>
                  </w14:solidFill>
                </w14:textFill>
              </w:rPr>
              <w:t xml:space="preserve"> </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L/s，火灾延续时间按2</w:t>
            </w:r>
            <w:r>
              <w:rPr>
                <w:rFonts w:hint="eastAsia" w:eastAsia="宋体" w:cs="Times New Roman"/>
                <w:snapToGrid w:val="0"/>
                <w:color w:val="000000" w:themeColor="text1"/>
                <w:kern w:val="2"/>
                <w:sz w:val="24"/>
                <w:szCs w:val="24"/>
                <w:highlight w:val="none"/>
                <w:lang w:val="en-US" w:eastAsia="zh-CN" w:bidi="ar-SA"/>
                <w14:textFill>
                  <w14:solidFill>
                    <w14:schemeClr w14:val="tx1"/>
                  </w14:solidFill>
                </w14:textFill>
              </w:rPr>
              <w:t xml:space="preserve"> </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h计，则产生消防废水量为V</w:t>
            </w:r>
            <w:r>
              <w:rPr>
                <w:rFonts w:hint="default" w:ascii="Times New Roman" w:hAnsi="Times New Roman" w:eastAsia="宋体" w:cs="Times New Roman"/>
                <w:snapToGrid w:val="0"/>
                <w:color w:val="000000" w:themeColor="text1"/>
                <w:kern w:val="2"/>
                <w:sz w:val="24"/>
                <w:szCs w:val="24"/>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=108</w:t>
            </w:r>
            <w:r>
              <w:rPr>
                <w:rFonts w:hint="eastAsia" w:eastAsia="宋体" w:cs="Times New Roman"/>
                <w:snapToGrid w:val="0"/>
                <w:color w:val="000000" w:themeColor="text1"/>
                <w:kern w:val="2"/>
                <w:sz w:val="24"/>
                <w:szCs w:val="24"/>
                <w:highlight w:val="none"/>
                <w:lang w:val="en-US" w:eastAsia="zh-CN" w:bidi="ar-SA"/>
                <w14:textFill>
                  <w14:solidFill>
                    <w14:schemeClr w14:val="tx1"/>
                  </w14:solidFill>
                </w14:textFill>
              </w:rPr>
              <w:t xml:space="preserve"> </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m</w:t>
            </w:r>
            <w:r>
              <w:rPr>
                <w:rFonts w:hint="default" w:ascii="Times New Roman" w:hAnsi="Times New Roman" w:eastAsia="宋体" w:cs="Times New Roman"/>
                <w:snapToGrid w:val="0"/>
                <w:color w:val="000000" w:themeColor="text1"/>
                <w:kern w:val="2"/>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w:t>
            </w:r>
          </w:p>
          <w:p w14:paraId="5523FA05">
            <w:pPr>
              <w:spacing w:line="360" w:lineRule="auto"/>
              <w:ind w:firstLine="720" w:firstLineChars="300"/>
              <w:rPr>
                <w:rFonts w:hint="default" w:ascii="Times New Roman" w:hAnsi="Times New Roman" w:eastAsia="宋体" w:cs="Times New Roman"/>
                <w:snapToGrid w:val="0"/>
                <w:color w:val="000000" w:themeColor="text1"/>
                <w:kern w:val="2"/>
                <w:sz w:val="24"/>
                <w:szCs w:val="24"/>
                <w:highlight w:val="none"/>
                <w:vertAlign w:val="baseli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V</w:t>
            </w:r>
            <w:r>
              <w:rPr>
                <w:rFonts w:hint="default" w:ascii="Times New Roman" w:hAnsi="Times New Roman" w:eastAsia="宋体" w:cs="Times New Roman"/>
                <w:snapToGrid w:val="0"/>
                <w:color w:val="000000" w:themeColor="text1"/>
                <w:kern w:val="2"/>
                <w:sz w:val="24"/>
                <w:szCs w:val="24"/>
                <w:highlight w:val="none"/>
                <w:vertAlign w:val="subscript"/>
                <w:lang w:val="en-US" w:eastAsia="zh-CN" w:bidi="ar-SA"/>
                <w14:textFill>
                  <w14:solidFill>
                    <w14:schemeClr w14:val="tx1"/>
                  </w14:solidFill>
                </w14:textFill>
              </w:rPr>
              <w:t>3</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——处理设施的物料量无收集处置，故V</w:t>
            </w:r>
            <w:r>
              <w:rPr>
                <w:rFonts w:hint="default" w:ascii="Times New Roman" w:hAnsi="Times New Roman" w:eastAsia="宋体" w:cs="Times New Roman"/>
                <w:snapToGrid w:val="0"/>
                <w:color w:val="000000" w:themeColor="text1"/>
                <w:kern w:val="2"/>
                <w:sz w:val="24"/>
                <w:szCs w:val="24"/>
                <w:highlight w:val="none"/>
                <w:vertAlign w:val="subscript"/>
                <w:lang w:val="en-US" w:eastAsia="zh-CN" w:bidi="ar-SA"/>
                <w14:textFill>
                  <w14:solidFill>
                    <w14:schemeClr w14:val="tx1"/>
                  </w14:solidFill>
                </w14:textFill>
              </w:rPr>
              <w:t>3</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=0 m</w:t>
            </w:r>
            <w:r>
              <w:rPr>
                <w:rFonts w:hint="default" w:ascii="Times New Roman" w:hAnsi="Times New Roman" w:eastAsia="宋体" w:cs="Times New Roman"/>
                <w:snapToGrid w:val="0"/>
                <w:color w:val="000000" w:themeColor="text1"/>
                <w:kern w:val="2"/>
                <w:sz w:val="24"/>
                <w:szCs w:val="24"/>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snapToGrid w:val="0"/>
                <w:color w:val="000000" w:themeColor="text1"/>
                <w:kern w:val="2"/>
                <w:sz w:val="24"/>
                <w:szCs w:val="24"/>
                <w:highlight w:val="none"/>
                <w:vertAlign w:val="baseline"/>
                <w:lang w:val="en-US" w:eastAsia="zh-CN" w:bidi="ar-SA"/>
                <w14:textFill>
                  <w14:solidFill>
                    <w14:schemeClr w14:val="tx1"/>
                  </w14:solidFill>
                </w14:textFill>
              </w:rPr>
              <w:t>；</w:t>
            </w:r>
          </w:p>
          <w:p w14:paraId="07F68060">
            <w:pPr>
              <w:spacing w:line="360" w:lineRule="auto"/>
              <w:ind w:firstLine="720" w:firstLineChars="300"/>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V</w:t>
            </w:r>
            <w:r>
              <w:rPr>
                <w:rFonts w:hint="default" w:ascii="Times New Roman" w:hAnsi="Times New Roman" w:eastAsia="宋体" w:cs="Times New Roman"/>
                <w:snapToGrid w:val="0"/>
                <w:color w:val="000000" w:themeColor="text1"/>
                <w:kern w:val="2"/>
                <w:sz w:val="24"/>
                <w:szCs w:val="24"/>
                <w:highlight w:val="none"/>
                <w:vertAlign w:val="subscript"/>
                <w:lang w:val="en-US" w:eastAsia="zh-CN" w:bidi="ar-SA"/>
                <w14:textFill>
                  <w14:solidFill>
                    <w14:schemeClr w14:val="tx1"/>
                  </w14:solidFill>
                </w14:textFill>
              </w:rPr>
              <w:t>4</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——发生事故时仍必须进入该收集系统的生产废水量，m</w:t>
            </w:r>
            <w:r>
              <w:rPr>
                <w:rFonts w:hint="default" w:ascii="Times New Roman" w:hAnsi="Times New Roman" w:eastAsia="宋体" w:cs="Times New Roman"/>
                <w:snapToGrid w:val="0"/>
                <w:color w:val="000000" w:themeColor="text1"/>
                <w:kern w:val="2"/>
                <w:sz w:val="24"/>
                <w:szCs w:val="24"/>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snapToGrid w:val="0"/>
                <w:color w:val="000000" w:themeColor="text1"/>
                <w:kern w:val="2"/>
                <w:sz w:val="24"/>
                <w:szCs w:val="24"/>
                <w:highlight w:val="none"/>
                <w:vertAlign w:val="baseline"/>
                <w:lang w:val="en-US" w:eastAsia="zh-CN" w:bidi="ar-SA"/>
                <w14:textFill>
                  <w14:solidFill>
                    <w14:schemeClr w14:val="tx1"/>
                  </w14:solidFill>
                </w14:textFill>
              </w:rPr>
              <w:t>；V</w:t>
            </w:r>
            <w:r>
              <w:rPr>
                <w:rFonts w:hint="eastAsia" w:ascii="Times New Roman" w:hAnsi="Times New Roman" w:eastAsia="宋体" w:cs="Times New Roman"/>
                <w:snapToGrid w:val="0"/>
                <w:color w:val="000000" w:themeColor="text1"/>
                <w:kern w:val="2"/>
                <w:sz w:val="24"/>
                <w:szCs w:val="24"/>
                <w:highlight w:val="none"/>
                <w:vertAlign w:val="subscript"/>
                <w:lang w:val="en-US" w:eastAsia="zh-CN" w:bidi="ar-SA"/>
                <w14:textFill>
                  <w14:solidFill>
                    <w14:schemeClr w14:val="tx1"/>
                  </w14:solidFill>
                </w14:textFill>
              </w:rPr>
              <w:t>4</w:t>
            </w:r>
            <w:r>
              <w:rPr>
                <w:rFonts w:hint="eastAsia" w:ascii="Times New Roman" w:hAnsi="Times New Roman" w:eastAsia="宋体" w:cs="Times New Roman"/>
                <w:snapToGrid w:val="0"/>
                <w:color w:val="000000" w:themeColor="text1"/>
                <w:kern w:val="2"/>
                <w:sz w:val="24"/>
                <w:szCs w:val="24"/>
                <w:highlight w:val="none"/>
                <w:vertAlign w:val="baseli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0 m</w:t>
            </w:r>
            <w:r>
              <w:rPr>
                <w:rFonts w:hint="default" w:ascii="Times New Roman" w:hAnsi="Times New Roman" w:eastAsia="宋体" w:cs="Times New Roman"/>
                <w:snapToGrid w:val="0"/>
                <w:color w:val="000000" w:themeColor="text1"/>
                <w:kern w:val="2"/>
                <w:sz w:val="24"/>
                <w:szCs w:val="24"/>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snapToGrid w:val="0"/>
                <w:color w:val="000000" w:themeColor="text1"/>
                <w:kern w:val="2"/>
                <w:sz w:val="24"/>
                <w:szCs w:val="24"/>
                <w:highlight w:val="none"/>
                <w:vertAlign w:val="baseline"/>
                <w:lang w:val="en-US" w:eastAsia="zh-CN" w:bidi="ar-SA"/>
                <w14:textFill>
                  <w14:solidFill>
                    <w14:schemeClr w14:val="tx1"/>
                  </w14:solidFill>
                </w14:textFill>
              </w:rPr>
              <w:t>；</w:t>
            </w:r>
          </w:p>
          <w:p w14:paraId="066B6918">
            <w:pPr>
              <w:spacing w:line="360" w:lineRule="auto"/>
              <w:ind w:firstLine="720" w:firstLineChars="300"/>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V</w:t>
            </w:r>
            <w:r>
              <w:rPr>
                <w:rFonts w:hint="default" w:ascii="Times New Roman" w:hAnsi="Times New Roman" w:eastAsia="宋体" w:cs="Times New Roman"/>
                <w:snapToGrid w:val="0"/>
                <w:color w:val="000000" w:themeColor="text1"/>
                <w:kern w:val="2"/>
                <w:sz w:val="24"/>
                <w:szCs w:val="24"/>
                <w:highlight w:val="none"/>
                <w:vertAlign w:val="subscript"/>
                <w:lang w:val="en-US" w:eastAsia="zh-CN" w:bidi="ar-SA"/>
                <w14:textFill>
                  <w14:solidFill>
                    <w14:schemeClr w14:val="tx1"/>
                  </w14:solidFill>
                </w14:textFill>
              </w:rPr>
              <w:t>5</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——发生事故时可能进入该废水收集系统的最大降雨量，m</w:t>
            </w:r>
            <w:r>
              <w:rPr>
                <w:rFonts w:hint="default" w:ascii="Times New Roman" w:hAnsi="Times New Roman" w:eastAsia="宋体" w:cs="Times New Roman"/>
                <w:snapToGrid w:val="0"/>
                <w:color w:val="000000" w:themeColor="text1"/>
                <w:kern w:val="2"/>
                <w:sz w:val="24"/>
                <w:szCs w:val="24"/>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snapToGrid w:val="0"/>
                <w:color w:val="000000" w:themeColor="text1"/>
                <w:kern w:val="2"/>
                <w:sz w:val="24"/>
                <w:szCs w:val="24"/>
                <w:highlight w:val="none"/>
                <w:vertAlign w:val="baseli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本项目厂房为防雨结构，火灾发生在室内，取0</w:t>
            </w:r>
            <w:r>
              <w:rPr>
                <w:rFonts w:hint="eastAsia" w:eastAsia="宋体" w:cs="Times New Roman"/>
                <w:snapToGrid w:val="0"/>
                <w:color w:val="000000" w:themeColor="text1"/>
                <w:kern w:val="2"/>
                <w:sz w:val="24"/>
                <w:szCs w:val="24"/>
                <w:highlight w:val="none"/>
                <w:lang w:val="en-US" w:eastAsia="zh-CN" w:bidi="ar-SA"/>
                <w14:textFill>
                  <w14:solidFill>
                    <w14:schemeClr w14:val="tx1"/>
                  </w14:solidFill>
                </w14:textFill>
              </w:rPr>
              <w:t>。</w:t>
            </w:r>
          </w:p>
          <w:p w14:paraId="18FB54DC">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V</w:t>
            </w:r>
            <w:r>
              <w:rPr>
                <w:rFonts w:hint="eastAsia"/>
                <w:color w:val="000000" w:themeColor="text1"/>
                <w:highlight w:val="none"/>
                <w:vertAlign w:val="subscript"/>
                <w:lang w:val="en-US" w:eastAsia="zh-CN"/>
                <w14:textFill>
                  <w14:solidFill>
                    <w14:schemeClr w14:val="tx1"/>
                  </w14:solidFill>
                </w14:textFill>
              </w:rPr>
              <w:t>总</w:t>
            </w:r>
            <w:r>
              <w:rPr>
                <w:rFonts w:hint="eastAsia"/>
                <w:color w:val="000000" w:themeColor="text1"/>
                <w:highlight w:val="none"/>
                <w:lang w:val="en-US" w:eastAsia="zh-CN"/>
                <w14:textFill>
                  <w14:solidFill>
                    <w14:schemeClr w14:val="tx1"/>
                  </w14:solidFill>
                </w14:textFill>
              </w:rPr>
              <w:t>=（3.5+108-0）+0+0=111.5 m</w:t>
            </w:r>
            <w:r>
              <w:rPr>
                <w:rFonts w:hint="eastAsia"/>
                <w:color w:val="000000" w:themeColor="text1"/>
                <w:highlight w:val="none"/>
                <w:vertAlign w:val="superscript"/>
                <w:lang w:val="en-US" w:eastAsia="zh-CN"/>
                <w14:textFill>
                  <w14:solidFill>
                    <w14:schemeClr w14:val="tx1"/>
                  </w14:solidFill>
                </w14:textFill>
              </w:rPr>
              <w:t>3</w:t>
            </w:r>
          </w:p>
          <w:p w14:paraId="31C0DB4A">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本项目厂区排水系统依托福建中禾新材料有限公司，该公司厂区内已建设有完善的排水系统并设有切换阀，且厂区内设有容积为900 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的事故应急池，出租方使用容积为200 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，剩余700m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可供本项目使用（详见附件9：事故应急池使用协议），经计算，本项目所需的事故应急池容积为111.5 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，因此，出租方剩余的事故应急池容积可满足本项目的事故废水收集需求，依托可行。</w:t>
            </w:r>
          </w:p>
          <w:p w14:paraId="15A6493B">
            <w:pP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（8）应急预案编制</w:t>
            </w:r>
          </w:p>
          <w:p w14:paraId="2C9FD5B0">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建设单位应按照《突发事件应急预案管理办法》（国办发〔2024〕5号）和福建省环保厅转发环保部关于印发《企业事业单位突发环境事件应急预案备案管理办法（</w:t>
            </w:r>
            <w:bookmarkStart w:id="280" w:name="_GoBack"/>
            <w:bookmarkEnd w:id="280"/>
            <w:r>
              <w:rPr>
                <w:rFonts w:hint="default"/>
                <w:color w:val="000000" w:themeColor="text1"/>
                <w:highlight w:val="none"/>
                <w:lang w:val="en-US" w:eastAsia="zh-CN"/>
                <w14:textFill>
                  <w14:solidFill>
                    <w14:schemeClr w14:val="tx1"/>
                  </w14:solidFill>
                </w14:textFill>
              </w:rPr>
              <w:t>试行）》的通知（闽环保应急〔2015〕2号）要求，</w:t>
            </w:r>
            <w:r>
              <w:rPr>
                <w:rFonts w:hint="eastAsia"/>
                <w:color w:val="000000" w:themeColor="text1"/>
                <w:highlight w:val="none"/>
                <w:lang w:val="en-US" w:eastAsia="zh-CN"/>
                <w14:textFill>
                  <w14:solidFill>
                    <w14:schemeClr w14:val="tx1"/>
                  </w14:solidFill>
                </w14:textFill>
              </w:rPr>
              <w:t>编制</w:t>
            </w:r>
            <w:r>
              <w:rPr>
                <w:rFonts w:hint="default"/>
                <w:color w:val="000000" w:themeColor="text1"/>
                <w:highlight w:val="none"/>
                <w:lang w:val="en-US" w:eastAsia="zh-CN"/>
                <w14:textFill>
                  <w14:solidFill>
                    <w14:schemeClr w14:val="tx1"/>
                  </w14:solidFill>
                </w14:textFill>
              </w:rPr>
              <w:t>突发环境事件应急预案。在预案中应明确适用范围、环境事件分类与分级、组织机构与职责、监控和预警、应急响应、应急保障、善后处置、预案管理与演练等内容。体现本项目突发环境事件应急预案与永安市石墨和石墨烯产业园突发环境事件应急措施相衔接。</w:t>
            </w:r>
          </w:p>
          <w:p w14:paraId="159CF945">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项目编制应急预案须按照《企业事业单位突发环境事件应急预案备案管理办法（试行）》的规定，组织召开预案评审工作，并报当地环保部门备案，企业结合环境应急预案实施情况，至少每三年对环境应急预案进行一次回顾性评估，面临的环境风险发生重大变化、需要重新进行环境风险评估的、应急管理组织体系与职责发生重大变化的、环境应急监测预警及报告机制、应对流程和措施、应急保障措施发生重大变化、重要应急资源发生重大变化、在突发事件实际应对和应急演练中发现问题，需要对环境应急预案做出重大调整及其他需要修订的情况下，应急预案需要及时修订。</w:t>
            </w:r>
          </w:p>
          <w:p w14:paraId="59A374F7">
            <w:pPr>
              <w:pStyle w:val="3"/>
              <w:bidi w:val="0"/>
              <w:rPr>
                <w:rFonts w:hint="eastAsia"/>
                <w:color w:val="000000" w:themeColor="text1"/>
                <w:highlight w:val="none"/>
                <w:lang w:val="en-US" w:eastAsia="zh-CN"/>
                <w14:textFill>
                  <w14:solidFill>
                    <w14:schemeClr w14:val="tx1"/>
                  </w14:solidFill>
                </w14:textFill>
              </w:rPr>
            </w:pPr>
            <w:bookmarkStart w:id="263" w:name="_Toc1821"/>
            <w:bookmarkStart w:id="264" w:name="_Toc7455"/>
            <w:r>
              <w:rPr>
                <w:rFonts w:hint="eastAsia"/>
                <w:color w:val="000000" w:themeColor="text1"/>
                <w:highlight w:val="none"/>
                <w14:textFill>
                  <w14:solidFill>
                    <w14:schemeClr w14:val="tx1"/>
                  </w14:solidFill>
                </w14:textFill>
              </w:rPr>
              <w:t>风险分析结论</w:t>
            </w:r>
            <w:bookmarkEnd w:id="263"/>
            <w:bookmarkEnd w:id="264"/>
          </w:p>
          <w:p w14:paraId="6936B9D3">
            <w:pPr>
              <w:rPr>
                <w:rFonts w:hint="eastAsia"/>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项目采用的各项环境风险防范措施符合相关要求，可有效预防各类环境风险的产生，通过加强管理、加强应急演练及与周边企业的应急联动，切实提升自身风险应急水平后，项目环境风险可防控。</w:t>
            </w:r>
          </w:p>
          <w:p w14:paraId="57470153">
            <w:pPr>
              <w:rPr>
                <w:rFonts w:hint="eastAsia"/>
                <w:color w:val="000000" w:themeColor="text1"/>
                <w:highlight w:val="none"/>
                <w:lang w:val="en-US" w:eastAsia="zh-CN"/>
                <w14:textFill>
                  <w14:solidFill>
                    <w14:schemeClr w14:val="tx1"/>
                  </w14:solidFill>
                </w14:textFill>
              </w:rPr>
            </w:pPr>
          </w:p>
          <w:p w14:paraId="1817B4C9">
            <w:pPr>
              <w:rPr>
                <w:rFonts w:hint="eastAsia"/>
                <w:color w:val="000000" w:themeColor="text1"/>
                <w:highlight w:val="none"/>
                <w:lang w:val="en-US" w:eastAsia="zh-CN"/>
                <w14:textFill>
                  <w14:solidFill>
                    <w14:schemeClr w14:val="tx1"/>
                  </w14:solidFill>
                </w14:textFill>
              </w:rPr>
            </w:pPr>
          </w:p>
        </w:tc>
      </w:tr>
    </w:tbl>
    <w:p w14:paraId="1EF3095A">
      <w:pPr>
        <w:numPr>
          <w:ilvl w:val="0"/>
          <w:numId w:val="0"/>
        </w:numPr>
        <w:tabs>
          <w:tab w:val="left" w:pos="0"/>
        </w:tabs>
        <w:bidi w:val="0"/>
        <w:ind w:leftChars="200"/>
        <w:rPr>
          <w:rFonts w:hint="default"/>
          <w:color w:val="000000" w:themeColor="text1"/>
          <w:highlight w:val="none"/>
          <w:lang w:eastAsia="zh-CN"/>
          <w14:textFill>
            <w14:solidFill>
              <w14:schemeClr w14:val="tx1"/>
            </w14:solidFill>
          </w14:textFill>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bookmarkStart w:id="265" w:name="_Toc429"/>
      <w:bookmarkStart w:id="266" w:name="_Hlk54167917"/>
      <w:bookmarkStart w:id="267" w:name="_Toc8497"/>
    </w:p>
    <w:p w14:paraId="76146A1B">
      <w:pPr>
        <w:pStyle w:val="32"/>
        <w:numPr>
          <w:ilvl w:val="0"/>
          <w:numId w:val="4"/>
        </w:numPr>
        <w:tabs>
          <w:tab w:val="left" w:pos="0"/>
        </w:tabs>
        <w:bidi w:val="0"/>
        <w:rPr>
          <w:rFonts w:hint="default" w:ascii="Times New Roman" w:hAnsi="Times New Roman" w:cs="Times New Roman"/>
          <w:color w:val="000000" w:themeColor="text1"/>
          <w:highlight w:val="none"/>
          <w:lang w:eastAsia="zh-CN"/>
          <w14:textFill>
            <w14:solidFill>
              <w14:schemeClr w14:val="tx1"/>
            </w14:solidFill>
          </w14:textFill>
        </w:rPr>
      </w:pPr>
      <w:bookmarkStart w:id="268" w:name="_Toc26807"/>
      <w:bookmarkStart w:id="269" w:name="_Toc28798"/>
      <w:bookmarkStart w:id="270" w:name="_Toc32652"/>
      <w:bookmarkStart w:id="271" w:name="_Toc30152"/>
      <w:bookmarkStart w:id="272" w:name="_Toc26388"/>
      <w:r>
        <w:rPr>
          <w:rFonts w:hint="default" w:ascii="Times New Roman" w:hAnsi="Times New Roman" w:cs="Times New Roman"/>
          <w:color w:val="000000" w:themeColor="text1"/>
          <w:highlight w:val="none"/>
          <w14:textFill>
            <w14:solidFill>
              <w14:schemeClr w14:val="tx1"/>
            </w14:solidFill>
          </w14:textFill>
        </w:rPr>
        <w:t>环境保护措施监督检查清单</w:t>
      </w:r>
      <w:bookmarkEnd w:id="265"/>
      <w:bookmarkEnd w:id="266"/>
      <w:bookmarkEnd w:id="267"/>
      <w:bookmarkEnd w:id="268"/>
      <w:bookmarkEnd w:id="269"/>
      <w:bookmarkEnd w:id="270"/>
      <w:bookmarkEnd w:id="271"/>
      <w:bookmarkEnd w:id="272"/>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774"/>
        <w:gridCol w:w="1023"/>
        <w:gridCol w:w="1609"/>
        <w:gridCol w:w="1637"/>
        <w:gridCol w:w="2898"/>
      </w:tblGrid>
      <w:tr w14:paraId="0A2098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119" w:type="dxa"/>
            <w:tcBorders>
              <w:tl2br w:val="single" w:color="auto" w:sz="4" w:space="0"/>
            </w:tcBorders>
            <w:noWrap w:val="0"/>
            <w:vAlign w:val="top"/>
          </w:tcPr>
          <w:p w14:paraId="13881015">
            <w:pPr>
              <w:pStyle w:val="26"/>
              <w:bidi w:val="0"/>
              <w:jc w:val="righ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内容</w:t>
            </w:r>
          </w:p>
          <w:p w14:paraId="3F5C52A3">
            <w:pPr>
              <w:pStyle w:val="26"/>
              <w:bidi w:val="0"/>
              <w:rPr>
                <w:rFonts w:hint="default" w:ascii="Times New Roman" w:hAnsi="Times New Roman" w:cs="Times New Roman"/>
                <w:color w:val="000000" w:themeColor="text1"/>
                <w:sz w:val="21"/>
                <w:szCs w:val="21"/>
                <w:highlight w:val="none"/>
                <w14:textFill>
                  <w14:solidFill>
                    <w14:schemeClr w14:val="tx1"/>
                  </w14:solidFill>
                </w14:textFill>
              </w:rPr>
            </w:pPr>
          </w:p>
          <w:p w14:paraId="54354851">
            <w:pPr>
              <w:pStyle w:val="26"/>
              <w:bidi w:val="0"/>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要素</w:t>
            </w:r>
          </w:p>
        </w:tc>
        <w:tc>
          <w:tcPr>
            <w:tcW w:w="1797" w:type="dxa"/>
            <w:gridSpan w:val="2"/>
            <w:tcBorders>
              <w:tl2br w:val="nil"/>
              <w:tr2bl w:val="nil"/>
            </w:tcBorders>
            <w:noWrap w:val="0"/>
            <w:vAlign w:val="center"/>
          </w:tcPr>
          <w:p w14:paraId="35AC2654">
            <w:pPr>
              <w:pStyle w:val="2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排放口(编号、名称)/污染源</w:t>
            </w:r>
          </w:p>
        </w:tc>
        <w:tc>
          <w:tcPr>
            <w:tcW w:w="1609" w:type="dxa"/>
            <w:tcBorders>
              <w:tl2br w:val="nil"/>
              <w:tr2bl w:val="nil"/>
            </w:tcBorders>
            <w:noWrap w:val="0"/>
            <w:vAlign w:val="center"/>
          </w:tcPr>
          <w:p w14:paraId="52A12E02">
            <w:pPr>
              <w:pStyle w:val="2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污染物项目</w:t>
            </w:r>
          </w:p>
        </w:tc>
        <w:tc>
          <w:tcPr>
            <w:tcW w:w="1637" w:type="dxa"/>
            <w:tcBorders>
              <w:tl2br w:val="nil"/>
              <w:tr2bl w:val="nil"/>
            </w:tcBorders>
            <w:noWrap w:val="0"/>
            <w:vAlign w:val="center"/>
          </w:tcPr>
          <w:p w14:paraId="3C8F7D65">
            <w:pPr>
              <w:pStyle w:val="2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环境保护措施</w:t>
            </w:r>
          </w:p>
        </w:tc>
        <w:tc>
          <w:tcPr>
            <w:tcW w:w="2898" w:type="dxa"/>
            <w:tcBorders>
              <w:tl2br w:val="nil"/>
              <w:tr2bl w:val="nil"/>
            </w:tcBorders>
            <w:noWrap w:val="0"/>
            <w:vAlign w:val="center"/>
          </w:tcPr>
          <w:p w14:paraId="4F5A027A">
            <w:pPr>
              <w:pStyle w:val="2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执行标准</w:t>
            </w:r>
          </w:p>
        </w:tc>
      </w:tr>
      <w:tr w14:paraId="1676C5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9" w:type="dxa"/>
            <w:vMerge w:val="restart"/>
            <w:tcBorders>
              <w:tl2br w:val="nil"/>
              <w:tr2bl w:val="nil"/>
            </w:tcBorders>
            <w:noWrap w:val="0"/>
            <w:vAlign w:val="center"/>
          </w:tcPr>
          <w:p w14:paraId="1E95C160">
            <w:pPr>
              <w:pStyle w:val="26"/>
              <w:bidi w:val="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大气环境</w:t>
            </w:r>
          </w:p>
        </w:tc>
        <w:tc>
          <w:tcPr>
            <w:tcW w:w="774" w:type="dxa"/>
            <w:vMerge w:val="restart"/>
            <w:tcBorders>
              <w:tl2br w:val="nil"/>
              <w:tr2bl w:val="nil"/>
            </w:tcBorders>
            <w:noWrap w:val="0"/>
            <w:vAlign w:val="center"/>
          </w:tcPr>
          <w:p w14:paraId="6BF498F4">
            <w:pPr>
              <w:pStyle w:val="26"/>
              <w:bidi w:val="0"/>
              <w:ind w:firstLine="0" w:firstLineChars="0"/>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一期工程</w:t>
            </w:r>
          </w:p>
        </w:tc>
        <w:tc>
          <w:tcPr>
            <w:tcW w:w="1023" w:type="dxa"/>
            <w:vMerge w:val="restart"/>
            <w:tcBorders>
              <w:tl2br w:val="nil"/>
              <w:tr2bl w:val="nil"/>
            </w:tcBorders>
            <w:noWrap w:val="0"/>
            <w:vAlign w:val="center"/>
          </w:tcPr>
          <w:p w14:paraId="3DC35E09">
            <w:pPr>
              <w:pStyle w:val="26"/>
              <w:bidi w:val="0"/>
              <w:ind w:firstLine="0" w:firstLineChars="0"/>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DA001</w:t>
            </w:r>
          </w:p>
        </w:tc>
        <w:tc>
          <w:tcPr>
            <w:tcW w:w="1609" w:type="dxa"/>
            <w:tcBorders>
              <w:tl2br w:val="nil"/>
              <w:tr2bl w:val="nil"/>
            </w:tcBorders>
            <w:noWrap w:val="0"/>
            <w:vAlign w:val="center"/>
          </w:tcPr>
          <w:p w14:paraId="02008CC6">
            <w:pPr>
              <w:pStyle w:val="26"/>
              <w:bidi w:val="0"/>
              <w:rPr>
                <w:rFonts w:hint="default" w:cs="Times New Roman"/>
                <w:color w:val="000000" w:themeColor="text1"/>
                <w:sz w:val="21"/>
                <w:szCs w:val="2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非甲烷总烃</w:t>
            </w:r>
          </w:p>
        </w:tc>
        <w:tc>
          <w:tcPr>
            <w:tcW w:w="1637" w:type="dxa"/>
            <w:vMerge w:val="restart"/>
            <w:tcBorders>
              <w:tl2br w:val="nil"/>
              <w:tr2bl w:val="nil"/>
            </w:tcBorders>
            <w:noWrap w:val="0"/>
            <w:vAlign w:val="center"/>
          </w:tcPr>
          <w:p w14:paraId="307D4F0B">
            <w:pPr>
              <w:pStyle w:val="26"/>
              <w:bidi w:val="0"/>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密闭管道收集后+布袋除尘+两级活性炭吸附+15 m高排气筒排放</w:t>
            </w:r>
          </w:p>
        </w:tc>
        <w:tc>
          <w:tcPr>
            <w:tcW w:w="2898" w:type="dxa"/>
            <w:tcBorders>
              <w:tl2br w:val="nil"/>
              <w:tr2bl w:val="nil"/>
            </w:tcBorders>
            <w:noWrap w:val="0"/>
            <w:vAlign w:val="center"/>
          </w:tcPr>
          <w:p w14:paraId="164FCDAF">
            <w:pPr>
              <w:pStyle w:val="26"/>
              <w:bidi w:val="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《工业企业挥发性有机物排放标准》（DB35/1782-2018）表1</w:t>
            </w:r>
            <w:r>
              <w:rPr>
                <w:color w:val="000000" w:themeColor="text1"/>
                <w:highlight w:val="none"/>
                <w14:textFill>
                  <w14:solidFill>
                    <w14:schemeClr w14:val="tx1"/>
                  </w14:solidFill>
                </w14:textFill>
              </w:rPr>
              <w:t>（即：非甲烷总烃排放浓度≤</w:t>
            </w:r>
            <w:r>
              <w:rPr>
                <w:rFonts w:hint="eastAsia"/>
                <w:color w:val="000000" w:themeColor="text1"/>
                <w:highlight w:val="none"/>
                <w:lang w:val="en-US" w:eastAsia="zh-CN"/>
                <w14:textFill>
                  <w14:solidFill>
                    <w14:schemeClr w14:val="tx1"/>
                  </w14:solidFill>
                </w14:textFill>
              </w:rPr>
              <w:t>10</w:t>
            </w:r>
            <w:r>
              <w:rPr>
                <w:rFonts w:hint="eastAsia"/>
                <w:color w:val="000000" w:themeColor="text1"/>
                <w:highlight w:val="none"/>
                <w14:textFill>
                  <w14:solidFill>
                    <w14:schemeClr w14:val="tx1"/>
                  </w14:solidFill>
                </w14:textFill>
              </w:rPr>
              <w:t>0</w:t>
            </w:r>
            <w:r>
              <w:rPr>
                <w:color w:val="000000" w:themeColor="text1"/>
                <w:highlight w:val="none"/>
                <w14:textFill>
                  <w14:solidFill>
                    <w14:schemeClr w14:val="tx1"/>
                  </w14:solidFill>
                </w14:textFill>
              </w:rPr>
              <w:t xml:space="preserve"> mg/m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，排放速率≤</w:t>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8</w:t>
            </w:r>
            <w:r>
              <w:rPr>
                <w:color w:val="000000" w:themeColor="text1"/>
                <w:highlight w:val="none"/>
                <w14:textFill>
                  <w14:solidFill>
                    <w14:schemeClr w14:val="tx1"/>
                  </w14:solidFill>
                </w14:textFill>
              </w:rPr>
              <w:t xml:space="preserve"> kg/h</w:t>
            </w:r>
            <w:r>
              <w:rPr>
                <w:rFonts w:hint="eastAsia"/>
                <w:color w:val="000000" w:themeColor="text1"/>
                <w:highlight w:val="none"/>
                <w:lang w:eastAsia="zh-CN"/>
                <w14:textFill>
                  <w14:solidFill>
                    <w14:schemeClr w14:val="tx1"/>
                  </w14:solidFill>
                </w14:textFill>
              </w:rPr>
              <w:t>）</w:t>
            </w:r>
          </w:p>
        </w:tc>
      </w:tr>
      <w:tr w14:paraId="25E71B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9" w:type="dxa"/>
            <w:vMerge w:val="continue"/>
            <w:tcBorders>
              <w:tl2br w:val="nil"/>
              <w:tr2bl w:val="nil"/>
            </w:tcBorders>
            <w:noWrap w:val="0"/>
            <w:vAlign w:val="center"/>
          </w:tcPr>
          <w:p w14:paraId="2CE8E140">
            <w:pPr>
              <w:pStyle w:val="26"/>
              <w:bidi w:val="0"/>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p>
        </w:tc>
        <w:tc>
          <w:tcPr>
            <w:tcW w:w="774" w:type="dxa"/>
            <w:vMerge w:val="continue"/>
            <w:tcBorders>
              <w:tl2br w:val="nil"/>
              <w:tr2bl w:val="nil"/>
            </w:tcBorders>
            <w:noWrap w:val="0"/>
            <w:vAlign w:val="center"/>
          </w:tcPr>
          <w:p w14:paraId="0CC4E707">
            <w:pPr>
              <w:pStyle w:val="26"/>
              <w:bidi w:val="0"/>
              <w:ind w:firstLine="0" w:firstLineChars="0"/>
              <w:rPr>
                <w:rFonts w:hint="eastAsia" w:cs="Times New Roman"/>
                <w:color w:val="000000" w:themeColor="text1"/>
                <w:sz w:val="21"/>
                <w:szCs w:val="21"/>
                <w:highlight w:val="none"/>
                <w:lang w:val="en-US" w:eastAsia="zh-CN"/>
                <w14:textFill>
                  <w14:solidFill>
                    <w14:schemeClr w14:val="tx1"/>
                  </w14:solidFill>
                </w14:textFill>
              </w:rPr>
            </w:pPr>
          </w:p>
        </w:tc>
        <w:tc>
          <w:tcPr>
            <w:tcW w:w="1023" w:type="dxa"/>
            <w:vMerge w:val="continue"/>
            <w:tcBorders>
              <w:tl2br w:val="nil"/>
              <w:tr2bl w:val="nil"/>
            </w:tcBorders>
            <w:noWrap w:val="0"/>
            <w:vAlign w:val="center"/>
          </w:tcPr>
          <w:p w14:paraId="54219716">
            <w:pPr>
              <w:pStyle w:val="26"/>
              <w:bidi w:val="0"/>
              <w:ind w:firstLine="0" w:firstLineChars="0"/>
              <w:rPr>
                <w:rFonts w:hint="eastAsia" w:cs="Times New Roman"/>
                <w:color w:val="000000" w:themeColor="text1"/>
                <w:sz w:val="21"/>
                <w:szCs w:val="21"/>
                <w:highlight w:val="none"/>
                <w:lang w:val="en-US" w:eastAsia="zh-CN"/>
                <w14:textFill>
                  <w14:solidFill>
                    <w14:schemeClr w14:val="tx1"/>
                  </w14:solidFill>
                </w14:textFill>
              </w:rPr>
            </w:pPr>
          </w:p>
        </w:tc>
        <w:tc>
          <w:tcPr>
            <w:tcW w:w="1609" w:type="dxa"/>
            <w:tcBorders>
              <w:tl2br w:val="nil"/>
              <w:tr2bl w:val="nil"/>
            </w:tcBorders>
            <w:noWrap w:val="0"/>
            <w:vAlign w:val="center"/>
          </w:tcPr>
          <w:p w14:paraId="21C34A23">
            <w:pPr>
              <w:pStyle w:val="26"/>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苯并[a]芘、沥青烟、颗粒物</w:t>
            </w:r>
          </w:p>
        </w:tc>
        <w:tc>
          <w:tcPr>
            <w:tcW w:w="1637" w:type="dxa"/>
            <w:vMerge w:val="continue"/>
            <w:tcBorders>
              <w:tl2br w:val="nil"/>
              <w:tr2bl w:val="nil"/>
            </w:tcBorders>
            <w:noWrap w:val="0"/>
            <w:vAlign w:val="center"/>
          </w:tcPr>
          <w:p w14:paraId="091E3E90">
            <w:pPr>
              <w:pStyle w:val="26"/>
              <w:bidi w:val="0"/>
              <w:rPr>
                <w:rFonts w:hint="eastAsia"/>
                <w:color w:val="000000" w:themeColor="text1"/>
                <w:highlight w:val="none"/>
                <w:lang w:val="en-US" w:eastAsia="zh-CN"/>
                <w14:textFill>
                  <w14:solidFill>
                    <w14:schemeClr w14:val="tx1"/>
                  </w14:solidFill>
                </w14:textFill>
              </w:rPr>
            </w:pPr>
          </w:p>
        </w:tc>
        <w:tc>
          <w:tcPr>
            <w:tcW w:w="2898" w:type="dxa"/>
            <w:tcBorders>
              <w:tl2br w:val="nil"/>
              <w:tr2bl w:val="nil"/>
            </w:tcBorders>
            <w:noWrap w:val="0"/>
            <w:vAlign w:val="center"/>
          </w:tcPr>
          <w:p w14:paraId="0F5BCC91">
            <w:pPr>
              <w:pStyle w:val="26"/>
              <w:bidi w:val="0"/>
              <w:rPr>
                <w:rFonts w:hint="eastAsia"/>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《大气污染物综合排放标准》（GB16297-1996）表2中二级标准</w:t>
            </w:r>
            <w:r>
              <w:rPr>
                <w:color w:val="000000" w:themeColor="text1"/>
                <w:highlight w:val="none"/>
                <w14:textFill>
                  <w14:solidFill>
                    <w14:schemeClr w14:val="tx1"/>
                  </w14:solidFill>
                </w14:textFill>
              </w:rPr>
              <w:t>（即：</w:t>
            </w:r>
            <w:r>
              <w:rPr>
                <w:rFonts w:hint="eastAsia"/>
                <w:color w:val="000000" w:themeColor="text1"/>
                <w:highlight w:val="none"/>
                <w:lang w:val="en-US" w:eastAsia="zh-CN"/>
                <w14:textFill>
                  <w14:solidFill>
                    <w14:schemeClr w14:val="tx1"/>
                  </w14:solidFill>
                </w14:textFill>
              </w:rPr>
              <w:t>苯并[a]芘</w:t>
            </w:r>
            <w:r>
              <w:rPr>
                <w:color w:val="000000" w:themeColor="text1"/>
                <w:highlight w:val="none"/>
                <w14:textFill>
                  <w14:solidFill>
                    <w14:schemeClr w14:val="tx1"/>
                  </w14:solidFill>
                </w14:textFill>
              </w:rPr>
              <w:t>排放浓度≤</w:t>
            </w:r>
            <w:r>
              <w:rPr>
                <w:rFonts w:hint="eastAsia"/>
                <w:color w:val="000000" w:themeColor="text1"/>
                <w:highlight w:val="none"/>
                <w:lang w:val="en-US" w:eastAsia="zh-CN"/>
                <w14:textFill>
                  <w14:solidFill>
                    <w14:schemeClr w14:val="tx1"/>
                  </w14:solidFill>
                </w14:textFill>
              </w:rPr>
              <w:t>0.0003</w:t>
            </w:r>
            <w:r>
              <w:rPr>
                <w:color w:val="000000" w:themeColor="text1"/>
                <w:highlight w:val="none"/>
                <w14:textFill>
                  <w14:solidFill>
                    <w14:schemeClr w14:val="tx1"/>
                  </w14:solidFill>
                </w14:textFill>
              </w:rPr>
              <w:t xml:space="preserve"> mg/m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，排放速率≤</w:t>
            </w:r>
            <w:r>
              <w:rPr>
                <w:rFonts w:hint="eastAsia"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t>0.050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color w:val="000000" w:themeColor="text1"/>
                <w:highlight w:val="none"/>
                <w14:textFill>
                  <w14:solidFill>
                    <w14:schemeClr w14:val="tx1"/>
                  </w14:solidFill>
                </w14:textFill>
              </w:rPr>
              <w:t xml:space="preserve"> kg/h</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沥青烟排放浓度</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75</w:t>
            </w:r>
            <w:r>
              <w:rPr>
                <w:color w:val="000000" w:themeColor="text1"/>
                <w:highlight w:val="none"/>
                <w14:textFill>
                  <w14:solidFill>
                    <w14:schemeClr w14:val="tx1"/>
                  </w14:solidFill>
                </w14:textFill>
              </w:rPr>
              <w:t xml:space="preserve"> mg/m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，排放速率≤</w:t>
            </w:r>
            <w:r>
              <w:rPr>
                <w:rFonts w:hint="eastAsia"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t>0.18</w:t>
            </w:r>
            <w:r>
              <w:rPr>
                <w:color w:val="000000" w:themeColor="text1"/>
                <w:highlight w:val="none"/>
                <w14:textFill>
                  <w14:solidFill>
                    <w14:schemeClr w14:val="tx1"/>
                  </w14:solidFill>
                </w14:textFill>
              </w:rPr>
              <w:t xml:space="preserve"> kg/h</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颗粒物排放浓度</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120</w:t>
            </w:r>
            <w:r>
              <w:rPr>
                <w:color w:val="000000" w:themeColor="text1"/>
                <w:highlight w:val="none"/>
                <w14:textFill>
                  <w14:solidFill>
                    <w14:schemeClr w14:val="tx1"/>
                  </w14:solidFill>
                </w14:textFill>
              </w:rPr>
              <w:t xml:space="preserve"> mg/m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，排放速率≤</w:t>
            </w:r>
            <w:r>
              <w:rPr>
                <w:rFonts w:hint="eastAsia"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t>3.5</w:t>
            </w:r>
            <w:r>
              <w:rPr>
                <w:color w:val="000000" w:themeColor="text1"/>
                <w:highlight w:val="none"/>
                <w14:textFill>
                  <w14:solidFill>
                    <w14:schemeClr w14:val="tx1"/>
                  </w14:solidFill>
                </w14:textFill>
              </w:rPr>
              <w:t xml:space="preserve"> kg/h</w:t>
            </w:r>
            <w:r>
              <w:rPr>
                <w:rFonts w:hint="eastAsia"/>
                <w:color w:val="000000" w:themeColor="text1"/>
                <w:highlight w:val="none"/>
                <w:lang w:eastAsia="zh-CN"/>
                <w14:textFill>
                  <w14:solidFill>
                    <w14:schemeClr w14:val="tx1"/>
                  </w14:solidFill>
                </w14:textFill>
              </w:rPr>
              <w:t>）</w:t>
            </w:r>
          </w:p>
        </w:tc>
      </w:tr>
      <w:tr w14:paraId="2B09CD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9" w:type="dxa"/>
            <w:vMerge w:val="continue"/>
            <w:tcBorders>
              <w:tl2br w:val="nil"/>
              <w:tr2bl w:val="nil"/>
            </w:tcBorders>
            <w:noWrap w:val="0"/>
            <w:vAlign w:val="center"/>
          </w:tcPr>
          <w:p w14:paraId="2F715AA9">
            <w:pPr>
              <w:pStyle w:val="26"/>
              <w:bidi w:val="0"/>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p>
        </w:tc>
        <w:tc>
          <w:tcPr>
            <w:tcW w:w="774" w:type="dxa"/>
            <w:vMerge w:val="restart"/>
            <w:tcBorders>
              <w:tl2br w:val="nil"/>
              <w:tr2bl w:val="nil"/>
            </w:tcBorders>
            <w:noWrap w:val="0"/>
            <w:vAlign w:val="center"/>
          </w:tcPr>
          <w:p w14:paraId="7EA509CC">
            <w:pPr>
              <w:pStyle w:val="26"/>
              <w:bidi w:val="0"/>
              <w:ind w:firstLine="0" w:firstLineChars="0"/>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二期工程建成后全厂</w:t>
            </w:r>
          </w:p>
        </w:tc>
        <w:tc>
          <w:tcPr>
            <w:tcW w:w="1023" w:type="dxa"/>
            <w:vMerge w:val="restart"/>
            <w:tcBorders>
              <w:tl2br w:val="nil"/>
              <w:tr2bl w:val="nil"/>
            </w:tcBorders>
            <w:noWrap w:val="0"/>
            <w:vAlign w:val="center"/>
          </w:tcPr>
          <w:p w14:paraId="529AA68B">
            <w:pPr>
              <w:pStyle w:val="26"/>
              <w:bidi w:val="0"/>
              <w:ind w:firstLine="0" w:firstLineChars="0"/>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*DA001</w:t>
            </w:r>
          </w:p>
        </w:tc>
        <w:tc>
          <w:tcPr>
            <w:tcW w:w="1609" w:type="dxa"/>
            <w:tcBorders>
              <w:tl2br w:val="nil"/>
              <w:tr2bl w:val="nil"/>
            </w:tcBorders>
            <w:noWrap w:val="0"/>
            <w:vAlign w:val="center"/>
          </w:tcPr>
          <w:p w14:paraId="5F1A0C73">
            <w:pPr>
              <w:pStyle w:val="26"/>
              <w:bidi w:val="0"/>
              <w:rPr>
                <w:rFonts w:hint="eastAsia" w:cs="Times New Roman"/>
                <w:color w:val="000000" w:themeColor="text1"/>
                <w:sz w:val="21"/>
                <w:szCs w:val="2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非甲烷总烃</w:t>
            </w:r>
          </w:p>
        </w:tc>
        <w:tc>
          <w:tcPr>
            <w:tcW w:w="1637" w:type="dxa"/>
            <w:vMerge w:val="restart"/>
            <w:tcBorders>
              <w:tl2br w:val="nil"/>
              <w:tr2bl w:val="nil"/>
            </w:tcBorders>
            <w:noWrap w:val="0"/>
            <w:vAlign w:val="center"/>
          </w:tcPr>
          <w:p w14:paraId="0D75F74D">
            <w:pPr>
              <w:pStyle w:val="26"/>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密闭管道收集后，通过布袋除尘+RCO+15 m排气筒排放</w:t>
            </w:r>
          </w:p>
        </w:tc>
        <w:tc>
          <w:tcPr>
            <w:tcW w:w="2898" w:type="dxa"/>
            <w:tcBorders>
              <w:tl2br w:val="nil"/>
              <w:tr2bl w:val="nil"/>
            </w:tcBorders>
            <w:noWrap w:val="0"/>
            <w:vAlign w:val="center"/>
          </w:tcPr>
          <w:p w14:paraId="3BA2F96A">
            <w:pPr>
              <w:pStyle w:val="2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《工业企业挥发性有机物排放标准》（DB35/1782-2018）表1</w:t>
            </w:r>
            <w:r>
              <w:rPr>
                <w:color w:val="000000" w:themeColor="text1"/>
                <w:highlight w:val="none"/>
                <w14:textFill>
                  <w14:solidFill>
                    <w14:schemeClr w14:val="tx1"/>
                  </w14:solidFill>
                </w14:textFill>
              </w:rPr>
              <w:t>（即：非甲烷总烃排放浓度≤</w:t>
            </w:r>
            <w:r>
              <w:rPr>
                <w:rFonts w:hint="eastAsia"/>
                <w:color w:val="000000" w:themeColor="text1"/>
                <w:highlight w:val="none"/>
                <w:lang w:val="en-US" w:eastAsia="zh-CN"/>
                <w14:textFill>
                  <w14:solidFill>
                    <w14:schemeClr w14:val="tx1"/>
                  </w14:solidFill>
                </w14:textFill>
              </w:rPr>
              <w:t>10</w:t>
            </w:r>
            <w:r>
              <w:rPr>
                <w:rFonts w:hint="eastAsia"/>
                <w:color w:val="000000" w:themeColor="text1"/>
                <w:highlight w:val="none"/>
                <w14:textFill>
                  <w14:solidFill>
                    <w14:schemeClr w14:val="tx1"/>
                  </w14:solidFill>
                </w14:textFill>
              </w:rPr>
              <w:t>0</w:t>
            </w:r>
            <w:r>
              <w:rPr>
                <w:color w:val="000000" w:themeColor="text1"/>
                <w:highlight w:val="none"/>
                <w14:textFill>
                  <w14:solidFill>
                    <w14:schemeClr w14:val="tx1"/>
                  </w14:solidFill>
                </w14:textFill>
              </w:rPr>
              <w:t xml:space="preserve"> mg/m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，排放速率≤</w:t>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8</w:t>
            </w:r>
            <w:r>
              <w:rPr>
                <w:color w:val="000000" w:themeColor="text1"/>
                <w:highlight w:val="none"/>
                <w14:textFill>
                  <w14:solidFill>
                    <w14:schemeClr w14:val="tx1"/>
                  </w14:solidFill>
                </w14:textFill>
              </w:rPr>
              <w:t xml:space="preserve"> kg/h</w:t>
            </w:r>
            <w:r>
              <w:rPr>
                <w:rFonts w:hint="eastAsia"/>
                <w:color w:val="000000" w:themeColor="text1"/>
                <w:highlight w:val="none"/>
                <w:lang w:eastAsia="zh-CN"/>
                <w14:textFill>
                  <w14:solidFill>
                    <w14:schemeClr w14:val="tx1"/>
                  </w14:solidFill>
                </w14:textFill>
              </w:rPr>
              <w:t>）</w:t>
            </w:r>
          </w:p>
        </w:tc>
      </w:tr>
      <w:tr w14:paraId="4C6759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9" w:type="dxa"/>
            <w:vMerge w:val="continue"/>
            <w:tcBorders>
              <w:tl2br w:val="nil"/>
              <w:tr2bl w:val="nil"/>
            </w:tcBorders>
            <w:noWrap w:val="0"/>
            <w:vAlign w:val="center"/>
          </w:tcPr>
          <w:p w14:paraId="2E9117E8">
            <w:pPr>
              <w:pStyle w:val="26"/>
              <w:bidi w:val="0"/>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p>
        </w:tc>
        <w:tc>
          <w:tcPr>
            <w:tcW w:w="774" w:type="dxa"/>
            <w:vMerge w:val="continue"/>
            <w:tcBorders>
              <w:tl2br w:val="nil"/>
              <w:tr2bl w:val="nil"/>
            </w:tcBorders>
            <w:noWrap w:val="0"/>
            <w:vAlign w:val="center"/>
          </w:tcPr>
          <w:p w14:paraId="69CDBE01">
            <w:pPr>
              <w:pStyle w:val="26"/>
              <w:bidi w:val="0"/>
              <w:ind w:firstLine="0" w:firstLineChars="0"/>
              <w:rPr>
                <w:rFonts w:hint="eastAsia" w:cs="Times New Roman"/>
                <w:color w:val="000000" w:themeColor="text1"/>
                <w:sz w:val="21"/>
                <w:szCs w:val="21"/>
                <w:highlight w:val="none"/>
                <w:lang w:val="en-US" w:eastAsia="zh-CN"/>
                <w14:textFill>
                  <w14:solidFill>
                    <w14:schemeClr w14:val="tx1"/>
                  </w14:solidFill>
                </w14:textFill>
              </w:rPr>
            </w:pPr>
          </w:p>
        </w:tc>
        <w:tc>
          <w:tcPr>
            <w:tcW w:w="1023" w:type="dxa"/>
            <w:vMerge w:val="continue"/>
            <w:tcBorders>
              <w:tl2br w:val="nil"/>
              <w:tr2bl w:val="nil"/>
            </w:tcBorders>
            <w:noWrap w:val="0"/>
            <w:vAlign w:val="center"/>
          </w:tcPr>
          <w:p w14:paraId="0AE547D4">
            <w:pPr>
              <w:pStyle w:val="26"/>
              <w:bidi w:val="0"/>
              <w:ind w:firstLine="0" w:firstLineChars="0"/>
              <w:rPr>
                <w:rFonts w:hint="eastAsia" w:cs="Times New Roman"/>
                <w:color w:val="000000" w:themeColor="text1"/>
                <w:sz w:val="21"/>
                <w:szCs w:val="21"/>
                <w:highlight w:val="none"/>
                <w:lang w:val="en-US" w:eastAsia="zh-CN"/>
                <w14:textFill>
                  <w14:solidFill>
                    <w14:schemeClr w14:val="tx1"/>
                  </w14:solidFill>
                </w14:textFill>
              </w:rPr>
            </w:pPr>
          </w:p>
        </w:tc>
        <w:tc>
          <w:tcPr>
            <w:tcW w:w="1609" w:type="dxa"/>
            <w:tcBorders>
              <w:tl2br w:val="nil"/>
              <w:tr2bl w:val="nil"/>
            </w:tcBorders>
            <w:noWrap w:val="0"/>
            <w:vAlign w:val="center"/>
          </w:tcPr>
          <w:p w14:paraId="1504F091">
            <w:pPr>
              <w:pStyle w:val="26"/>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苯并[a]芘、沥青烟、颗粒物</w:t>
            </w:r>
          </w:p>
        </w:tc>
        <w:tc>
          <w:tcPr>
            <w:tcW w:w="1637" w:type="dxa"/>
            <w:vMerge w:val="continue"/>
            <w:tcBorders>
              <w:tl2br w:val="nil"/>
              <w:tr2bl w:val="nil"/>
            </w:tcBorders>
            <w:noWrap w:val="0"/>
            <w:vAlign w:val="center"/>
          </w:tcPr>
          <w:p w14:paraId="47DA7A72">
            <w:pPr>
              <w:pStyle w:val="26"/>
              <w:bidi w:val="0"/>
              <w:rPr>
                <w:rFonts w:hint="eastAsia"/>
                <w:color w:val="000000" w:themeColor="text1"/>
                <w:highlight w:val="none"/>
                <w:lang w:val="en-US" w:eastAsia="zh-CN"/>
                <w14:textFill>
                  <w14:solidFill>
                    <w14:schemeClr w14:val="tx1"/>
                  </w14:solidFill>
                </w14:textFill>
              </w:rPr>
            </w:pPr>
          </w:p>
        </w:tc>
        <w:tc>
          <w:tcPr>
            <w:tcW w:w="2898" w:type="dxa"/>
            <w:tcBorders>
              <w:tl2br w:val="nil"/>
              <w:tr2bl w:val="nil"/>
            </w:tcBorders>
            <w:noWrap w:val="0"/>
            <w:vAlign w:val="center"/>
          </w:tcPr>
          <w:p w14:paraId="5B56EB16">
            <w:pPr>
              <w:pStyle w:val="2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《大气污染物综合排放标准》（GB16297-1996）表2中二级标准</w:t>
            </w:r>
            <w:r>
              <w:rPr>
                <w:color w:val="000000" w:themeColor="text1"/>
                <w:highlight w:val="none"/>
                <w14:textFill>
                  <w14:solidFill>
                    <w14:schemeClr w14:val="tx1"/>
                  </w14:solidFill>
                </w14:textFill>
              </w:rPr>
              <w:t>（即：</w:t>
            </w:r>
            <w:r>
              <w:rPr>
                <w:rFonts w:hint="eastAsia"/>
                <w:color w:val="000000" w:themeColor="text1"/>
                <w:highlight w:val="none"/>
                <w:lang w:val="en-US" w:eastAsia="zh-CN"/>
                <w14:textFill>
                  <w14:solidFill>
                    <w14:schemeClr w14:val="tx1"/>
                  </w14:solidFill>
                </w14:textFill>
              </w:rPr>
              <w:t>苯并[a]芘</w:t>
            </w:r>
            <w:r>
              <w:rPr>
                <w:color w:val="000000" w:themeColor="text1"/>
                <w:highlight w:val="none"/>
                <w14:textFill>
                  <w14:solidFill>
                    <w14:schemeClr w14:val="tx1"/>
                  </w14:solidFill>
                </w14:textFill>
              </w:rPr>
              <w:t>排放浓度≤</w:t>
            </w:r>
            <w:r>
              <w:rPr>
                <w:rFonts w:hint="eastAsia"/>
                <w:color w:val="000000" w:themeColor="text1"/>
                <w:highlight w:val="none"/>
                <w:lang w:val="en-US" w:eastAsia="zh-CN"/>
                <w14:textFill>
                  <w14:solidFill>
                    <w14:schemeClr w14:val="tx1"/>
                  </w14:solidFill>
                </w14:textFill>
              </w:rPr>
              <w:t>0.0003</w:t>
            </w:r>
            <w:r>
              <w:rPr>
                <w:color w:val="000000" w:themeColor="text1"/>
                <w:highlight w:val="none"/>
                <w14:textFill>
                  <w14:solidFill>
                    <w14:schemeClr w14:val="tx1"/>
                  </w14:solidFill>
                </w14:textFill>
              </w:rPr>
              <w:t xml:space="preserve"> mg/m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，排放速率≤</w:t>
            </w:r>
            <w:r>
              <w:rPr>
                <w:rFonts w:hint="eastAsia"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t>0.050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color w:val="000000" w:themeColor="text1"/>
                <w:highlight w:val="none"/>
                <w14:textFill>
                  <w14:solidFill>
                    <w14:schemeClr w14:val="tx1"/>
                  </w14:solidFill>
                </w14:textFill>
              </w:rPr>
              <w:t xml:space="preserve"> kg/h</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沥青烟排放浓度</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75</w:t>
            </w:r>
            <w:r>
              <w:rPr>
                <w:color w:val="000000" w:themeColor="text1"/>
                <w:highlight w:val="none"/>
                <w14:textFill>
                  <w14:solidFill>
                    <w14:schemeClr w14:val="tx1"/>
                  </w14:solidFill>
                </w14:textFill>
              </w:rPr>
              <w:t xml:space="preserve"> mg/m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，排放速率≤</w:t>
            </w:r>
            <w:r>
              <w:rPr>
                <w:rFonts w:hint="eastAsia"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t>0.18</w:t>
            </w:r>
            <w:r>
              <w:rPr>
                <w:color w:val="000000" w:themeColor="text1"/>
                <w:highlight w:val="none"/>
                <w14:textFill>
                  <w14:solidFill>
                    <w14:schemeClr w14:val="tx1"/>
                  </w14:solidFill>
                </w14:textFill>
              </w:rPr>
              <w:t xml:space="preserve"> kg/h</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颗粒物排放浓度</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120</w:t>
            </w:r>
            <w:r>
              <w:rPr>
                <w:color w:val="000000" w:themeColor="text1"/>
                <w:highlight w:val="none"/>
                <w14:textFill>
                  <w14:solidFill>
                    <w14:schemeClr w14:val="tx1"/>
                  </w14:solidFill>
                </w14:textFill>
              </w:rPr>
              <w:t xml:space="preserve"> mg/m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，排放速率≤</w:t>
            </w:r>
            <w:r>
              <w:rPr>
                <w:rFonts w:hint="eastAsia"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t>3.5</w:t>
            </w:r>
            <w:r>
              <w:rPr>
                <w:color w:val="000000" w:themeColor="text1"/>
                <w:highlight w:val="none"/>
                <w14:textFill>
                  <w14:solidFill>
                    <w14:schemeClr w14:val="tx1"/>
                  </w14:solidFill>
                </w14:textFill>
              </w:rPr>
              <w:t xml:space="preserve"> kg/h</w:t>
            </w:r>
            <w:r>
              <w:rPr>
                <w:rFonts w:hint="eastAsia"/>
                <w:color w:val="000000" w:themeColor="text1"/>
                <w:highlight w:val="none"/>
                <w:lang w:eastAsia="zh-CN"/>
                <w14:textFill>
                  <w14:solidFill>
                    <w14:schemeClr w14:val="tx1"/>
                  </w14:solidFill>
                </w14:textFill>
              </w:rPr>
              <w:t>）</w:t>
            </w:r>
          </w:p>
        </w:tc>
      </w:tr>
      <w:tr w14:paraId="1930F6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119" w:type="dxa"/>
            <w:vMerge w:val="continue"/>
            <w:tcBorders>
              <w:tl2br w:val="nil"/>
              <w:tr2bl w:val="nil"/>
            </w:tcBorders>
            <w:noWrap w:val="0"/>
            <w:vAlign w:val="center"/>
          </w:tcPr>
          <w:p w14:paraId="72090215">
            <w:pPr>
              <w:pStyle w:val="26"/>
              <w:bidi w:val="0"/>
              <w:rPr>
                <w:rFonts w:hint="default" w:ascii="Times New Roman" w:hAnsi="Times New Roman" w:cs="Times New Roman"/>
                <w:color w:val="000000" w:themeColor="text1"/>
                <w:sz w:val="21"/>
                <w:szCs w:val="21"/>
                <w:highlight w:val="none"/>
                <w14:textFill>
                  <w14:solidFill>
                    <w14:schemeClr w14:val="tx1"/>
                  </w14:solidFill>
                </w14:textFill>
              </w:rPr>
            </w:pPr>
          </w:p>
        </w:tc>
        <w:tc>
          <w:tcPr>
            <w:tcW w:w="1797" w:type="dxa"/>
            <w:gridSpan w:val="2"/>
            <w:vMerge w:val="restart"/>
            <w:tcBorders>
              <w:tl2br w:val="nil"/>
              <w:tr2bl w:val="nil"/>
            </w:tcBorders>
            <w:noWrap w:val="0"/>
            <w:vAlign w:val="center"/>
          </w:tcPr>
          <w:p w14:paraId="51410CB1">
            <w:pPr>
              <w:pStyle w:val="26"/>
              <w:bidi w:val="0"/>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厂界</w:t>
            </w:r>
            <w:r>
              <w:rPr>
                <w:rFonts w:hint="default" w:ascii="Times New Roman" w:hAnsi="Times New Roman" w:cs="Times New Roman"/>
                <w:color w:val="000000" w:themeColor="text1"/>
                <w:sz w:val="21"/>
                <w:szCs w:val="21"/>
                <w:highlight w:val="none"/>
                <w14:textFill>
                  <w14:solidFill>
                    <w14:schemeClr w14:val="tx1"/>
                  </w14:solidFill>
                </w14:textFill>
              </w:rPr>
              <w:t>无组织</w:t>
            </w:r>
          </w:p>
        </w:tc>
        <w:tc>
          <w:tcPr>
            <w:tcW w:w="1609" w:type="dxa"/>
            <w:tcBorders>
              <w:tl2br w:val="nil"/>
              <w:tr2bl w:val="nil"/>
            </w:tcBorders>
            <w:noWrap w:val="0"/>
            <w:vAlign w:val="center"/>
          </w:tcPr>
          <w:p w14:paraId="47025F5E">
            <w:pPr>
              <w:pStyle w:val="2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非甲烷总烃</w:t>
            </w:r>
          </w:p>
        </w:tc>
        <w:tc>
          <w:tcPr>
            <w:tcW w:w="1637" w:type="dxa"/>
            <w:vMerge w:val="restart"/>
            <w:tcBorders>
              <w:tl2br w:val="nil"/>
              <w:tr2bl w:val="nil"/>
            </w:tcBorders>
            <w:noWrap w:val="0"/>
            <w:vAlign w:val="center"/>
          </w:tcPr>
          <w:p w14:paraId="2DF0587E">
            <w:pPr>
              <w:pStyle w:val="26"/>
              <w:bidi w:val="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color w:val="000000" w:themeColor="text1"/>
                <w:szCs w:val="21"/>
                <w:highlight w:val="none"/>
                <w14:textFill>
                  <w14:solidFill>
                    <w14:schemeClr w14:val="tx1"/>
                  </w14:solidFill>
                </w14:textFill>
              </w:rPr>
              <w:t>设备做好密闭性</w:t>
            </w:r>
          </w:p>
        </w:tc>
        <w:tc>
          <w:tcPr>
            <w:tcW w:w="2898" w:type="dxa"/>
            <w:tcBorders>
              <w:tl2br w:val="nil"/>
              <w:tr2bl w:val="nil"/>
            </w:tcBorders>
            <w:noWrap w:val="0"/>
            <w:vAlign w:val="center"/>
          </w:tcPr>
          <w:p w14:paraId="747D551D">
            <w:pPr>
              <w:pStyle w:val="26"/>
              <w:bidi w:val="0"/>
              <w:ind w:firstLine="0" w:firstLineChars="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《工业企业挥发性有机物排放标准》（DB35/1782-2018）表3企业边界监控点浓度限值标准</w:t>
            </w:r>
            <w:r>
              <w:rPr>
                <w:color w:val="000000" w:themeColor="text1"/>
                <w:highlight w:val="none"/>
                <w14:textFill>
                  <w14:solidFill>
                    <w14:schemeClr w14:val="tx1"/>
                  </w14:solidFill>
                </w14:textFill>
              </w:rPr>
              <w:t>（即：非甲烷总烃排放浓度≤</w:t>
            </w:r>
            <w:r>
              <w:rPr>
                <w:rFonts w:hint="eastAsia"/>
                <w:color w:val="000000" w:themeColor="text1"/>
                <w:highlight w:val="none"/>
                <w14:textFill>
                  <w14:solidFill>
                    <w14:schemeClr w14:val="tx1"/>
                  </w14:solidFill>
                </w14:textFill>
              </w:rPr>
              <w:t>2.0</w:t>
            </w:r>
            <w:r>
              <w:rPr>
                <w:color w:val="000000" w:themeColor="text1"/>
                <w:highlight w:val="none"/>
                <w14:textFill>
                  <w14:solidFill>
                    <w14:schemeClr w14:val="tx1"/>
                  </w14:solidFill>
                </w14:textFill>
              </w:rPr>
              <w:t xml:space="preserve"> mg/m</w:t>
            </w:r>
            <w:r>
              <w:rPr>
                <w:color w:val="000000" w:themeColor="text1"/>
                <w:highlight w:val="none"/>
                <w:vertAlign w:val="superscript"/>
                <w14:textFill>
                  <w14:solidFill>
                    <w14:schemeClr w14:val="tx1"/>
                  </w14:solidFill>
                </w14:textFill>
              </w:rPr>
              <w:t>3</w:t>
            </w:r>
            <w:r>
              <w:rPr>
                <w:rFonts w:hint="eastAsia"/>
                <w:color w:val="000000" w:themeColor="text1"/>
                <w:highlight w:val="none"/>
                <w:lang w:eastAsia="zh-CN"/>
                <w14:textFill>
                  <w14:solidFill>
                    <w14:schemeClr w14:val="tx1"/>
                  </w14:solidFill>
                </w14:textFill>
              </w:rPr>
              <w:t>）</w:t>
            </w:r>
          </w:p>
        </w:tc>
      </w:tr>
      <w:tr w14:paraId="099F29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119" w:type="dxa"/>
            <w:vMerge w:val="continue"/>
            <w:tcBorders>
              <w:tl2br w:val="nil"/>
              <w:tr2bl w:val="nil"/>
            </w:tcBorders>
            <w:noWrap w:val="0"/>
            <w:vAlign w:val="center"/>
          </w:tcPr>
          <w:p w14:paraId="65510E55">
            <w:pPr>
              <w:pStyle w:val="26"/>
              <w:bidi w:val="0"/>
              <w:rPr>
                <w:rFonts w:hint="default" w:ascii="Times New Roman" w:hAnsi="Times New Roman" w:cs="Times New Roman"/>
                <w:color w:val="000000" w:themeColor="text1"/>
                <w:sz w:val="21"/>
                <w:szCs w:val="21"/>
                <w:highlight w:val="none"/>
                <w14:textFill>
                  <w14:solidFill>
                    <w14:schemeClr w14:val="tx1"/>
                  </w14:solidFill>
                </w14:textFill>
              </w:rPr>
            </w:pPr>
          </w:p>
        </w:tc>
        <w:tc>
          <w:tcPr>
            <w:tcW w:w="1797" w:type="dxa"/>
            <w:gridSpan w:val="2"/>
            <w:vMerge w:val="continue"/>
            <w:tcBorders>
              <w:tl2br w:val="nil"/>
              <w:tr2bl w:val="nil"/>
            </w:tcBorders>
            <w:noWrap w:val="0"/>
            <w:vAlign w:val="center"/>
          </w:tcPr>
          <w:p w14:paraId="2BA8816B">
            <w:pPr>
              <w:pStyle w:val="26"/>
              <w:bidi w:val="0"/>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1609" w:type="dxa"/>
            <w:tcBorders>
              <w:tl2br w:val="nil"/>
              <w:tr2bl w:val="nil"/>
            </w:tcBorders>
            <w:noWrap w:val="0"/>
            <w:vAlign w:val="center"/>
          </w:tcPr>
          <w:p w14:paraId="6EFADA78">
            <w:pPr>
              <w:pStyle w:val="26"/>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苯并[a]芘、沥青烟、颗粒物</w:t>
            </w:r>
          </w:p>
        </w:tc>
        <w:tc>
          <w:tcPr>
            <w:tcW w:w="1637" w:type="dxa"/>
            <w:vMerge w:val="continue"/>
            <w:tcBorders>
              <w:tl2br w:val="nil"/>
              <w:tr2bl w:val="nil"/>
            </w:tcBorders>
            <w:noWrap w:val="0"/>
            <w:vAlign w:val="center"/>
          </w:tcPr>
          <w:p w14:paraId="09FE2F09">
            <w:pPr>
              <w:pStyle w:val="26"/>
              <w:bidi w:val="0"/>
              <w:rPr>
                <w:color w:val="000000" w:themeColor="text1"/>
                <w:szCs w:val="21"/>
                <w:highlight w:val="none"/>
                <w14:textFill>
                  <w14:solidFill>
                    <w14:schemeClr w14:val="tx1"/>
                  </w14:solidFill>
                </w14:textFill>
              </w:rPr>
            </w:pPr>
          </w:p>
        </w:tc>
        <w:tc>
          <w:tcPr>
            <w:tcW w:w="2898" w:type="dxa"/>
            <w:tcBorders>
              <w:tl2br w:val="nil"/>
              <w:tr2bl w:val="nil"/>
            </w:tcBorders>
            <w:noWrap w:val="0"/>
            <w:vAlign w:val="center"/>
          </w:tcPr>
          <w:p w14:paraId="159434DB">
            <w:pPr>
              <w:pStyle w:val="26"/>
              <w:bidi w:val="0"/>
              <w:ind w:firstLine="0" w:firstLineChars="0"/>
              <w:rPr>
                <w:rFonts w:hint="eastAsia"/>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《大气污染物综合排放标准》（GB16297-1996）表2</w:t>
            </w:r>
            <w:r>
              <w:rPr>
                <w:color w:val="000000" w:themeColor="text1"/>
                <w:highlight w:val="none"/>
                <w14:textFill>
                  <w14:solidFill>
                    <w14:schemeClr w14:val="tx1"/>
                  </w14:solidFill>
                </w14:textFill>
              </w:rPr>
              <w:t>（即：</w:t>
            </w:r>
            <w:r>
              <w:rPr>
                <w:rFonts w:hint="eastAsia"/>
                <w:color w:val="000000" w:themeColor="text1"/>
                <w:highlight w:val="none"/>
                <w:lang w:val="en-US" w:eastAsia="zh-CN"/>
                <w14:textFill>
                  <w14:solidFill>
                    <w14:schemeClr w14:val="tx1"/>
                  </w14:solidFill>
                </w14:textFill>
              </w:rPr>
              <w:t>苯并[a]芘</w:t>
            </w:r>
            <w:r>
              <w:rPr>
                <w:color w:val="000000" w:themeColor="text1"/>
                <w:highlight w:val="none"/>
                <w14:textFill>
                  <w14:solidFill>
                    <w14:schemeClr w14:val="tx1"/>
                  </w14:solidFill>
                </w14:textFill>
              </w:rPr>
              <w:t>排放浓度≤</w:t>
            </w:r>
            <w:r>
              <w:rPr>
                <w:rFonts w:hint="eastAsia" w:ascii="Times New Roman" w:hAnsi="Times New Roman" w:cs="Times New Roman"/>
                <w:color w:val="000000" w:themeColor="text1"/>
                <w:highlight w:val="none"/>
                <w:lang w:val="en-US" w:eastAsia="zh-CN"/>
                <w14:textFill>
                  <w14:solidFill>
                    <w14:schemeClr w14:val="tx1"/>
                  </w14:solidFill>
                </w14:textFill>
              </w:rPr>
              <w:t>0.008</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color w:val="000000" w:themeColor="text1"/>
                <w:highlight w:val="none"/>
                <w14:textFill>
                  <w14:solidFill>
                    <w14:schemeClr w14:val="tx1"/>
                  </w14:solidFill>
                </w14:textFill>
              </w:rPr>
              <w:t xml:space="preserve"> mg/m</w:t>
            </w:r>
            <w:r>
              <w:rPr>
                <w:color w:val="000000" w:themeColor="text1"/>
                <w:highlight w:val="none"/>
                <w:vertAlign w:val="superscript"/>
                <w14:textFill>
                  <w14:solidFill>
                    <w14:schemeClr w14:val="tx1"/>
                  </w14:solidFill>
                </w14:textFill>
              </w:rPr>
              <w:t>3</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沥青烟</w:t>
            </w:r>
            <w:r>
              <w:rPr>
                <w:rFonts w:hint="eastAsia" w:ascii="Times New Roman" w:hAnsi="Times New Roman" w:cs="Times New Roman"/>
                <w:color w:val="000000" w:themeColor="text1"/>
                <w:highlight w:val="none"/>
                <w:lang w:val="en-US" w:eastAsia="zh-CN"/>
                <w14:textFill>
                  <w14:solidFill>
                    <w14:schemeClr w14:val="tx1"/>
                  </w14:solidFill>
                </w14:textFill>
              </w:rPr>
              <w:t>生产设备不得有明显的无组织排放存在；</w:t>
            </w:r>
            <w:r>
              <w:rPr>
                <w:rFonts w:hint="eastAsia"/>
                <w:color w:val="000000" w:themeColor="text1"/>
                <w:highlight w:val="none"/>
                <w:lang w:val="en-US" w:eastAsia="zh-CN"/>
                <w14:textFill>
                  <w14:solidFill>
                    <w14:schemeClr w14:val="tx1"/>
                  </w14:solidFill>
                </w14:textFill>
              </w:rPr>
              <w:t>颗粒物排放浓度</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1.0</w:t>
            </w:r>
            <w:r>
              <w:rPr>
                <w:color w:val="000000" w:themeColor="text1"/>
                <w:highlight w:val="none"/>
                <w14:textFill>
                  <w14:solidFill>
                    <w14:schemeClr w14:val="tx1"/>
                  </w14:solidFill>
                </w14:textFill>
              </w:rPr>
              <w:t xml:space="preserve"> mg/m</w:t>
            </w:r>
            <w:r>
              <w:rPr>
                <w:color w:val="000000" w:themeColor="text1"/>
                <w:highlight w:val="none"/>
                <w:vertAlign w:val="superscript"/>
                <w14:textFill>
                  <w14:solidFill>
                    <w14:schemeClr w14:val="tx1"/>
                  </w14:solidFill>
                </w14:textFill>
              </w:rPr>
              <w:t>3</w:t>
            </w:r>
            <w:r>
              <w:rPr>
                <w:rFonts w:hint="eastAsia"/>
                <w:color w:val="000000" w:themeColor="text1"/>
                <w:highlight w:val="none"/>
                <w:lang w:eastAsia="zh-CN"/>
                <w14:textFill>
                  <w14:solidFill>
                    <w14:schemeClr w14:val="tx1"/>
                  </w14:solidFill>
                </w14:textFill>
              </w:rPr>
              <w:t>）</w:t>
            </w:r>
          </w:p>
        </w:tc>
      </w:tr>
      <w:tr w14:paraId="3F1666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119" w:type="dxa"/>
            <w:vMerge w:val="continue"/>
            <w:tcBorders>
              <w:tl2br w:val="nil"/>
              <w:tr2bl w:val="nil"/>
            </w:tcBorders>
            <w:noWrap w:val="0"/>
            <w:vAlign w:val="center"/>
          </w:tcPr>
          <w:p w14:paraId="71EEDA36">
            <w:pPr>
              <w:pStyle w:val="26"/>
              <w:bidi w:val="0"/>
              <w:rPr>
                <w:rFonts w:hint="default" w:ascii="Times New Roman" w:hAnsi="Times New Roman" w:cs="Times New Roman"/>
                <w:color w:val="000000" w:themeColor="text1"/>
                <w:sz w:val="21"/>
                <w:szCs w:val="21"/>
                <w:highlight w:val="none"/>
                <w14:textFill>
                  <w14:solidFill>
                    <w14:schemeClr w14:val="tx1"/>
                  </w14:solidFill>
                </w14:textFill>
              </w:rPr>
            </w:pPr>
          </w:p>
        </w:tc>
        <w:tc>
          <w:tcPr>
            <w:tcW w:w="1797" w:type="dxa"/>
            <w:gridSpan w:val="2"/>
            <w:tcBorders>
              <w:tl2br w:val="nil"/>
              <w:tr2bl w:val="nil"/>
            </w:tcBorders>
            <w:noWrap w:val="0"/>
            <w:vAlign w:val="center"/>
          </w:tcPr>
          <w:p w14:paraId="1C31233B">
            <w:pPr>
              <w:pStyle w:val="26"/>
              <w:bidi w:val="0"/>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厂内无组织</w:t>
            </w:r>
          </w:p>
        </w:tc>
        <w:tc>
          <w:tcPr>
            <w:tcW w:w="1609" w:type="dxa"/>
            <w:tcBorders>
              <w:tl2br w:val="nil"/>
              <w:tr2bl w:val="nil"/>
            </w:tcBorders>
            <w:noWrap w:val="0"/>
            <w:vAlign w:val="center"/>
          </w:tcPr>
          <w:p w14:paraId="1C743124">
            <w:pPr>
              <w:pStyle w:val="2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非甲烷总烃</w:t>
            </w:r>
          </w:p>
        </w:tc>
        <w:tc>
          <w:tcPr>
            <w:tcW w:w="1637" w:type="dxa"/>
            <w:vMerge w:val="continue"/>
            <w:tcBorders>
              <w:tl2br w:val="nil"/>
              <w:tr2bl w:val="nil"/>
            </w:tcBorders>
            <w:noWrap w:val="0"/>
            <w:vAlign w:val="center"/>
          </w:tcPr>
          <w:p w14:paraId="0D05C18A">
            <w:pPr>
              <w:pStyle w:val="26"/>
              <w:bidi w:val="0"/>
              <w:rPr>
                <w:rFonts w:hint="default" w:ascii="Times New Roman" w:hAnsi="Times New Roman" w:cs="Times New Roman"/>
                <w:color w:val="000000" w:themeColor="text1"/>
                <w:sz w:val="21"/>
                <w:szCs w:val="21"/>
                <w:highlight w:val="none"/>
                <w14:textFill>
                  <w14:solidFill>
                    <w14:schemeClr w14:val="tx1"/>
                  </w14:solidFill>
                </w14:textFill>
              </w:rPr>
            </w:pPr>
          </w:p>
        </w:tc>
        <w:tc>
          <w:tcPr>
            <w:tcW w:w="2898" w:type="dxa"/>
            <w:tcBorders>
              <w:tl2br w:val="nil"/>
              <w:tr2bl w:val="nil"/>
            </w:tcBorders>
            <w:noWrap w:val="0"/>
            <w:vAlign w:val="center"/>
          </w:tcPr>
          <w:p w14:paraId="3E70E100">
            <w:pPr>
              <w:pStyle w:val="2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《工业企业挥发性有机物排放标准》（DB 35/1782-2018）表2</w:t>
            </w:r>
            <w:r>
              <w:rPr>
                <w:rFonts w:hint="eastAsia" w:ascii="Times New Roman" w:hAnsi="Times New Roman" w:cs="Times New Roman"/>
                <w:color w:val="000000" w:themeColor="text1"/>
                <w:highlight w:val="none"/>
                <w:lang w:val="en-US" w:eastAsia="zh-CN"/>
                <w14:textFill>
                  <w14:solidFill>
                    <w14:schemeClr w14:val="tx1"/>
                  </w14:solidFill>
                </w14:textFill>
              </w:rPr>
              <w:t>浓度限值</w:t>
            </w:r>
            <w:r>
              <w:rPr>
                <w:rFonts w:hint="default" w:ascii="Times New Roman" w:hAnsi="Times New Roman" w:cs="Times New Roman"/>
                <w:color w:val="000000" w:themeColor="text1"/>
                <w:highlight w:val="none"/>
                <w:lang w:val="en-US" w:eastAsia="zh-CN"/>
                <w14:textFill>
                  <w14:solidFill>
                    <w14:schemeClr w14:val="tx1"/>
                  </w14:solidFill>
                </w14:textFill>
              </w:rPr>
              <w:t>；任意一次浓度值执行</w:t>
            </w:r>
            <w:r>
              <w:rPr>
                <w:rFonts w:hint="default" w:ascii="Times New Roman" w:hAnsi="Times New Roman" w:cs="Times New Roman"/>
                <w:color w:val="000000" w:themeColor="text1"/>
                <w:highlight w:val="none"/>
                <w14:textFill>
                  <w14:solidFill>
                    <w14:schemeClr w14:val="tx1"/>
                  </w14:solidFill>
                </w14:textFill>
              </w:rPr>
              <w:t>《挥发性有机物无组织排放控制标准》（GB37822-2019）</w:t>
            </w:r>
            <w:r>
              <w:rPr>
                <w:rFonts w:hint="default" w:ascii="Times New Roman" w:hAnsi="Times New Roman" w:cs="Times New Roman"/>
                <w:color w:val="000000" w:themeColor="text1"/>
                <w:highlight w:val="none"/>
                <w:lang w:val="en-US" w:eastAsia="zh-CN"/>
                <w14:textFill>
                  <w14:solidFill>
                    <w14:schemeClr w14:val="tx1"/>
                  </w14:solidFill>
                </w14:textFill>
              </w:rPr>
              <w:t>附录A的表A.1</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即：非甲烷总烃厂区内监控点≤</w:t>
            </w:r>
            <w:r>
              <w:rPr>
                <w:rFonts w:hint="eastAsia"/>
                <w:color w:val="000000" w:themeColor="text1"/>
                <w:highlight w:val="none"/>
                <w14:textFill>
                  <w14:solidFill>
                    <w14:schemeClr w14:val="tx1"/>
                  </w14:solidFill>
                </w14:textFill>
              </w:rPr>
              <w:t>8.0</w:t>
            </w:r>
            <w:r>
              <w:rPr>
                <w:color w:val="000000" w:themeColor="text1"/>
                <w:highlight w:val="none"/>
                <w14:textFill>
                  <w14:solidFill>
                    <w14:schemeClr w14:val="tx1"/>
                  </w14:solidFill>
                </w14:textFill>
              </w:rPr>
              <w:t xml:space="preserve"> mg/m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，厂区内监控点处任意一次浓度值≤30 mg/m</w:t>
            </w:r>
            <w:r>
              <w:rPr>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w:t>
            </w:r>
          </w:p>
        </w:tc>
      </w:tr>
      <w:tr w14:paraId="74E026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9" w:type="dxa"/>
            <w:vMerge w:val="restart"/>
            <w:tcBorders>
              <w:tl2br w:val="nil"/>
              <w:tr2bl w:val="nil"/>
            </w:tcBorders>
            <w:noWrap w:val="0"/>
            <w:vAlign w:val="center"/>
          </w:tcPr>
          <w:p w14:paraId="6C1280C4">
            <w:pPr>
              <w:pStyle w:val="2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地表水环境</w:t>
            </w:r>
          </w:p>
        </w:tc>
        <w:tc>
          <w:tcPr>
            <w:tcW w:w="1797" w:type="dxa"/>
            <w:gridSpan w:val="2"/>
            <w:tcBorders>
              <w:tl2br w:val="nil"/>
              <w:tr2bl w:val="nil"/>
            </w:tcBorders>
            <w:noWrap w:val="0"/>
            <w:vAlign w:val="center"/>
          </w:tcPr>
          <w:p w14:paraId="2F58A310">
            <w:pPr>
              <w:pStyle w:val="26"/>
              <w:bidi w:val="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冷却水</w:t>
            </w:r>
          </w:p>
        </w:tc>
        <w:tc>
          <w:tcPr>
            <w:tcW w:w="1609" w:type="dxa"/>
            <w:tcBorders>
              <w:tl2br w:val="nil"/>
              <w:tr2bl w:val="nil"/>
            </w:tcBorders>
            <w:noWrap w:val="0"/>
            <w:vAlign w:val="center"/>
          </w:tcPr>
          <w:p w14:paraId="6B8D3F6B">
            <w:pPr>
              <w:pStyle w:val="26"/>
              <w:bidi w:val="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1637" w:type="dxa"/>
            <w:tcBorders>
              <w:tl2br w:val="nil"/>
              <w:tr2bl w:val="nil"/>
            </w:tcBorders>
            <w:noWrap w:val="0"/>
            <w:vAlign w:val="center"/>
          </w:tcPr>
          <w:p w14:paraId="67615D21">
            <w:pPr>
              <w:pStyle w:val="26"/>
              <w:bidi w:val="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循环使用，不外排</w:t>
            </w:r>
          </w:p>
        </w:tc>
        <w:tc>
          <w:tcPr>
            <w:tcW w:w="2898" w:type="dxa"/>
            <w:tcBorders>
              <w:tl2br w:val="nil"/>
              <w:tr2bl w:val="nil"/>
            </w:tcBorders>
            <w:noWrap w:val="0"/>
            <w:vAlign w:val="center"/>
          </w:tcPr>
          <w:p w14:paraId="7D24F166">
            <w:pPr>
              <w:pStyle w:val="26"/>
              <w:bidi w:val="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5E4262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9" w:type="dxa"/>
            <w:vMerge w:val="continue"/>
            <w:tcBorders>
              <w:tl2br w:val="nil"/>
              <w:tr2bl w:val="nil"/>
            </w:tcBorders>
            <w:noWrap w:val="0"/>
            <w:vAlign w:val="center"/>
          </w:tcPr>
          <w:p w14:paraId="2EE697CC">
            <w:pPr>
              <w:pStyle w:val="26"/>
              <w:bidi w:val="0"/>
              <w:rPr>
                <w:rFonts w:hint="default" w:ascii="Times New Roman" w:hAnsi="Times New Roman" w:cs="Times New Roman"/>
                <w:color w:val="000000" w:themeColor="text1"/>
                <w:sz w:val="21"/>
                <w:szCs w:val="21"/>
                <w:highlight w:val="none"/>
                <w14:textFill>
                  <w14:solidFill>
                    <w14:schemeClr w14:val="tx1"/>
                  </w14:solidFill>
                </w14:textFill>
              </w:rPr>
            </w:pPr>
          </w:p>
        </w:tc>
        <w:tc>
          <w:tcPr>
            <w:tcW w:w="1797" w:type="dxa"/>
            <w:gridSpan w:val="2"/>
            <w:tcBorders>
              <w:tl2br w:val="nil"/>
              <w:tr2bl w:val="nil"/>
            </w:tcBorders>
            <w:noWrap w:val="0"/>
            <w:vAlign w:val="center"/>
          </w:tcPr>
          <w:p w14:paraId="1B3ECF1A">
            <w:pPr>
              <w:pStyle w:val="26"/>
              <w:bidi w:val="0"/>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DW001，生活污水排放口</w:t>
            </w:r>
          </w:p>
        </w:tc>
        <w:tc>
          <w:tcPr>
            <w:tcW w:w="1609" w:type="dxa"/>
            <w:tcBorders>
              <w:tl2br w:val="nil"/>
              <w:tr2bl w:val="nil"/>
            </w:tcBorders>
            <w:noWrap w:val="0"/>
            <w:vAlign w:val="center"/>
          </w:tcPr>
          <w:p w14:paraId="2A5DF2E1">
            <w:pPr>
              <w:pStyle w:val="2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pH、</w:t>
            </w:r>
            <w:r>
              <w:rPr>
                <w:rFonts w:hint="default"/>
                <w:color w:val="000000" w:themeColor="text1"/>
                <w:highlight w:val="none"/>
                <w:lang w:val="en-US" w:eastAsia="zh-CN"/>
                <w14:textFill>
                  <w14:solidFill>
                    <w14:schemeClr w14:val="tx1"/>
                  </w14:solidFill>
                </w14:textFill>
              </w:rPr>
              <w:t>COD、BOD</w:t>
            </w:r>
            <w:r>
              <w:rPr>
                <w:rFonts w:hint="default"/>
                <w:color w:val="000000" w:themeColor="text1"/>
                <w:highlight w:val="none"/>
                <w:vertAlign w:val="subscript"/>
                <w:lang w:val="en-US" w:eastAsia="zh-CN"/>
                <w14:textFill>
                  <w14:solidFill>
                    <w14:schemeClr w14:val="tx1"/>
                  </w14:solidFill>
                </w14:textFill>
              </w:rPr>
              <w:t>5</w:t>
            </w:r>
            <w:r>
              <w:rPr>
                <w:rFonts w:hint="default"/>
                <w:color w:val="000000" w:themeColor="text1"/>
                <w:highlight w:val="none"/>
                <w:lang w:val="en-US" w:eastAsia="zh-CN"/>
                <w14:textFill>
                  <w14:solidFill>
                    <w14:schemeClr w14:val="tx1"/>
                  </w14:solidFill>
                </w14:textFill>
              </w:rPr>
              <w:t>、NH</w:t>
            </w:r>
            <w:r>
              <w:rPr>
                <w:rFonts w:hint="default"/>
                <w:color w:val="000000" w:themeColor="text1"/>
                <w:highlight w:val="none"/>
                <w:vertAlign w:val="subscript"/>
                <w:lang w:val="en-US" w:eastAsia="zh-CN"/>
                <w14:textFill>
                  <w14:solidFill>
                    <w14:schemeClr w14:val="tx1"/>
                  </w14:solidFill>
                </w14:textFill>
              </w:rPr>
              <w:t>3</w:t>
            </w:r>
            <w:r>
              <w:rPr>
                <w:rFonts w:hint="default"/>
                <w:color w:val="000000" w:themeColor="text1"/>
                <w:highlight w:val="none"/>
                <w:lang w:val="en-US" w:eastAsia="zh-CN"/>
                <w14:textFill>
                  <w14:solidFill>
                    <w14:schemeClr w14:val="tx1"/>
                  </w14:solidFill>
                </w14:textFill>
              </w:rPr>
              <w:t>-N、SS</w:t>
            </w:r>
          </w:p>
        </w:tc>
        <w:tc>
          <w:tcPr>
            <w:tcW w:w="1637" w:type="dxa"/>
            <w:tcBorders>
              <w:tl2br w:val="nil"/>
              <w:tr2bl w:val="nil"/>
            </w:tcBorders>
            <w:noWrap w:val="0"/>
            <w:vAlign w:val="center"/>
          </w:tcPr>
          <w:p w14:paraId="031C7234">
            <w:pPr>
              <w:pStyle w:val="26"/>
              <w:bidi w:val="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经化粪池预处理后，进入排入园区污水管网，最终进入永安市贡川产业园水东工业集中区污水处理厂深度处理</w:t>
            </w:r>
          </w:p>
        </w:tc>
        <w:tc>
          <w:tcPr>
            <w:tcW w:w="2898" w:type="dxa"/>
            <w:tcBorders>
              <w:tl2br w:val="nil"/>
              <w:tr2bl w:val="nil"/>
            </w:tcBorders>
            <w:noWrap w:val="0"/>
            <w:vAlign w:val="center"/>
          </w:tcPr>
          <w:p w14:paraId="5E21FFAB">
            <w:pPr>
              <w:pStyle w:val="2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《污水综合排放标准》（GB8978-1996）</w:t>
            </w:r>
            <w:r>
              <w:rPr>
                <w:color w:val="000000" w:themeColor="text1"/>
                <w:highlight w:val="none"/>
                <w14:textFill>
                  <w14:solidFill>
                    <w14:schemeClr w14:val="tx1"/>
                  </w14:solidFill>
                </w14:textFill>
              </w:rPr>
              <w:t>表4中的三级标准</w:t>
            </w:r>
            <w:r>
              <w:rPr>
                <w:rFonts w:hint="default"/>
                <w:color w:val="000000" w:themeColor="text1"/>
                <w:highlight w:val="none"/>
                <w:lang w:val="en-US" w:eastAsia="zh-CN"/>
                <w14:textFill>
                  <w14:solidFill>
                    <w14:schemeClr w14:val="tx1"/>
                  </w14:solidFill>
                </w14:textFill>
              </w:rPr>
              <w:t>（其中NH</w:t>
            </w:r>
            <w:r>
              <w:rPr>
                <w:rFonts w:hint="default"/>
                <w:color w:val="000000" w:themeColor="text1"/>
                <w:highlight w:val="none"/>
                <w:vertAlign w:val="subscript"/>
                <w:lang w:val="en-US" w:eastAsia="zh-CN"/>
                <w14:textFill>
                  <w14:solidFill>
                    <w14:schemeClr w14:val="tx1"/>
                  </w14:solidFill>
                </w14:textFill>
              </w:rPr>
              <w:t>3</w:t>
            </w:r>
            <w:r>
              <w:rPr>
                <w:rFonts w:hint="default"/>
                <w:color w:val="000000" w:themeColor="text1"/>
                <w:highlight w:val="none"/>
                <w:lang w:val="en-US" w:eastAsia="zh-CN"/>
                <w14:textFill>
                  <w14:solidFill>
                    <w14:schemeClr w14:val="tx1"/>
                  </w14:solidFill>
                </w14:textFill>
              </w:rPr>
              <w:t>-N</w:t>
            </w:r>
            <w:r>
              <w:rPr>
                <w:color w:val="000000" w:themeColor="text1"/>
                <w:highlight w:val="none"/>
                <w14:textFill>
                  <w14:solidFill>
                    <w14:schemeClr w14:val="tx1"/>
                  </w14:solidFill>
                </w14:textFill>
              </w:rPr>
              <w:t>参照</w:t>
            </w:r>
            <w:r>
              <w:rPr>
                <w:rFonts w:hint="default"/>
                <w:color w:val="000000" w:themeColor="text1"/>
                <w:highlight w:val="none"/>
                <w:lang w:val="en-US" w:eastAsia="zh-CN"/>
                <w14:textFill>
                  <w14:solidFill>
                    <w14:schemeClr w14:val="tx1"/>
                  </w14:solidFill>
                </w14:textFill>
              </w:rPr>
              <w:t>执行</w:t>
            </w:r>
            <w:r>
              <w:rPr>
                <w:color w:val="000000" w:themeColor="text1"/>
                <w:highlight w:val="none"/>
                <w14:textFill>
                  <w14:solidFill>
                    <w14:schemeClr w14:val="tx1"/>
                  </w14:solidFill>
                </w14:textFill>
              </w:rPr>
              <w:t>《污水排入城镇下水道水质标准》（GB/T31962-2015）表1中B级标准</w:t>
            </w:r>
            <w:r>
              <w:rPr>
                <w:rFonts w:hint="default"/>
                <w:color w:val="000000" w:themeColor="text1"/>
                <w:highlight w:val="none"/>
                <w:lang w:val="en-US" w:eastAsia="zh-CN"/>
                <w14:textFill>
                  <w14:solidFill>
                    <w14:schemeClr w14:val="tx1"/>
                  </w14:solidFill>
                </w14:textFill>
              </w:rPr>
              <w:t>）</w:t>
            </w:r>
            <w:r>
              <w:rPr>
                <w:rFonts w:hint="eastAsia"/>
                <w:color w:val="000000" w:themeColor="text1"/>
                <w:highlight w:val="none"/>
                <w14:textFill>
                  <w14:solidFill>
                    <w14:schemeClr w14:val="tx1"/>
                  </w14:solidFill>
                </w14:textFill>
              </w:rPr>
              <w:t>（即：</w:t>
            </w:r>
            <w:r>
              <w:rPr>
                <w:color w:val="000000" w:themeColor="text1"/>
                <w:highlight w:val="none"/>
                <w14:textFill>
                  <w14:solidFill>
                    <w14:schemeClr w14:val="tx1"/>
                  </w14:solidFill>
                </w14:textFill>
              </w:rPr>
              <w:t>pH：6~9，COD≤</w:t>
            </w:r>
            <w:r>
              <w:rPr>
                <w:rFonts w:hint="eastAsia"/>
                <w:color w:val="000000" w:themeColor="text1"/>
                <w:highlight w:val="none"/>
                <w14:textFill>
                  <w14:solidFill>
                    <w14:schemeClr w14:val="tx1"/>
                  </w14:solidFill>
                </w14:textFill>
              </w:rPr>
              <w:t>50</w:t>
            </w:r>
            <w:r>
              <w:rPr>
                <w:color w:val="000000" w:themeColor="text1"/>
                <w:highlight w:val="none"/>
                <w14:textFill>
                  <w14:solidFill>
                    <w14:schemeClr w14:val="tx1"/>
                  </w14:solidFill>
                </w14:textFill>
              </w:rPr>
              <w:t>0mg/L，BOD</w:t>
            </w:r>
            <w:r>
              <w:rPr>
                <w:color w:val="000000" w:themeColor="text1"/>
                <w:highlight w:val="none"/>
                <w:vertAlign w:val="subscript"/>
                <w14:textFill>
                  <w14:solidFill>
                    <w14:schemeClr w14:val="tx1"/>
                  </w14:solidFill>
                </w14:textFill>
              </w:rPr>
              <w:t>5</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30</w:t>
            </w:r>
            <w:r>
              <w:rPr>
                <w:color w:val="000000" w:themeColor="text1"/>
                <w:highlight w:val="none"/>
                <w14:textFill>
                  <w14:solidFill>
                    <w14:schemeClr w14:val="tx1"/>
                  </w14:solidFill>
                </w14:textFill>
              </w:rPr>
              <w:t>0mg/L，SS≤</w:t>
            </w:r>
            <w:r>
              <w:rPr>
                <w:rFonts w:hint="eastAsia"/>
                <w:color w:val="000000" w:themeColor="text1"/>
                <w:highlight w:val="none"/>
                <w14:textFill>
                  <w14:solidFill>
                    <w14:schemeClr w14:val="tx1"/>
                  </w14:solidFill>
                </w14:textFill>
              </w:rPr>
              <w:t>40</w:t>
            </w:r>
            <w:r>
              <w:rPr>
                <w:color w:val="000000" w:themeColor="text1"/>
                <w:highlight w:val="none"/>
                <w14:textFill>
                  <w14:solidFill>
                    <w14:schemeClr w14:val="tx1"/>
                  </w14:solidFill>
                </w14:textFill>
              </w:rPr>
              <w:t>0mg/L，NH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-N≤</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5mg/L</w:t>
            </w:r>
            <w:r>
              <w:rPr>
                <w:rFonts w:hint="eastAsia"/>
                <w:color w:val="000000" w:themeColor="text1"/>
                <w:highlight w:val="none"/>
                <w14:textFill>
                  <w14:solidFill>
                    <w14:schemeClr w14:val="tx1"/>
                  </w14:solidFill>
                </w14:textFill>
              </w:rPr>
              <w:t>）</w:t>
            </w:r>
          </w:p>
        </w:tc>
      </w:tr>
      <w:tr w14:paraId="0EC1B1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9" w:type="dxa"/>
            <w:tcBorders>
              <w:tl2br w:val="nil"/>
              <w:tr2bl w:val="nil"/>
            </w:tcBorders>
            <w:noWrap w:val="0"/>
            <w:vAlign w:val="center"/>
          </w:tcPr>
          <w:p w14:paraId="1EDB2197">
            <w:pPr>
              <w:pStyle w:val="2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声环境</w:t>
            </w:r>
          </w:p>
        </w:tc>
        <w:tc>
          <w:tcPr>
            <w:tcW w:w="1797" w:type="dxa"/>
            <w:gridSpan w:val="2"/>
            <w:tcBorders>
              <w:tl2br w:val="nil"/>
              <w:tr2bl w:val="nil"/>
            </w:tcBorders>
            <w:noWrap w:val="0"/>
            <w:vAlign w:val="center"/>
          </w:tcPr>
          <w:p w14:paraId="40E2D095">
            <w:pPr>
              <w:pStyle w:val="2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厂界噪声</w:t>
            </w:r>
          </w:p>
        </w:tc>
        <w:tc>
          <w:tcPr>
            <w:tcW w:w="1609" w:type="dxa"/>
            <w:tcBorders>
              <w:tl2br w:val="nil"/>
              <w:tr2bl w:val="nil"/>
            </w:tcBorders>
            <w:noWrap w:val="0"/>
            <w:vAlign w:val="center"/>
          </w:tcPr>
          <w:p w14:paraId="50F70F00">
            <w:pPr>
              <w:pStyle w:val="2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等效连续A声级</w:t>
            </w:r>
          </w:p>
        </w:tc>
        <w:tc>
          <w:tcPr>
            <w:tcW w:w="1637" w:type="dxa"/>
            <w:tcBorders>
              <w:tl2br w:val="nil"/>
              <w:tr2bl w:val="nil"/>
            </w:tcBorders>
            <w:noWrap w:val="0"/>
            <w:vAlign w:val="center"/>
          </w:tcPr>
          <w:p w14:paraId="29B4C9E2">
            <w:pPr>
              <w:pStyle w:val="2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设备采取隔声</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减震、</w:t>
            </w:r>
            <w:r>
              <w:rPr>
                <w:rFonts w:hint="default" w:ascii="Times New Roman" w:hAnsi="Times New Roman" w:cs="Times New Roman"/>
                <w:color w:val="000000" w:themeColor="text1"/>
                <w:sz w:val="21"/>
                <w:szCs w:val="21"/>
                <w:highlight w:val="none"/>
                <w14:textFill>
                  <w14:solidFill>
                    <w14:schemeClr w14:val="tx1"/>
                  </w14:solidFill>
                </w14:textFill>
              </w:rPr>
              <w:t>消声等</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综合降噪</w:t>
            </w:r>
            <w:r>
              <w:rPr>
                <w:rFonts w:hint="default" w:ascii="Times New Roman" w:hAnsi="Times New Roman" w:cs="Times New Roman"/>
                <w:color w:val="000000" w:themeColor="text1"/>
                <w:sz w:val="21"/>
                <w:szCs w:val="21"/>
                <w:highlight w:val="none"/>
                <w14:textFill>
                  <w14:solidFill>
                    <w14:schemeClr w14:val="tx1"/>
                  </w14:solidFill>
                </w14:textFill>
              </w:rPr>
              <w:t>措施</w:t>
            </w:r>
          </w:p>
        </w:tc>
        <w:tc>
          <w:tcPr>
            <w:tcW w:w="2898" w:type="dxa"/>
            <w:tcBorders>
              <w:tl2br w:val="nil"/>
              <w:tr2bl w:val="nil"/>
            </w:tcBorders>
            <w:noWrap w:val="0"/>
            <w:vAlign w:val="center"/>
          </w:tcPr>
          <w:p w14:paraId="1D3A81D3">
            <w:pPr>
              <w:pStyle w:val="2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《工业企业厂界环境噪声排放标准》</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GB12348-2008</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3类标准</w:t>
            </w:r>
            <w:r>
              <w:rPr>
                <w:color w:val="000000" w:themeColor="text1"/>
                <w:szCs w:val="21"/>
                <w:highlight w:val="none"/>
                <w14:textFill>
                  <w14:solidFill>
                    <w14:schemeClr w14:val="tx1"/>
                  </w14:solidFill>
                </w14:textFill>
              </w:rPr>
              <w:t xml:space="preserve">（即：昼间≤65 </w:t>
            </w:r>
            <w:r>
              <w:rPr>
                <w:color w:val="000000" w:themeColor="text1"/>
                <w:szCs w:val="20"/>
                <w:highlight w:val="none"/>
                <w14:textFill>
                  <w14:solidFill>
                    <w14:schemeClr w14:val="tx1"/>
                  </w14:solidFill>
                </w14:textFill>
              </w:rPr>
              <w:t>dB（A）</w:t>
            </w:r>
            <w:r>
              <w:rPr>
                <w:rFonts w:hint="eastAsia"/>
                <w:color w:val="000000" w:themeColor="text1"/>
                <w:szCs w:val="20"/>
                <w:highlight w:val="none"/>
                <w14:textFill>
                  <w14:solidFill>
                    <w14:schemeClr w14:val="tx1"/>
                  </w14:solidFill>
                </w14:textFill>
              </w:rPr>
              <w:t>；4类，昼</w:t>
            </w:r>
            <w:r>
              <w:rPr>
                <w:color w:val="000000" w:themeColor="text1"/>
                <w:szCs w:val="20"/>
                <w:highlight w:val="none"/>
                <w14:textFill>
                  <w14:solidFill>
                    <w14:schemeClr w14:val="tx1"/>
                  </w14:solidFill>
                </w14:textFill>
              </w:rPr>
              <w:t>间≤</w:t>
            </w:r>
            <w:r>
              <w:rPr>
                <w:rFonts w:hint="eastAsia"/>
                <w:color w:val="000000" w:themeColor="text1"/>
                <w:szCs w:val="20"/>
                <w:highlight w:val="none"/>
                <w14:textFill>
                  <w14:solidFill>
                    <w14:schemeClr w14:val="tx1"/>
                  </w14:solidFill>
                </w14:textFill>
              </w:rPr>
              <w:t>70</w:t>
            </w:r>
            <w:r>
              <w:rPr>
                <w:color w:val="000000" w:themeColor="text1"/>
                <w:szCs w:val="20"/>
                <w:highlight w:val="none"/>
                <w14:textFill>
                  <w14:solidFill>
                    <w14:schemeClr w14:val="tx1"/>
                  </w14:solidFill>
                </w14:textFill>
              </w:rPr>
              <w:t xml:space="preserve"> dB（A）</w:t>
            </w:r>
            <w:r>
              <w:rPr>
                <w:color w:val="000000" w:themeColor="text1"/>
                <w:szCs w:val="21"/>
                <w:highlight w:val="none"/>
                <w14:textFill>
                  <w14:solidFill>
                    <w14:schemeClr w14:val="tx1"/>
                  </w14:solidFill>
                </w14:textFill>
              </w:rPr>
              <w:t>）</w:t>
            </w:r>
          </w:p>
        </w:tc>
      </w:tr>
      <w:tr w14:paraId="423312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9" w:type="dxa"/>
            <w:tcBorders>
              <w:tl2br w:val="nil"/>
              <w:tr2bl w:val="nil"/>
            </w:tcBorders>
            <w:noWrap w:val="0"/>
            <w:vAlign w:val="center"/>
          </w:tcPr>
          <w:p w14:paraId="5E7517A6">
            <w:pPr>
              <w:pStyle w:val="2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电磁辐射</w:t>
            </w:r>
          </w:p>
        </w:tc>
        <w:tc>
          <w:tcPr>
            <w:tcW w:w="1797" w:type="dxa"/>
            <w:gridSpan w:val="2"/>
            <w:tcBorders>
              <w:tl2br w:val="nil"/>
              <w:tr2bl w:val="nil"/>
            </w:tcBorders>
            <w:noWrap w:val="0"/>
            <w:vAlign w:val="center"/>
          </w:tcPr>
          <w:p w14:paraId="263757C6">
            <w:pPr>
              <w:pStyle w:val="2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1609" w:type="dxa"/>
            <w:tcBorders>
              <w:tl2br w:val="nil"/>
              <w:tr2bl w:val="nil"/>
            </w:tcBorders>
            <w:noWrap w:val="0"/>
            <w:vAlign w:val="center"/>
          </w:tcPr>
          <w:p w14:paraId="6F5BED79">
            <w:pPr>
              <w:pStyle w:val="2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1637" w:type="dxa"/>
            <w:tcBorders>
              <w:tl2br w:val="nil"/>
              <w:tr2bl w:val="nil"/>
            </w:tcBorders>
            <w:noWrap w:val="0"/>
            <w:vAlign w:val="center"/>
          </w:tcPr>
          <w:p w14:paraId="4424FFBB">
            <w:pPr>
              <w:pStyle w:val="2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2898" w:type="dxa"/>
            <w:tcBorders>
              <w:tl2br w:val="nil"/>
              <w:tr2bl w:val="nil"/>
            </w:tcBorders>
            <w:noWrap w:val="0"/>
            <w:vAlign w:val="center"/>
          </w:tcPr>
          <w:p w14:paraId="60006DCD">
            <w:pPr>
              <w:pStyle w:val="2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r>
      <w:tr w14:paraId="5B2ED7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9" w:type="dxa"/>
            <w:vMerge w:val="restart"/>
            <w:tcBorders>
              <w:tl2br w:val="nil"/>
              <w:tr2bl w:val="nil"/>
            </w:tcBorders>
            <w:noWrap w:val="0"/>
            <w:vAlign w:val="center"/>
          </w:tcPr>
          <w:p w14:paraId="1A4C08D9">
            <w:pPr>
              <w:pStyle w:val="2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固体废物</w:t>
            </w:r>
          </w:p>
        </w:tc>
        <w:tc>
          <w:tcPr>
            <w:tcW w:w="1797" w:type="dxa"/>
            <w:gridSpan w:val="2"/>
            <w:tcBorders>
              <w:tl2br w:val="nil"/>
              <w:tr2bl w:val="nil"/>
            </w:tcBorders>
            <w:noWrap w:val="0"/>
            <w:vAlign w:val="center"/>
          </w:tcPr>
          <w:p w14:paraId="7C3CCE2E">
            <w:pPr>
              <w:pStyle w:val="26"/>
              <w:bidi w:val="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职工日常生活</w:t>
            </w:r>
          </w:p>
        </w:tc>
        <w:tc>
          <w:tcPr>
            <w:tcW w:w="1609" w:type="dxa"/>
            <w:tcBorders>
              <w:tl2br w:val="nil"/>
              <w:tr2bl w:val="nil"/>
            </w:tcBorders>
            <w:noWrap w:val="0"/>
            <w:vAlign w:val="center"/>
          </w:tcPr>
          <w:p w14:paraId="5DF00992">
            <w:pPr>
              <w:pStyle w:val="26"/>
              <w:bidi w:val="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生活垃圾</w:t>
            </w:r>
          </w:p>
        </w:tc>
        <w:tc>
          <w:tcPr>
            <w:tcW w:w="1637" w:type="dxa"/>
            <w:tcBorders>
              <w:tl2br w:val="nil"/>
              <w:tr2bl w:val="nil"/>
            </w:tcBorders>
            <w:noWrap w:val="0"/>
            <w:vAlign w:val="center"/>
          </w:tcPr>
          <w:p w14:paraId="0EECEC5E">
            <w:pPr>
              <w:pStyle w:val="26"/>
              <w:bidi w:val="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设置存放点，委托环卫部门清运处置</w:t>
            </w:r>
          </w:p>
        </w:tc>
        <w:tc>
          <w:tcPr>
            <w:tcW w:w="2898" w:type="dxa"/>
            <w:tcBorders>
              <w:tl2br w:val="nil"/>
              <w:tr2bl w:val="nil"/>
            </w:tcBorders>
            <w:noWrap w:val="0"/>
            <w:vAlign w:val="center"/>
          </w:tcPr>
          <w:p w14:paraId="35DD404C">
            <w:pPr>
              <w:pStyle w:val="2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14:paraId="58B1FF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1119" w:type="dxa"/>
            <w:vMerge w:val="continue"/>
            <w:tcBorders>
              <w:tl2br w:val="nil"/>
              <w:tr2bl w:val="nil"/>
            </w:tcBorders>
            <w:noWrap w:val="0"/>
            <w:vAlign w:val="center"/>
          </w:tcPr>
          <w:p w14:paraId="640C642F">
            <w:pPr>
              <w:pStyle w:val="26"/>
              <w:bidi w:val="0"/>
              <w:rPr>
                <w:rFonts w:hint="default" w:ascii="Times New Roman" w:hAnsi="Times New Roman" w:cs="Times New Roman"/>
                <w:color w:val="000000" w:themeColor="text1"/>
                <w:sz w:val="21"/>
                <w:szCs w:val="21"/>
                <w:highlight w:val="none"/>
                <w14:textFill>
                  <w14:solidFill>
                    <w14:schemeClr w14:val="tx1"/>
                  </w14:solidFill>
                </w14:textFill>
              </w:rPr>
            </w:pPr>
          </w:p>
        </w:tc>
        <w:tc>
          <w:tcPr>
            <w:tcW w:w="1797" w:type="dxa"/>
            <w:gridSpan w:val="2"/>
            <w:vMerge w:val="restart"/>
            <w:tcBorders>
              <w:tl2br w:val="nil"/>
              <w:tr2bl w:val="nil"/>
            </w:tcBorders>
            <w:noWrap w:val="0"/>
            <w:vAlign w:val="center"/>
          </w:tcPr>
          <w:p w14:paraId="7F2F1B40">
            <w:pPr>
              <w:pStyle w:val="26"/>
              <w:bidi w:val="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一般工业</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固体废物</w:t>
            </w:r>
          </w:p>
        </w:tc>
        <w:tc>
          <w:tcPr>
            <w:tcW w:w="1609" w:type="dxa"/>
            <w:tcBorders>
              <w:tl2br w:val="nil"/>
              <w:tr2bl w:val="nil"/>
            </w:tcBorders>
            <w:noWrap w:val="0"/>
            <w:vAlign w:val="center"/>
          </w:tcPr>
          <w:p w14:paraId="6A60D456">
            <w:pPr>
              <w:pStyle w:val="26"/>
              <w:bidi w:val="0"/>
              <w:rPr>
                <w:rFonts w:hint="default" w:ascii="Times New Roman" w:hAnsi="Times New Roman" w:cs="Times New Roman"/>
                <w:color w:val="000000" w:themeColor="text1"/>
                <w:sz w:val="21"/>
                <w:szCs w:val="21"/>
                <w:highlight w:val="none"/>
                <w:lang w:val="en-US"/>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碳渣、不合格品、原辅材料废包装袋、截留粉尘</w:t>
            </w:r>
          </w:p>
        </w:tc>
        <w:tc>
          <w:tcPr>
            <w:tcW w:w="1637" w:type="dxa"/>
            <w:tcBorders>
              <w:tl2br w:val="nil"/>
              <w:tr2bl w:val="nil"/>
            </w:tcBorders>
            <w:noWrap w:val="0"/>
            <w:vAlign w:val="center"/>
          </w:tcPr>
          <w:p w14:paraId="6EEE0616">
            <w:pPr>
              <w:pStyle w:val="2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分类收集，贮存于一般工业固体废物贮存间，定期外售综合利用</w:t>
            </w:r>
          </w:p>
        </w:tc>
        <w:tc>
          <w:tcPr>
            <w:tcW w:w="2898" w:type="dxa"/>
            <w:vMerge w:val="restart"/>
            <w:tcBorders>
              <w:tl2br w:val="nil"/>
              <w:tr2bl w:val="nil"/>
            </w:tcBorders>
            <w:noWrap w:val="0"/>
            <w:vAlign w:val="center"/>
          </w:tcPr>
          <w:p w14:paraId="66225AFE">
            <w:pPr>
              <w:pStyle w:val="2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《一般工业固体废物贮存</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和填埋</w:t>
            </w:r>
            <w:r>
              <w:rPr>
                <w:rFonts w:hint="default" w:ascii="Times New Roman" w:hAnsi="Times New Roman" w:cs="Times New Roman"/>
                <w:color w:val="000000" w:themeColor="text1"/>
                <w:sz w:val="21"/>
                <w:szCs w:val="21"/>
                <w:highlight w:val="none"/>
                <w14:textFill>
                  <w14:solidFill>
                    <w14:schemeClr w14:val="tx1"/>
                  </w14:solidFill>
                </w14:textFill>
              </w:rPr>
              <w:t>污染控制标准》(GB18599-20</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20</w:t>
            </w:r>
            <w:r>
              <w:rPr>
                <w:rFonts w:hint="default" w:ascii="Times New Roman" w:hAnsi="Times New Roman" w:cs="Times New Roman"/>
                <w:color w:val="000000" w:themeColor="text1"/>
                <w:sz w:val="21"/>
                <w:szCs w:val="21"/>
                <w:highlight w:val="none"/>
                <w14:textFill>
                  <w14:solidFill>
                    <w14:schemeClr w14:val="tx1"/>
                  </w14:solidFill>
                </w14:textFill>
              </w:rPr>
              <w:t>)</w:t>
            </w:r>
          </w:p>
        </w:tc>
      </w:tr>
      <w:tr w14:paraId="6BD44B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1119" w:type="dxa"/>
            <w:vMerge w:val="continue"/>
            <w:tcBorders>
              <w:tl2br w:val="nil"/>
              <w:tr2bl w:val="nil"/>
            </w:tcBorders>
            <w:noWrap w:val="0"/>
            <w:vAlign w:val="center"/>
          </w:tcPr>
          <w:p w14:paraId="2EA222F9">
            <w:pPr>
              <w:pStyle w:val="26"/>
              <w:bidi w:val="0"/>
              <w:rPr>
                <w:rFonts w:hint="default" w:ascii="Times New Roman" w:hAnsi="Times New Roman" w:cs="Times New Roman"/>
                <w:color w:val="000000" w:themeColor="text1"/>
                <w:sz w:val="21"/>
                <w:szCs w:val="21"/>
                <w:highlight w:val="none"/>
                <w14:textFill>
                  <w14:solidFill>
                    <w14:schemeClr w14:val="tx1"/>
                  </w14:solidFill>
                </w14:textFill>
              </w:rPr>
            </w:pPr>
          </w:p>
        </w:tc>
        <w:tc>
          <w:tcPr>
            <w:tcW w:w="1797" w:type="dxa"/>
            <w:gridSpan w:val="2"/>
            <w:vMerge w:val="continue"/>
            <w:tcBorders>
              <w:tl2br w:val="nil"/>
              <w:tr2bl w:val="nil"/>
            </w:tcBorders>
            <w:noWrap w:val="0"/>
            <w:vAlign w:val="center"/>
          </w:tcPr>
          <w:p w14:paraId="6E699AC0">
            <w:pPr>
              <w:pStyle w:val="26"/>
              <w:bidi w:val="0"/>
              <w:rPr>
                <w:rFonts w:hint="default" w:ascii="Times New Roman" w:hAnsi="Times New Roman" w:cs="Times New Roman"/>
                <w:color w:val="000000" w:themeColor="text1"/>
                <w:sz w:val="21"/>
                <w:szCs w:val="21"/>
                <w:highlight w:val="none"/>
                <w14:textFill>
                  <w14:solidFill>
                    <w14:schemeClr w14:val="tx1"/>
                  </w14:solidFill>
                </w14:textFill>
              </w:rPr>
            </w:pPr>
          </w:p>
        </w:tc>
        <w:tc>
          <w:tcPr>
            <w:tcW w:w="1609" w:type="dxa"/>
            <w:tcBorders>
              <w:tl2br w:val="nil"/>
              <w:tr2bl w:val="nil"/>
            </w:tcBorders>
            <w:noWrap w:val="0"/>
            <w:vAlign w:val="center"/>
          </w:tcPr>
          <w:p w14:paraId="33629F81">
            <w:pPr>
              <w:pStyle w:val="26"/>
              <w:bidi w:val="0"/>
              <w:rPr>
                <w:rFonts w:hint="eastAsia"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废</w:t>
            </w:r>
            <w:r>
              <w:rPr>
                <w:rFonts w:hint="eastAsia"/>
                <w:color w:val="000000" w:themeColor="text1"/>
                <w:highlight w:val="none"/>
                <w:lang w:val="en-US" w:eastAsia="zh-CN"/>
                <w14:textFill>
                  <w14:solidFill>
                    <w14:schemeClr w14:val="tx1"/>
                  </w14:solidFill>
                </w14:textFill>
              </w:rPr>
              <w:t>滤芯、废分子筛</w:t>
            </w:r>
          </w:p>
        </w:tc>
        <w:tc>
          <w:tcPr>
            <w:tcW w:w="1637" w:type="dxa"/>
            <w:tcBorders>
              <w:tl2br w:val="nil"/>
              <w:tr2bl w:val="nil"/>
            </w:tcBorders>
            <w:noWrap w:val="0"/>
            <w:vAlign w:val="center"/>
          </w:tcPr>
          <w:p w14:paraId="0EC519FB">
            <w:pPr>
              <w:pStyle w:val="2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由供应商回收综合利用</w:t>
            </w:r>
          </w:p>
        </w:tc>
        <w:tc>
          <w:tcPr>
            <w:tcW w:w="2898" w:type="dxa"/>
            <w:vMerge w:val="continue"/>
            <w:tcBorders>
              <w:tl2br w:val="nil"/>
              <w:tr2bl w:val="nil"/>
            </w:tcBorders>
            <w:noWrap w:val="0"/>
            <w:vAlign w:val="center"/>
          </w:tcPr>
          <w:p w14:paraId="5752555E">
            <w:pPr>
              <w:pStyle w:val="26"/>
              <w:bidi w:val="0"/>
              <w:rPr>
                <w:rFonts w:hint="default" w:ascii="Times New Roman" w:hAnsi="Times New Roman" w:cs="Times New Roman"/>
                <w:color w:val="000000" w:themeColor="text1"/>
                <w:sz w:val="21"/>
                <w:szCs w:val="21"/>
                <w:highlight w:val="none"/>
                <w14:textFill>
                  <w14:solidFill>
                    <w14:schemeClr w14:val="tx1"/>
                  </w14:solidFill>
                </w14:textFill>
              </w:rPr>
            </w:pPr>
          </w:p>
        </w:tc>
      </w:tr>
      <w:tr w14:paraId="1ECD5E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9" w:type="dxa"/>
            <w:vMerge w:val="continue"/>
            <w:tcBorders>
              <w:tl2br w:val="nil"/>
              <w:tr2bl w:val="nil"/>
            </w:tcBorders>
            <w:noWrap w:val="0"/>
            <w:vAlign w:val="center"/>
          </w:tcPr>
          <w:p w14:paraId="6BCC1EB9">
            <w:pPr>
              <w:pStyle w:val="26"/>
              <w:bidi w:val="0"/>
              <w:rPr>
                <w:rFonts w:hint="default" w:ascii="Times New Roman" w:hAnsi="Times New Roman" w:cs="Times New Roman"/>
                <w:color w:val="000000" w:themeColor="text1"/>
                <w:sz w:val="21"/>
                <w:szCs w:val="21"/>
                <w:highlight w:val="none"/>
                <w14:textFill>
                  <w14:solidFill>
                    <w14:schemeClr w14:val="tx1"/>
                  </w14:solidFill>
                </w14:textFill>
              </w:rPr>
            </w:pPr>
          </w:p>
        </w:tc>
        <w:tc>
          <w:tcPr>
            <w:tcW w:w="1797" w:type="dxa"/>
            <w:gridSpan w:val="2"/>
            <w:tcBorders>
              <w:tl2br w:val="nil"/>
              <w:tr2bl w:val="nil"/>
            </w:tcBorders>
            <w:noWrap w:val="0"/>
            <w:vAlign w:val="center"/>
          </w:tcPr>
          <w:p w14:paraId="68CCCB34">
            <w:pPr>
              <w:pStyle w:val="2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危险废物</w:t>
            </w:r>
          </w:p>
        </w:tc>
        <w:tc>
          <w:tcPr>
            <w:tcW w:w="1609" w:type="dxa"/>
            <w:tcBorders>
              <w:tl2br w:val="nil"/>
              <w:tr2bl w:val="nil"/>
            </w:tcBorders>
            <w:noWrap w:val="0"/>
            <w:vAlign w:val="center"/>
          </w:tcPr>
          <w:p w14:paraId="2413803C">
            <w:pPr>
              <w:pStyle w:val="26"/>
              <w:bidi w:val="0"/>
              <w:rPr>
                <w:rFonts w:hint="default" w:ascii="Times New Roman" w:hAnsi="Times New Roman" w:cs="Times New Roman"/>
                <w:color w:val="000000" w:themeColor="text1"/>
                <w:sz w:val="21"/>
                <w:szCs w:val="2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检验室废液、废试剂瓶、废活性炭、废机油、废含油抹布、手套、废布袋、废催化剂</w:t>
            </w:r>
          </w:p>
        </w:tc>
        <w:tc>
          <w:tcPr>
            <w:tcW w:w="1637" w:type="dxa"/>
            <w:tcBorders>
              <w:tl2br w:val="nil"/>
              <w:tr2bl w:val="nil"/>
            </w:tcBorders>
            <w:noWrap w:val="0"/>
            <w:vAlign w:val="center"/>
          </w:tcPr>
          <w:p w14:paraId="1EE5B30F">
            <w:pPr>
              <w:pStyle w:val="26"/>
              <w:bidi w:val="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收集后，分类</w:t>
            </w:r>
            <w:r>
              <w:rPr>
                <w:rFonts w:hint="eastAsia" w:ascii="Times New Roman" w:hAnsi="Times New Roman" w:cs="Times New Roman"/>
                <w:color w:val="000000" w:themeColor="text1"/>
                <w:highlight w:val="none"/>
                <w:lang w:val="en-US" w:eastAsia="zh-CN"/>
                <w14:textFill>
                  <w14:solidFill>
                    <w14:schemeClr w14:val="tx1"/>
                  </w14:solidFill>
                </w14:textFill>
              </w:rPr>
              <w:t>贮存</w:t>
            </w:r>
            <w:r>
              <w:rPr>
                <w:rFonts w:hint="default" w:ascii="Times New Roman" w:hAnsi="Times New Roman" w:cs="Times New Roman"/>
                <w:color w:val="000000" w:themeColor="text1"/>
                <w:highlight w:val="none"/>
                <w:lang w:val="en-US" w:eastAsia="zh-CN"/>
                <w14:textFill>
                  <w14:solidFill>
                    <w14:schemeClr w14:val="tx1"/>
                  </w14:solidFill>
                </w14:textFill>
              </w:rPr>
              <w:t>于危险废物贮存间，定期委托有资质单位处置</w:t>
            </w:r>
          </w:p>
        </w:tc>
        <w:tc>
          <w:tcPr>
            <w:tcW w:w="2898" w:type="dxa"/>
            <w:tcBorders>
              <w:tl2br w:val="nil"/>
              <w:tr2bl w:val="nil"/>
            </w:tcBorders>
            <w:noWrap w:val="0"/>
            <w:vAlign w:val="center"/>
          </w:tcPr>
          <w:p w14:paraId="212470A8">
            <w:pPr>
              <w:pStyle w:val="26"/>
              <w:bidi w:val="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bidi="ar"/>
                <w14:textFill>
                  <w14:solidFill>
                    <w14:schemeClr w14:val="tx1"/>
                  </w14:solidFill>
                </w14:textFill>
              </w:rPr>
              <w:t>危险废物收集、</w:t>
            </w:r>
            <w:r>
              <w:rPr>
                <w:rFonts w:hint="eastAsia" w:ascii="Times New Roman" w:hAnsi="Times New Roman" w:cs="Times New Roman"/>
                <w:color w:val="000000" w:themeColor="text1"/>
                <w:szCs w:val="21"/>
                <w:highlight w:val="none"/>
                <w:lang w:val="en-US" w:eastAsia="zh-CN" w:bidi="ar"/>
                <w14:textFill>
                  <w14:solidFill>
                    <w14:schemeClr w14:val="tx1"/>
                  </w14:solidFill>
                </w14:textFill>
              </w:rPr>
              <w:t>贮存</w:t>
            </w:r>
            <w:r>
              <w:rPr>
                <w:rFonts w:hint="default" w:ascii="Times New Roman" w:hAnsi="Times New Roman" w:cs="Times New Roman"/>
                <w:color w:val="000000" w:themeColor="text1"/>
                <w:szCs w:val="21"/>
                <w:highlight w:val="none"/>
                <w:lang w:bidi="ar"/>
                <w14:textFill>
                  <w14:solidFill>
                    <w14:schemeClr w14:val="tx1"/>
                  </w14:solidFill>
                </w14:textFill>
              </w:rPr>
              <w:t>、装运等需满足</w:t>
            </w:r>
            <w:r>
              <w:rPr>
                <w:rFonts w:hint="default" w:ascii="Times New Roman" w:hAnsi="Times New Roman" w:cs="Times New Roman"/>
                <w:color w:val="000000" w:themeColor="text1"/>
                <w:highlight w:val="none"/>
                <w14:textFill>
                  <w14:solidFill>
                    <w14:schemeClr w14:val="tx1"/>
                  </w14:solidFill>
                </w14:textFill>
              </w:rPr>
              <w:t>《危险废物贮存污染控制标准》(GB18597-20</w:t>
            </w:r>
            <w:r>
              <w:rPr>
                <w:rFonts w:hint="default" w:ascii="Times New Roman" w:hAnsi="Times New Roman" w:cs="Times New Roman"/>
                <w:color w:val="000000" w:themeColor="text1"/>
                <w:highlight w:val="none"/>
                <w:lang w:val="en-US" w:eastAsia="zh-CN"/>
                <w14:textFill>
                  <w14:solidFill>
                    <w14:schemeClr w14:val="tx1"/>
                  </w14:solidFill>
                </w14:textFill>
              </w:rPr>
              <w:t>23</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要求</w:t>
            </w:r>
          </w:p>
        </w:tc>
      </w:tr>
      <w:tr w14:paraId="733D80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9" w:type="dxa"/>
            <w:tcBorders>
              <w:tl2br w:val="nil"/>
              <w:tr2bl w:val="nil"/>
            </w:tcBorders>
            <w:noWrap w:val="0"/>
            <w:vAlign w:val="center"/>
          </w:tcPr>
          <w:p w14:paraId="0280AC8A">
            <w:pPr>
              <w:pStyle w:val="2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土壤及地下水污染防治措施</w:t>
            </w:r>
          </w:p>
        </w:tc>
        <w:tc>
          <w:tcPr>
            <w:tcW w:w="7941" w:type="dxa"/>
            <w:gridSpan w:val="5"/>
            <w:tcBorders>
              <w:tl2br w:val="nil"/>
              <w:tr2bl w:val="nil"/>
            </w:tcBorders>
            <w:noWrap w:val="0"/>
            <w:vAlign w:val="center"/>
          </w:tcPr>
          <w:p w14:paraId="246B285E">
            <w:pPr>
              <w:spacing w:line="240" w:lineRule="auto"/>
              <w:ind w:left="0" w:leftChars="0" w:firstLine="0" w:firstLineChars="0"/>
              <w:jc w:val="left"/>
              <w:rPr>
                <w:rFonts w:hint="eastAsia"/>
                <w:b w:val="0"/>
                <w:bCs w:val="0"/>
                <w:color w:val="000000" w:themeColor="text1"/>
                <w:sz w:val="21"/>
                <w:szCs w:val="21"/>
                <w:highlight w:val="none"/>
                <w14:textFill>
                  <w14:solidFill>
                    <w14:schemeClr w14:val="tx1"/>
                  </w14:solidFill>
                </w14:textFill>
              </w:rPr>
            </w:pPr>
            <w:r>
              <w:rPr>
                <w:rFonts w:hint="eastAsia"/>
                <w:b w:val="0"/>
                <w:bCs w:val="0"/>
                <w:color w:val="000000" w:themeColor="text1"/>
                <w:sz w:val="21"/>
                <w:szCs w:val="21"/>
                <w:highlight w:val="none"/>
                <w14:textFill>
                  <w14:solidFill>
                    <w14:schemeClr w14:val="tx1"/>
                  </w14:solidFill>
                </w14:textFill>
              </w:rPr>
              <w:t>①从设计、管理各种工艺设备和物料运输管线上，防止和减少污染物的跑冒滴漏；合理布局，减少污染物泄漏途径。</w:t>
            </w:r>
          </w:p>
          <w:p w14:paraId="015277D4">
            <w:pPr>
              <w:spacing w:line="240" w:lineRule="auto"/>
              <w:ind w:left="0" w:leftChars="0" w:firstLine="0" w:firstLineChars="0"/>
              <w:jc w:val="left"/>
              <w:rPr>
                <w:rFonts w:hint="eastAsia"/>
                <w:b w:val="0"/>
                <w:bCs w:val="0"/>
                <w:color w:val="000000" w:themeColor="text1"/>
                <w:sz w:val="21"/>
                <w:szCs w:val="21"/>
                <w:highlight w:val="none"/>
                <w14:textFill>
                  <w14:solidFill>
                    <w14:schemeClr w14:val="tx1"/>
                  </w14:solidFill>
                </w14:textFill>
              </w:rPr>
            </w:pPr>
            <w:r>
              <w:rPr>
                <w:rFonts w:hint="eastAsia"/>
                <w:b w:val="0"/>
                <w:bCs w:val="0"/>
                <w:color w:val="000000" w:themeColor="text1"/>
                <w:sz w:val="21"/>
                <w:szCs w:val="21"/>
                <w:highlight w:val="none"/>
                <w14:textFill>
                  <w14:solidFill>
                    <w14:schemeClr w14:val="tx1"/>
                  </w14:solidFill>
                </w14:textFill>
              </w:rPr>
              <w:t>②厂内不同区域实施分区防治。</w:t>
            </w:r>
          </w:p>
          <w:p w14:paraId="74BDD4E5">
            <w:pPr>
              <w:spacing w:line="240" w:lineRule="auto"/>
              <w:ind w:left="0" w:leftChars="0" w:firstLine="0" w:firstLineChars="0"/>
              <w:jc w:val="left"/>
              <w:rPr>
                <w:rFonts w:hint="eastAsia" w:eastAsia="宋体"/>
                <w:color w:val="000000" w:themeColor="text1"/>
                <w:highlight w:val="none"/>
                <w:lang w:val="en-US" w:eastAsia="zh-CN"/>
                <w14:textFill>
                  <w14:solidFill>
                    <w14:schemeClr w14:val="tx1"/>
                  </w14:solidFill>
                </w14:textFill>
              </w:rPr>
            </w:pPr>
            <w:r>
              <w:rPr>
                <w:rFonts w:hint="eastAsia"/>
                <w:b w:val="0"/>
                <w:bCs w:val="0"/>
                <w:color w:val="000000" w:themeColor="text1"/>
                <w:sz w:val="21"/>
                <w:szCs w:val="21"/>
                <w:highlight w:val="none"/>
                <w14:textFill>
                  <w14:solidFill>
                    <w14:schemeClr w14:val="tx1"/>
                  </w14:solidFill>
                </w14:textFill>
              </w:rPr>
              <w:t>③对全厂及各装置设施采取严格的防渗措施。</w:t>
            </w:r>
          </w:p>
        </w:tc>
      </w:tr>
      <w:tr w14:paraId="1D46F5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9" w:type="dxa"/>
            <w:tcBorders>
              <w:tl2br w:val="nil"/>
              <w:tr2bl w:val="nil"/>
            </w:tcBorders>
            <w:noWrap w:val="0"/>
            <w:vAlign w:val="center"/>
          </w:tcPr>
          <w:p w14:paraId="7BC68FFD">
            <w:pPr>
              <w:pStyle w:val="2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生态保护措施</w:t>
            </w:r>
          </w:p>
        </w:tc>
        <w:tc>
          <w:tcPr>
            <w:tcW w:w="7941" w:type="dxa"/>
            <w:gridSpan w:val="5"/>
            <w:tcBorders>
              <w:tl2br w:val="nil"/>
              <w:tr2bl w:val="nil"/>
            </w:tcBorders>
            <w:noWrap w:val="0"/>
            <w:vAlign w:val="center"/>
          </w:tcPr>
          <w:p w14:paraId="3EE56B52">
            <w:pPr>
              <w:pStyle w:val="2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r>
      <w:tr w14:paraId="38361D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9" w:type="dxa"/>
            <w:tcBorders>
              <w:tl2br w:val="nil"/>
              <w:tr2bl w:val="nil"/>
            </w:tcBorders>
            <w:noWrap w:val="0"/>
            <w:vAlign w:val="center"/>
          </w:tcPr>
          <w:p w14:paraId="6A59F213">
            <w:pPr>
              <w:pStyle w:val="2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环境风险</w:t>
            </w:r>
          </w:p>
          <w:p w14:paraId="0D1A06C9">
            <w:pPr>
              <w:pStyle w:val="2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防范措施</w:t>
            </w:r>
          </w:p>
        </w:tc>
        <w:tc>
          <w:tcPr>
            <w:tcW w:w="7941" w:type="dxa"/>
            <w:gridSpan w:val="5"/>
            <w:tcBorders>
              <w:tl2br w:val="nil"/>
              <w:tr2bl w:val="nil"/>
            </w:tcBorders>
            <w:noWrap w:val="0"/>
            <w:vAlign w:val="center"/>
          </w:tcPr>
          <w:p w14:paraId="0D9FEED3">
            <w:pPr>
              <w:pStyle w:val="26"/>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①</w:t>
            </w:r>
            <w:r>
              <w:rPr>
                <w:rFonts w:hint="eastAsia"/>
                <w:color w:val="000000" w:themeColor="text1"/>
                <w:highlight w:val="none"/>
                <w14:textFill>
                  <w14:solidFill>
                    <w14:schemeClr w14:val="tx1"/>
                  </w14:solidFill>
                </w14:textFill>
              </w:rPr>
              <w:t>原料仓库、</w:t>
            </w:r>
            <w:r>
              <w:rPr>
                <w:rFonts w:hint="eastAsia"/>
                <w:color w:val="000000" w:themeColor="text1"/>
                <w:highlight w:val="none"/>
                <w:lang w:val="en-US" w:eastAsia="zh-CN"/>
                <w14:textFill>
                  <w14:solidFill>
                    <w14:schemeClr w14:val="tx1"/>
                  </w14:solidFill>
                </w14:textFill>
              </w:rPr>
              <w:t>成品仓库</w:t>
            </w:r>
            <w:r>
              <w:rPr>
                <w:rFonts w:hint="eastAsia"/>
                <w:color w:val="000000" w:themeColor="text1"/>
                <w:highlight w:val="none"/>
                <w14:textFill>
                  <w14:solidFill>
                    <w14:schemeClr w14:val="tx1"/>
                  </w14:solidFill>
                </w14:textFill>
              </w:rPr>
              <w:t>、危险废物贮存间、生产车间</w:t>
            </w:r>
            <w:r>
              <w:rPr>
                <w:color w:val="000000" w:themeColor="text1"/>
                <w:szCs w:val="21"/>
                <w:highlight w:val="none"/>
                <w14:textFill>
                  <w14:solidFill>
                    <w14:schemeClr w14:val="tx1"/>
                  </w14:solidFill>
                </w14:textFill>
              </w:rPr>
              <w:t>等均设置视频监控探头，由专人管理，设置明显的警示标志；专人负责项目的环境风险事故排查，每日定期对风险源进行排查。</w:t>
            </w:r>
          </w:p>
          <w:p w14:paraId="499D2101">
            <w:pPr>
              <w:pStyle w:val="26"/>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②加强原辅料</w:t>
            </w:r>
            <w:r>
              <w:rPr>
                <w:rFonts w:hint="eastAsia"/>
                <w:color w:val="000000" w:themeColor="text1"/>
                <w:szCs w:val="21"/>
                <w:highlight w:val="none"/>
                <w14:textFill>
                  <w14:solidFill>
                    <w14:schemeClr w14:val="tx1"/>
                  </w14:solidFill>
                </w14:textFill>
              </w:rPr>
              <w:t>储</w:t>
            </w:r>
            <w:r>
              <w:rPr>
                <w:color w:val="000000" w:themeColor="text1"/>
                <w:szCs w:val="21"/>
                <w:highlight w:val="none"/>
                <w14:textFill>
                  <w14:solidFill>
                    <w14:schemeClr w14:val="tx1"/>
                  </w14:solidFill>
                </w14:textFill>
              </w:rPr>
              <w:t>运安全防范管理。</w:t>
            </w:r>
          </w:p>
          <w:p w14:paraId="07771DFD">
            <w:pPr>
              <w:pStyle w:val="26"/>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③设置完善的消防系统，配备足够的应急物资、防护设备。</w:t>
            </w:r>
          </w:p>
          <w:p w14:paraId="6FFAE887">
            <w:pPr>
              <w:pStyle w:val="26"/>
              <w:bidi w:val="0"/>
              <w:jc w:val="left"/>
              <w:rPr>
                <w:rFonts w:hint="eastAsia" w:eastAsia="宋体"/>
                <w:color w:val="000000" w:themeColor="text1"/>
                <w:szCs w:val="21"/>
                <w:highlight w:val="none"/>
                <w:lang w:eastAsia="zh-CN"/>
                <w14:textFill>
                  <w14:solidFill>
                    <w14:schemeClr w14:val="tx1"/>
                  </w14:solidFill>
                </w14:textFill>
              </w:rPr>
            </w:pPr>
            <w:r>
              <w:rPr>
                <w:color w:val="000000" w:themeColor="text1"/>
                <w:szCs w:val="21"/>
                <w:highlight w:val="none"/>
                <w14:textFill>
                  <w14:solidFill>
                    <w14:schemeClr w14:val="tx1"/>
                  </w14:solidFill>
                </w14:textFill>
              </w:rPr>
              <w:t>④加强生产管理；开展员工上岗、安全培训等</w:t>
            </w:r>
            <w:r>
              <w:rPr>
                <w:rFonts w:hint="eastAsia"/>
                <w:color w:val="000000" w:themeColor="text1"/>
                <w:szCs w:val="21"/>
                <w:highlight w:val="none"/>
                <w:lang w:eastAsia="zh-CN"/>
                <w14:textFill>
                  <w14:solidFill>
                    <w14:schemeClr w14:val="tx1"/>
                  </w14:solidFill>
                </w14:textFill>
              </w:rPr>
              <w:t>。</w:t>
            </w:r>
          </w:p>
          <w:p w14:paraId="4B97557B">
            <w:pPr>
              <w:pStyle w:val="26"/>
              <w:bidi w:val="0"/>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⑤编制突发环境事件应急预案</w:t>
            </w:r>
            <w:r>
              <w:rPr>
                <w:rFonts w:hint="default" w:ascii="Times New Roman" w:hAnsi="Times New Roman" w:cs="Times New Roman"/>
                <w:color w:val="000000" w:themeColor="text1"/>
                <w:sz w:val="21"/>
                <w:szCs w:val="21"/>
                <w:highlight w:val="none"/>
                <w14:textFill>
                  <w14:solidFill>
                    <w14:schemeClr w14:val="tx1"/>
                  </w14:solidFill>
                </w14:textFill>
              </w:rPr>
              <w:t>。</w:t>
            </w:r>
          </w:p>
        </w:tc>
      </w:tr>
      <w:tr w14:paraId="7D8D23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9" w:type="dxa"/>
            <w:tcBorders>
              <w:tl2br w:val="nil"/>
              <w:tr2bl w:val="nil"/>
            </w:tcBorders>
            <w:noWrap w:val="0"/>
            <w:vAlign w:val="center"/>
          </w:tcPr>
          <w:p w14:paraId="34CD30DD">
            <w:pPr>
              <w:pStyle w:val="2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其他环境</w:t>
            </w:r>
          </w:p>
          <w:p w14:paraId="144E22CC">
            <w:pPr>
              <w:pStyle w:val="2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管理要求</w:t>
            </w:r>
          </w:p>
        </w:tc>
        <w:tc>
          <w:tcPr>
            <w:tcW w:w="7941" w:type="dxa"/>
            <w:gridSpan w:val="5"/>
            <w:tcBorders>
              <w:tl2br w:val="nil"/>
              <w:tr2bl w:val="nil"/>
            </w:tcBorders>
            <w:noWrap w:val="0"/>
            <w:vAlign w:val="center"/>
          </w:tcPr>
          <w:p w14:paraId="68AC009F">
            <w:pPr>
              <w:pStyle w:val="26"/>
              <w:bidi w:val="0"/>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①要求建设单位按照《关于开展排放口规范化整治工作的通知》（环发〔1999〕24 号）和《排污口规范化整治技术要求（试行）》（环监〔1996〕470号）等文件要求，进行排污口规范化设置工作。</w:t>
            </w:r>
          </w:p>
          <w:p w14:paraId="093A002A">
            <w:pPr>
              <w:pStyle w:val="26"/>
              <w:bidi w:val="0"/>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②根据《固定污染源排污许可分类管理名录》（2019年版），本项目实行排污许可</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简化管理</w:t>
            </w:r>
            <w:r>
              <w:rPr>
                <w:rFonts w:hint="default" w:ascii="Times New Roman" w:hAnsi="Times New Roman" w:cs="Times New Roman"/>
                <w:color w:val="000000" w:themeColor="text1"/>
                <w:sz w:val="21"/>
                <w:szCs w:val="21"/>
                <w:highlight w:val="none"/>
                <w14:textFill>
                  <w14:solidFill>
                    <w14:schemeClr w14:val="tx1"/>
                  </w14:solidFill>
                </w14:textFill>
              </w:rPr>
              <w:t>，因此，建设单位</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应</w:t>
            </w:r>
            <w:r>
              <w:rPr>
                <w:color w:val="000000" w:themeColor="text1"/>
                <w:szCs w:val="21"/>
                <w:highlight w:val="none"/>
                <w14:textFill>
                  <w14:solidFill>
                    <w14:schemeClr w14:val="tx1"/>
                  </w14:solidFill>
                </w14:textFill>
              </w:rPr>
              <w:t>在产生实际污染物排放之前，按照国家排污许可有关管理规定要求，申领排污许可证</w:t>
            </w:r>
            <w:r>
              <w:rPr>
                <w:rFonts w:hint="default" w:ascii="Times New Roman" w:hAnsi="Times New Roman" w:cs="Times New Roman"/>
                <w:color w:val="000000" w:themeColor="text1"/>
                <w:sz w:val="21"/>
                <w:szCs w:val="21"/>
                <w:highlight w:val="none"/>
                <w14:textFill>
                  <w14:solidFill>
                    <w14:schemeClr w14:val="tx1"/>
                  </w14:solidFill>
                </w14:textFill>
              </w:rPr>
              <w:t>。</w:t>
            </w:r>
          </w:p>
          <w:p w14:paraId="22B23684">
            <w:pPr>
              <w:pStyle w:val="26"/>
              <w:bidi w:val="0"/>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③项目竣工后，建设单位应当依照国家有关法律法规、建设项目竣工环境保护验收技术规范、建设项目环境影响报告表和审批决定等要求</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如实查验、监测、记载建设项目环境保护设施的建设和调试情况，同时还应如实记载其他环境保护对策措施“三同时”落实情况，</w:t>
            </w:r>
            <w:r>
              <w:rPr>
                <w:rFonts w:hint="eastAsia" w:cs="Times New Roman"/>
                <w:color w:val="000000" w:themeColor="text1"/>
                <w:sz w:val="21"/>
                <w:szCs w:val="21"/>
                <w:highlight w:val="none"/>
                <w:lang w:val="en-US" w:eastAsia="zh-CN"/>
                <w14:textFill>
                  <w14:solidFill>
                    <w14:schemeClr w14:val="tx1"/>
                  </w14:solidFill>
                </w14:textFill>
              </w:rPr>
              <w:t>根据实际建设情况分阶段完成竣工环境保护验收，并通过全国建设项目竣工环境保护验收信息系统完成备案</w:t>
            </w:r>
            <w:r>
              <w:rPr>
                <w:rFonts w:hint="default" w:ascii="Times New Roman" w:hAnsi="Times New Roman" w:cs="Times New Roman"/>
                <w:color w:val="000000" w:themeColor="text1"/>
                <w:sz w:val="21"/>
                <w:szCs w:val="21"/>
                <w:highlight w:val="none"/>
                <w14:textFill>
                  <w14:solidFill>
                    <w14:schemeClr w14:val="tx1"/>
                  </w14:solidFill>
                </w14:textFill>
              </w:rPr>
              <w:t>。</w:t>
            </w:r>
          </w:p>
          <w:p w14:paraId="3EF3BCAE">
            <w:pPr>
              <w:pStyle w:val="26"/>
              <w:bidi w:val="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④建立日常环境管理制度和环境管理工作计划。加强环保设施运行管理维护，建立环保</w:t>
            </w:r>
            <w:r>
              <w:rPr>
                <w:rFonts w:hint="default" w:ascii="Times New Roman" w:hAnsi="Times New Roman" w:eastAsia="宋体" w:cs="Times New Roman"/>
                <w:color w:val="000000" w:themeColor="text1"/>
                <w:sz w:val="21"/>
                <w:szCs w:val="21"/>
                <w:highlight w:val="none"/>
                <w14:textFill>
                  <w14:solidFill>
                    <w14:schemeClr w14:val="tx1"/>
                  </w14:solidFill>
                </w14:textFill>
              </w:rPr>
              <w:t>设施运行台账，确保环保设施正常运行及污染物稳定达标排放。</w:t>
            </w:r>
          </w:p>
          <w:p w14:paraId="40D2819D">
            <w:pPr>
              <w:pStyle w:val="26"/>
              <w:bidi w:val="0"/>
              <w:jc w:val="left"/>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⑤按照《排污单位自行监测技术指南 总则》（HJ819-2017）和《排污许可证申请与核发技术规范 石墨及其他非金属矿物制品制造》（HJ1119-2020）等要求，落实污染源监测计划。</w:t>
            </w:r>
          </w:p>
          <w:p w14:paraId="1912E69D">
            <w:pPr>
              <w:pStyle w:val="26"/>
              <w:bidi w:val="0"/>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⑤如产品方案、工艺、设备、原辅材料消耗等生产情况有大的变动，应及时向有关部门及时申报，并应重新进行环境影响评价。</w:t>
            </w:r>
          </w:p>
        </w:tc>
      </w:tr>
    </w:tbl>
    <w:p w14:paraId="13088A5A">
      <w:pPr>
        <w:bidi w:val="0"/>
        <w:rPr>
          <w:rFonts w:hint="default" w:ascii="Times New Roman" w:hAnsi="Times New Roman" w:cs="Times New Roman"/>
          <w:color w:val="000000" w:themeColor="text1"/>
          <w:highlight w:val="none"/>
          <w:lang w:eastAsia="zh-CN"/>
          <w14:textFill>
            <w14:solidFill>
              <w14:schemeClr w14:val="tx1"/>
            </w14:solidFill>
          </w14:textFill>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61B05A04">
      <w:pPr>
        <w:pStyle w:val="32"/>
        <w:numPr>
          <w:ilvl w:val="0"/>
          <w:numId w:val="4"/>
        </w:numPr>
        <w:tabs>
          <w:tab w:val="left" w:pos="0"/>
        </w:tabs>
        <w:bidi w:val="0"/>
        <w:rPr>
          <w:rFonts w:hint="default" w:ascii="Times New Roman" w:hAnsi="Times New Roman" w:cs="Times New Roman"/>
          <w:color w:val="000000" w:themeColor="text1"/>
          <w:highlight w:val="none"/>
          <w:lang w:eastAsia="zh-CN"/>
          <w14:textFill>
            <w14:solidFill>
              <w14:schemeClr w14:val="tx1"/>
            </w14:solidFill>
          </w14:textFill>
        </w:rPr>
      </w:pPr>
      <w:bookmarkStart w:id="273" w:name="_Toc18969"/>
      <w:bookmarkStart w:id="274" w:name="_Toc20323"/>
      <w:bookmarkStart w:id="275" w:name="_Toc23920"/>
      <w:bookmarkStart w:id="276" w:name="_Toc30730"/>
      <w:bookmarkStart w:id="277" w:name="_Toc25035"/>
      <w:bookmarkStart w:id="278" w:name="_Toc15317"/>
      <w:r>
        <w:rPr>
          <w:rFonts w:hint="default" w:ascii="Times New Roman" w:hAnsi="Times New Roman" w:cs="Times New Roman"/>
          <w:color w:val="000000" w:themeColor="text1"/>
          <w:highlight w:val="none"/>
          <w:lang w:val="en-US" w:eastAsia="zh-CN"/>
          <w14:textFill>
            <w14:solidFill>
              <w14:schemeClr w14:val="tx1"/>
            </w14:solidFill>
          </w14:textFill>
        </w:rPr>
        <w:t>结论</w:t>
      </w:r>
      <w:bookmarkEnd w:id="273"/>
      <w:bookmarkEnd w:id="274"/>
      <w:bookmarkEnd w:id="275"/>
      <w:bookmarkEnd w:id="276"/>
      <w:bookmarkEnd w:id="277"/>
      <w:bookmarkEnd w:id="278"/>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1B269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2" w:hRule="atLeast"/>
        </w:trPr>
        <w:tc>
          <w:tcPr>
            <w:tcW w:w="9288" w:type="dxa"/>
            <w:noWrap w:val="0"/>
            <w:vAlign w:val="top"/>
          </w:tcPr>
          <w:p w14:paraId="0E4173AE">
            <w:pPr>
              <w:bidi w:val="0"/>
              <w:rPr>
                <w:rFonts w:hint="default" w:ascii="Times New Roman" w:hAnsi="Times New Roman" w:cs="Times New Roman"/>
                <w:color w:val="000000" w:themeColor="text1"/>
                <w:highlight w:val="none"/>
                <w:lang w:eastAsia="zh-CN"/>
                <w14:textFill>
                  <w14:solidFill>
                    <w14:schemeClr w14:val="tx1"/>
                  </w14:solidFill>
                </w14:textFill>
              </w:rPr>
            </w:pPr>
            <w:r>
              <w:rPr>
                <w:rFonts w:hint="default" w:eastAsia="宋体"/>
                <w:color w:val="000000" w:themeColor="text1"/>
                <w:highlight w:val="none"/>
                <w:lang w:val="en-US" w:eastAsia="zh-CN"/>
                <w14:textFill>
                  <w14:solidFill>
                    <w14:schemeClr w14:val="tx1"/>
                  </w14:solidFill>
                </w14:textFill>
              </w:rPr>
              <w:t>永安君博纳米科技有限公司</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年产100吨单壁碳纳米管及年产1000吨硅碳负极材料</w:t>
            </w:r>
            <w:r>
              <w:rPr>
                <w:rFonts w:hint="default" w:ascii="Times New Roman" w:hAnsi="Times New Roman" w:cs="Times New Roman"/>
                <w:color w:val="000000" w:themeColor="text1"/>
                <w:highlight w:val="none"/>
                <w:lang w:eastAsia="zh-CN"/>
                <w14:textFill>
                  <w14:solidFill>
                    <w14:schemeClr w14:val="tx1"/>
                  </w14:solidFill>
                </w14:textFill>
              </w:rPr>
              <w:t>的建设符合国家有关产业政策，项目选址合理，平面布局可行。项目运营后产生的污水、废气、噪声、</w:t>
            </w:r>
            <w:r>
              <w:rPr>
                <w:rFonts w:hint="eastAsia" w:cs="Times New Roman"/>
                <w:color w:val="000000" w:themeColor="text1"/>
                <w:highlight w:val="none"/>
                <w:lang w:val="en-US" w:eastAsia="zh-CN"/>
                <w14:textFill>
                  <w14:solidFill>
                    <w14:schemeClr w14:val="tx1"/>
                  </w14:solidFill>
                </w14:textFill>
              </w:rPr>
              <w:t>固体废物</w:t>
            </w:r>
            <w:r>
              <w:rPr>
                <w:rFonts w:hint="default" w:ascii="Times New Roman" w:hAnsi="Times New Roman" w:cs="Times New Roman"/>
                <w:color w:val="000000" w:themeColor="text1"/>
                <w:highlight w:val="none"/>
                <w:lang w:eastAsia="zh-CN"/>
                <w14:textFill>
                  <w14:solidFill>
                    <w14:schemeClr w14:val="tx1"/>
                  </w14:solidFill>
                </w14:textFill>
              </w:rPr>
              <w:t>通过采取相应的措施治理，能够实现污染物的达标排放。在工程建设中，严格执行“三同时”制度，项目投产后，严格遵守国家有关法律法规，严格执行相关标准和技术规范，严格落实各项环境风险防范措施，确保污染物排放总量控制在经环保行政主管部门核定的范围内，污染物达标排放的前提下，对周边环境影响较小，该项目可实现经济效益、环境效益的协调性发展。从环境保护的角度分析，该项目的建设是可行的。</w:t>
            </w:r>
          </w:p>
          <w:p w14:paraId="331F424B">
            <w:pPr>
              <w:bidi w:val="0"/>
              <w:rPr>
                <w:rFonts w:hint="default" w:ascii="Times New Roman" w:hAnsi="Times New Roman" w:cs="Times New Roman"/>
                <w:color w:val="000000" w:themeColor="text1"/>
                <w:highlight w:val="none"/>
                <w:lang w:eastAsia="zh-CN"/>
                <w14:textFill>
                  <w14:solidFill>
                    <w14:schemeClr w14:val="tx1"/>
                  </w14:solidFill>
                </w14:textFill>
              </w:rPr>
            </w:pPr>
          </w:p>
          <w:p w14:paraId="3731D907">
            <w:pPr>
              <w:bidi w:val="0"/>
              <w:rPr>
                <w:rFonts w:hint="default" w:ascii="Times New Roman" w:hAnsi="Times New Roman" w:cs="Times New Roman"/>
                <w:color w:val="000000" w:themeColor="text1"/>
                <w:highlight w:val="none"/>
                <w:lang w:eastAsia="zh-CN"/>
                <w14:textFill>
                  <w14:solidFill>
                    <w14:schemeClr w14:val="tx1"/>
                  </w14:solidFill>
                </w14:textFill>
              </w:rPr>
            </w:pPr>
          </w:p>
          <w:p w14:paraId="305C8E93">
            <w:pPr>
              <w:bidi w:val="0"/>
              <w:rPr>
                <w:rFonts w:hint="default" w:ascii="Times New Roman" w:hAnsi="Times New Roman" w:cs="Times New Roman"/>
                <w:color w:val="000000" w:themeColor="text1"/>
                <w:highlight w:val="none"/>
                <w:lang w:eastAsia="zh-CN"/>
                <w14:textFill>
                  <w14:solidFill>
                    <w14:schemeClr w14:val="tx1"/>
                  </w14:solidFill>
                </w14:textFill>
              </w:rPr>
            </w:pPr>
          </w:p>
          <w:p w14:paraId="62824AD2">
            <w:pPr>
              <w:keepNext w:val="0"/>
              <w:keepLines w:val="0"/>
              <w:pageBreakBefore w:val="0"/>
              <w:widowControl w:val="0"/>
              <w:kinsoku/>
              <w:wordWrap/>
              <w:overflowPunct/>
              <w:topLinePunct w:val="0"/>
              <w:autoSpaceDE/>
              <w:autoSpaceDN/>
              <w:bidi w:val="0"/>
              <w:adjustRightInd/>
              <w:snapToGrid/>
              <w:ind w:right="720" w:rightChars="300" w:firstLine="0" w:firstLineChars="0"/>
              <w:jc w:val="right"/>
              <w:textAlignment w:val="auto"/>
              <w:rPr>
                <w:rFonts w:hint="default" w:cs="Times New Roman"/>
                <w:b/>
                <w:bCs/>
                <w:color w:val="000000" w:themeColor="text1"/>
                <w:sz w:val="28"/>
                <w:szCs w:val="28"/>
                <w:highlight w:val="none"/>
                <w:lang w:val="en-US" w:eastAsia="zh-CN"/>
                <w14:textFill>
                  <w14:solidFill>
                    <w14:schemeClr w14:val="tx1"/>
                  </w14:solidFill>
                </w14:textFill>
              </w:rPr>
            </w:pPr>
          </w:p>
          <w:p w14:paraId="26DF025A">
            <w:pPr>
              <w:keepNext w:val="0"/>
              <w:keepLines w:val="0"/>
              <w:pageBreakBefore w:val="0"/>
              <w:widowControl w:val="0"/>
              <w:kinsoku/>
              <w:wordWrap/>
              <w:overflowPunct/>
              <w:topLinePunct w:val="0"/>
              <w:autoSpaceDE/>
              <w:autoSpaceDN/>
              <w:bidi w:val="0"/>
              <w:adjustRightInd/>
              <w:snapToGrid/>
              <w:ind w:right="720" w:rightChars="300"/>
              <w:jc w:val="right"/>
              <w:textAlignment w:val="auto"/>
              <w:rPr>
                <w:rFonts w:hint="default" w:ascii="Times New Roman" w:hAnsi="Times New Roman" w:cs="Times New Roman"/>
                <w:b/>
                <w:bCs/>
                <w:color w:val="000000" w:themeColor="text1"/>
                <w:sz w:val="28"/>
                <w:szCs w:val="28"/>
                <w:highlight w:val="none"/>
                <w:lang w:val="en-US" w:eastAsia="zh-CN"/>
                <w14:textFill>
                  <w14:solidFill>
                    <w14:schemeClr w14:val="tx1"/>
                  </w14:solidFill>
                </w14:textFill>
              </w:rPr>
            </w:pPr>
          </w:p>
          <w:p w14:paraId="66A2EF9F">
            <w:pPr>
              <w:bidi w:val="0"/>
              <w:rPr>
                <w:rFonts w:hint="default" w:ascii="Times New Roman" w:hAnsi="Times New Roman" w:cs="Times New Roman"/>
                <w:color w:val="000000" w:themeColor="text1"/>
                <w:highlight w:val="none"/>
                <w:lang w:eastAsia="zh-CN"/>
                <w14:textFill>
                  <w14:solidFill>
                    <w14:schemeClr w14:val="tx1"/>
                  </w14:solidFill>
                </w14:textFill>
              </w:rPr>
            </w:pPr>
          </w:p>
        </w:tc>
      </w:tr>
    </w:tbl>
    <w:p w14:paraId="417D8BCC">
      <w:pPr>
        <w:bidi w:val="0"/>
        <w:rPr>
          <w:rFonts w:hint="default" w:ascii="Times New Roman" w:hAnsi="Times New Roman" w:cs="Times New Roman"/>
          <w:color w:val="000000" w:themeColor="text1"/>
          <w:highlight w:val="none"/>
          <w:lang w:eastAsia="zh-CN"/>
          <w14:textFill>
            <w14:solidFill>
              <w14:schemeClr w14:val="tx1"/>
            </w14:solidFill>
          </w14:textFill>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43F66781">
      <w:pPr>
        <w:bidi w:val="0"/>
        <w:ind w:left="0" w:leftChars="0" w:firstLine="0" w:firstLineChars="0"/>
        <w:rPr>
          <w:rFonts w:hint="default" w:ascii="Times New Roman" w:hAnsi="Times New Roman" w:cs="Times New Roman"/>
          <w:color w:val="000000" w:themeColor="text1"/>
          <w:highlight w:val="none"/>
          <w:lang w:eastAsia="zh-CN"/>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附表</w:t>
      </w:r>
    </w:p>
    <w:p w14:paraId="0891557F">
      <w:pPr>
        <w:bidi w:val="0"/>
        <w:ind w:left="0" w:leftChars="0" w:firstLine="0" w:firstLineChars="0"/>
        <w:jc w:val="center"/>
        <w:rPr>
          <w:rFonts w:hint="eastAsia" w:ascii="宋体" w:hAnsi="宋体" w:cs="宋体"/>
          <w:b/>
          <w:bCs/>
          <w:color w:val="000000" w:themeColor="text1"/>
          <w:sz w:val="30"/>
          <w:szCs w:val="30"/>
          <w:highlight w:val="none"/>
          <w14:textFill>
            <w14:solidFill>
              <w14:schemeClr w14:val="tx1"/>
            </w14:solidFill>
          </w14:textFill>
        </w:rPr>
      </w:pPr>
      <w:bookmarkStart w:id="279" w:name="_Toc30533"/>
      <w:r>
        <w:rPr>
          <w:rFonts w:hint="eastAsia" w:ascii="宋体" w:hAnsi="宋体" w:cs="宋体"/>
          <w:b/>
          <w:bCs/>
          <w:color w:val="000000" w:themeColor="text1"/>
          <w:sz w:val="30"/>
          <w:szCs w:val="30"/>
          <w:highlight w:val="none"/>
          <w14:textFill>
            <w14:solidFill>
              <w14:schemeClr w14:val="tx1"/>
            </w14:solidFill>
          </w14:textFill>
        </w:rPr>
        <w:t>建设项目污染物排放量汇总表</w:t>
      </w:r>
      <w:bookmarkEnd w:id="279"/>
    </w:p>
    <w:tbl>
      <w:tblPr>
        <w:tblStyle w:val="17"/>
        <w:tblW w:w="4997"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1560"/>
        <w:gridCol w:w="1844"/>
        <w:gridCol w:w="1267"/>
        <w:gridCol w:w="1706"/>
        <w:gridCol w:w="1560"/>
        <w:gridCol w:w="1512"/>
        <w:gridCol w:w="1712"/>
        <w:gridCol w:w="1593"/>
      </w:tblGrid>
      <w:tr w14:paraId="5D1780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462" w:type="pct"/>
            <w:tcBorders>
              <w:tl2br w:val="single" w:color="auto" w:sz="4" w:space="0"/>
            </w:tcBorders>
            <w:noWrap w:val="0"/>
            <w:tcMar>
              <w:left w:w="28" w:type="dxa"/>
              <w:right w:w="28" w:type="dxa"/>
            </w:tcMar>
            <w:vAlign w:val="center"/>
          </w:tcPr>
          <w:p w14:paraId="4DC9DBD7">
            <w:pPr>
              <w:pStyle w:val="26"/>
              <w:jc w:val="right"/>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w:t>
            </w:r>
          </w:p>
          <w:p w14:paraId="422AE793">
            <w:pPr>
              <w:pStyle w:val="26"/>
              <w:jc w:val="left"/>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分类</w:t>
            </w:r>
          </w:p>
        </w:tc>
        <w:tc>
          <w:tcPr>
            <w:tcW w:w="555" w:type="pct"/>
            <w:noWrap w:val="0"/>
            <w:tcMar>
              <w:left w:w="28" w:type="dxa"/>
              <w:right w:w="28" w:type="dxa"/>
            </w:tcMar>
            <w:vAlign w:val="center"/>
          </w:tcPr>
          <w:p w14:paraId="0C875822">
            <w:pPr>
              <w:pStyle w:val="26"/>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污染物名称</w:t>
            </w:r>
          </w:p>
        </w:tc>
        <w:tc>
          <w:tcPr>
            <w:tcW w:w="656" w:type="pct"/>
            <w:noWrap w:val="0"/>
            <w:tcMar>
              <w:left w:w="28" w:type="dxa"/>
              <w:right w:w="28" w:type="dxa"/>
            </w:tcMar>
            <w:vAlign w:val="center"/>
          </w:tcPr>
          <w:p w14:paraId="6BBA2040">
            <w:pPr>
              <w:pStyle w:val="26"/>
              <w:rPr>
                <w:rFonts w:hint="eastAsia"/>
                <w:color w:val="000000" w:themeColor="text1"/>
                <w:highlight w:val="none"/>
                <w:lang w:val="en-US" w:eastAsia="zh-CN"/>
                <w14:textFill>
                  <w14:solidFill>
                    <w14:schemeClr w14:val="tx1"/>
                  </w14:solidFill>
                </w14:textFill>
              </w:rPr>
            </w:pPr>
            <w:r>
              <w:rPr>
                <w:color w:val="000000" w:themeColor="text1"/>
                <w:highlight w:val="none"/>
                <w:lang w:val="en-US" w:eastAsia="zh-CN"/>
                <w14:textFill>
                  <w14:solidFill>
                    <w14:schemeClr w14:val="tx1"/>
                  </w14:solidFill>
                </w14:textFill>
              </w:rPr>
              <w:t>现有工程</w:t>
            </w:r>
          </w:p>
          <w:p w14:paraId="30FF91F6">
            <w:pPr>
              <w:pStyle w:val="26"/>
              <w:rPr>
                <w:color w:val="000000" w:themeColor="text1"/>
                <w:highlight w:val="none"/>
                <w:lang w:val="en-US" w:eastAsia="zh-CN"/>
                <w14:textFill>
                  <w14:solidFill>
                    <w14:schemeClr w14:val="tx1"/>
                  </w14:solidFill>
                </w14:textFill>
              </w:rPr>
            </w:pPr>
            <w:r>
              <w:rPr>
                <w:color w:val="000000" w:themeColor="text1"/>
                <w:highlight w:val="none"/>
                <w:lang w:val="en-US" w:eastAsia="zh-CN"/>
                <w14:textFill>
                  <w14:solidFill>
                    <w14:schemeClr w14:val="tx1"/>
                  </w14:solidFill>
                </w14:textFill>
              </w:rPr>
              <w:t>排放量（固</w:t>
            </w:r>
            <w:r>
              <w:rPr>
                <w:rFonts w:hint="eastAsia"/>
                <w:color w:val="000000" w:themeColor="text1"/>
                <w:highlight w:val="none"/>
                <w:lang w:val="en-US" w:eastAsia="zh-CN"/>
                <w14:textFill>
                  <w14:solidFill>
                    <w14:schemeClr w14:val="tx1"/>
                  </w14:solidFill>
                </w14:textFill>
              </w:rPr>
              <w:t>体</w:t>
            </w:r>
            <w:r>
              <w:rPr>
                <w:color w:val="000000" w:themeColor="text1"/>
                <w:highlight w:val="none"/>
                <w:lang w:val="en-US" w:eastAsia="zh-CN"/>
                <w14:textFill>
                  <w14:solidFill>
                    <w14:schemeClr w14:val="tx1"/>
                  </w14:solidFill>
                </w14:textFill>
              </w:rPr>
              <w:t>废</w:t>
            </w:r>
            <w:r>
              <w:rPr>
                <w:rFonts w:hint="eastAsia"/>
                <w:color w:val="000000" w:themeColor="text1"/>
                <w:highlight w:val="none"/>
                <w:lang w:val="en-US" w:eastAsia="zh-CN"/>
                <w14:textFill>
                  <w14:solidFill>
                    <w14:schemeClr w14:val="tx1"/>
                  </w14:solidFill>
                </w14:textFill>
              </w:rPr>
              <w:t>物</w:t>
            </w:r>
            <w:r>
              <w:rPr>
                <w:color w:val="000000" w:themeColor="text1"/>
                <w:highlight w:val="none"/>
                <w:lang w:val="en-US" w:eastAsia="zh-CN"/>
                <w14:textFill>
                  <w14:solidFill>
                    <w14:schemeClr w14:val="tx1"/>
                  </w14:solidFill>
                </w14:textFill>
              </w:rPr>
              <w:t>产生量）</w:t>
            </w:r>
            <w:r>
              <w:rPr>
                <w:color w:val="000000" w:themeColor="text1"/>
                <w:highlight w:val="none"/>
                <w:lang w:val="en-US" w:eastAsia="zh-CN"/>
                <w14:textFill>
                  <w14:solidFill>
                    <w14:schemeClr w14:val="tx1"/>
                  </w14:solidFill>
                </w14:textFill>
              </w:rPr>
              <w:fldChar w:fldCharType="begin"/>
            </w:r>
            <w:r>
              <w:rPr>
                <w:color w:val="000000" w:themeColor="text1"/>
                <w:highlight w:val="none"/>
                <w:lang w:val="en-US" w:eastAsia="zh-CN"/>
                <w14:textFill>
                  <w14:solidFill>
                    <w14:schemeClr w14:val="tx1"/>
                  </w14:solidFill>
                </w14:textFill>
              </w:rPr>
              <w:instrText xml:space="preserve"> = 1 \* GB3 \* MERGEFORMAT </w:instrText>
            </w:r>
            <w:r>
              <w:rPr>
                <w:color w:val="000000" w:themeColor="text1"/>
                <w:highlight w:val="none"/>
                <w:lang w:val="en-US" w:eastAsia="zh-CN"/>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①</w:t>
            </w:r>
            <w:r>
              <w:rPr>
                <w:color w:val="000000" w:themeColor="text1"/>
                <w:highlight w:val="none"/>
                <w:lang w:val="en-US" w:eastAsia="zh-CN"/>
                <w14:textFill>
                  <w14:solidFill>
                    <w14:schemeClr w14:val="tx1"/>
                  </w14:solidFill>
                </w14:textFill>
              </w:rPr>
              <w:fldChar w:fldCharType="end"/>
            </w:r>
          </w:p>
        </w:tc>
        <w:tc>
          <w:tcPr>
            <w:tcW w:w="451" w:type="pct"/>
            <w:noWrap w:val="0"/>
            <w:tcMar>
              <w:left w:w="28" w:type="dxa"/>
              <w:right w:w="28" w:type="dxa"/>
            </w:tcMar>
            <w:vAlign w:val="center"/>
          </w:tcPr>
          <w:p w14:paraId="2B018D7F">
            <w:pPr>
              <w:pStyle w:val="26"/>
              <w:rPr>
                <w:color w:val="000000" w:themeColor="text1"/>
                <w:highlight w:val="none"/>
                <w:lang w:val="en-US" w:eastAsia="zh-CN"/>
                <w14:textFill>
                  <w14:solidFill>
                    <w14:schemeClr w14:val="tx1"/>
                  </w14:solidFill>
                </w14:textFill>
              </w:rPr>
            </w:pPr>
            <w:r>
              <w:rPr>
                <w:color w:val="000000" w:themeColor="text1"/>
                <w:highlight w:val="none"/>
                <w:lang w:val="en-US" w:eastAsia="zh-CN"/>
                <w14:textFill>
                  <w14:solidFill>
                    <w14:schemeClr w14:val="tx1"/>
                  </w14:solidFill>
                </w14:textFill>
              </w:rPr>
              <w:t>现有工程</w:t>
            </w:r>
          </w:p>
          <w:p w14:paraId="659CF828">
            <w:pPr>
              <w:pStyle w:val="26"/>
              <w:rPr>
                <w:color w:val="000000" w:themeColor="text1"/>
                <w:highlight w:val="none"/>
                <w:lang w:val="en-US" w:eastAsia="zh-CN"/>
                <w14:textFill>
                  <w14:solidFill>
                    <w14:schemeClr w14:val="tx1"/>
                  </w14:solidFill>
                </w14:textFill>
              </w:rPr>
            </w:pPr>
            <w:r>
              <w:rPr>
                <w:color w:val="000000" w:themeColor="text1"/>
                <w:highlight w:val="none"/>
                <w:lang w:val="en-US" w:eastAsia="zh-CN"/>
                <w14:textFill>
                  <w14:solidFill>
                    <w14:schemeClr w14:val="tx1"/>
                  </w14:solidFill>
                </w14:textFill>
              </w:rPr>
              <w:t>许可排放量</w:t>
            </w:r>
          </w:p>
          <w:p w14:paraId="42E64462">
            <w:pPr>
              <w:pStyle w:val="26"/>
              <w:rPr>
                <w:color w:val="000000" w:themeColor="text1"/>
                <w:highlight w:val="none"/>
                <w:lang w:val="en-US" w:eastAsia="zh-CN"/>
                <w14:textFill>
                  <w14:solidFill>
                    <w14:schemeClr w14:val="tx1"/>
                  </w14:solidFill>
                </w14:textFill>
              </w:rPr>
            </w:pPr>
            <w:r>
              <w:rPr>
                <w:color w:val="000000" w:themeColor="text1"/>
                <w:highlight w:val="none"/>
                <w:lang w:val="en-US" w:eastAsia="zh-CN"/>
                <w14:textFill>
                  <w14:solidFill>
                    <w14:schemeClr w14:val="tx1"/>
                  </w14:solidFill>
                </w14:textFill>
              </w:rPr>
              <w:fldChar w:fldCharType="begin"/>
            </w:r>
            <w:r>
              <w:rPr>
                <w:color w:val="000000" w:themeColor="text1"/>
                <w:highlight w:val="none"/>
                <w:lang w:val="en-US" w:eastAsia="zh-CN"/>
                <w14:textFill>
                  <w14:solidFill>
                    <w14:schemeClr w14:val="tx1"/>
                  </w14:solidFill>
                </w14:textFill>
              </w:rPr>
              <w:instrText xml:space="preserve"> = 2 \* GB3 \* MERGEFORMAT </w:instrText>
            </w:r>
            <w:r>
              <w:rPr>
                <w:color w:val="000000" w:themeColor="text1"/>
                <w:highlight w:val="none"/>
                <w:lang w:val="en-US" w:eastAsia="zh-CN"/>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②</w:t>
            </w:r>
            <w:r>
              <w:rPr>
                <w:color w:val="000000" w:themeColor="text1"/>
                <w:highlight w:val="none"/>
                <w:lang w:val="en-US" w:eastAsia="zh-CN"/>
                <w14:textFill>
                  <w14:solidFill>
                    <w14:schemeClr w14:val="tx1"/>
                  </w14:solidFill>
                </w14:textFill>
              </w:rPr>
              <w:fldChar w:fldCharType="end"/>
            </w:r>
          </w:p>
        </w:tc>
        <w:tc>
          <w:tcPr>
            <w:tcW w:w="607" w:type="pct"/>
            <w:noWrap w:val="0"/>
            <w:tcMar>
              <w:left w:w="28" w:type="dxa"/>
              <w:right w:w="28" w:type="dxa"/>
            </w:tcMar>
            <w:vAlign w:val="center"/>
          </w:tcPr>
          <w:p w14:paraId="66C40852">
            <w:pPr>
              <w:pStyle w:val="26"/>
              <w:rPr>
                <w:rFonts w:hint="eastAsia"/>
                <w:color w:val="000000" w:themeColor="text1"/>
                <w:highlight w:val="none"/>
                <w:lang w:val="en-US" w:eastAsia="zh-CN"/>
                <w14:textFill>
                  <w14:solidFill>
                    <w14:schemeClr w14:val="tx1"/>
                  </w14:solidFill>
                </w14:textFill>
              </w:rPr>
            </w:pPr>
            <w:r>
              <w:rPr>
                <w:color w:val="000000" w:themeColor="text1"/>
                <w:highlight w:val="none"/>
                <w:lang w:val="en-US" w:eastAsia="zh-CN"/>
                <w14:textFill>
                  <w14:solidFill>
                    <w14:schemeClr w14:val="tx1"/>
                  </w14:solidFill>
                </w14:textFill>
              </w:rPr>
              <w:t>在建工程</w:t>
            </w:r>
          </w:p>
          <w:p w14:paraId="72FCD8F9">
            <w:pPr>
              <w:pStyle w:val="26"/>
              <w:rPr>
                <w:color w:val="000000" w:themeColor="text1"/>
                <w:highlight w:val="none"/>
                <w:lang w:val="en-US" w:eastAsia="zh-CN"/>
                <w14:textFill>
                  <w14:solidFill>
                    <w14:schemeClr w14:val="tx1"/>
                  </w14:solidFill>
                </w14:textFill>
              </w:rPr>
            </w:pPr>
            <w:r>
              <w:rPr>
                <w:color w:val="000000" w:themeColor="text1"/>
                <w:highlight w:val="none"/>
                <w:lang w:val="en-US" w:eastAsia="zh-CN"/>
                <w14:textFill>
                  <w14:solidFill>
                    <w14:schemeClr w14:val="tx1"/>
                  </w14:solidFill>
                </w14:textFill>
              </w:rPr>
              <w:t>排放量（固</w:t>
            </w:r>
            <w:r>
              <w:rPr>
                <w:rFonts w:hint="eastAsia"/>
                <w:color w:val="000000" w:themeColor="text1"/>
                <w:highlight w:val="none"/>
                <w:lang w:val="en-US" w:eastAsia="zh-CN"/>
                <w14:textFill>
                  <w14:solidFill>
                    <w14:schemeClr w14:val="tx1"/>
                  </w14:solidFill>
                </w14:textFill>
              </w:rPr>
              <w:t>体</w:t>
            </w:r>
            <w:r>
              <w:rPr>
                <w:color w:val="000000" w:themeColor="text1"/>
                <w:highlight w:val="none"/>
                <w:lang w:val="en-US" w:eastAsia="zh-CN"/>
                <w14:textFill>
                  <w14:solidFill>
                    <w14:schemeClr w14:val="tx1"/>
                  </w14:solidFill>
                </w14:textFill>
              </w:rPr>
              <w:t>废</w:t>
            </w:r>
            <w:r>
              <w:rPr>
                <w:rFonts w:hint="eastAsia"/>
                <w:color w:val="000000" w:themeColor="text1"/>
                <w:highlight w:val="none"/>
                <w:lang w:val="en-US" w:eastAsia="zh-CN"/>
                <w14:textFill>
                  <w14:solidFill>
                    <w14:schemeClr w14:val="tx1"/>
                  </w14:solidFill>
                </w14:textFill>
              </w:rPr>
              <w:t>物</w:t>
            </w:r>
            <w:r>
              <w:rPr>
                <w:color w:val="000000" w:themeColor="text1"/>
                <w:highlight w:val="none"/>
                <w:lang w:val="en-US" w:eastAsia="zh-CN"/>
                <w14:textFill>
                  <w14:solidFill>
                    <w14:schemeClr w14:val="tx1"/>
                  </w14:solidFill>
                </w14:textFill>
              </w:rPr>
              <w:t>产生量）</w:t>
            </w:r>
            <w:r>
              <w:rPr>
                <w:color w:val="000000" w:themeColor="text1"/>
                <w:highlight w:val="none"/>
                <w:lang w:val="en-US" w:eastAsia="zh-CN"/>
                <w14:textFill>
                  <w14:solidFill>
                    <w14:schemeClr w14:val="tx1"/>
                  </w14:solidFill>
                </w14:textFill>
              </w:rPr>
              <w:fldChar w:fldCharType="begin"/>
            </w:r>
            <w:r>
              <w:rPr>
                <w:color w:val="000000" w:themeColor="text1"/>
                <w:highlight w:val="none"/>
                <w:lang w:val="en-US" w:eastAsia="zh-CN"/>
                <w14:textFill>
                  <w14:solidFill>
                    <w14:schemeClr w14:val="tx1"/>
                  </w14:solidFill>
                </w14:textFill>
              </w:rPr>
              <w:instrText xml:space="preserve"> = 3 \* GB3 \* MERGEFORMAT </w:instrText>
            </w:r>
            <w:r>
              <w:rPr>
                <w:color w:val="000000" w:themeColor="text1"/>
                <w:highlight w:val="none"/>
                <w:lang w:val="en-US" w:eastAsia="zh-CN"/>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③</w:t>
            </w:r>
            <w:r>
              <w:rPr>
                <w:color w:val="000000" w:themeColor="text1"/>
                <w:highlight w:val="none"/>
                <w:lang w:val="en-US" w:eastAsia="zh-CN"/>
                <w14:textFill>
                  <w14:solidFill>
                    <w14:schemeClr w14:val="tx1"/>
                  </w14:solidFill>
                </w14:textFill>
              </w:rPr>
              <w:fldChar w:fldCharType="end"/>
            </w:r>
          </w:p>
        </w:tc>
        <w:tc>
          <w:tcPr>
            <w:tcW w:w="555" w:type="pct"/>
            <w:noWrap w:val="0"/>
            <w:tcMar>
              <w:left w:w="28" w:type="dxa"/>
              <w:right w:w="28" w:type="dxa"/>
            </w:tcMar>
            <w:vAlign w:val="center"/>
          </w:tcPr>
          <w:p w14:paraId="0E989FC6">
            <w:pPr>
              <w:pStyle w:val="26"/>
              <w:rPr>
                <w:rFonts w:hint="eastAsia"/>
                <w:color w:val="000000" w:themeColor="text1"/>
                <w:highlight w:val="none"/>
                <w:lang w:val="en-US" w:eastAsia="zh-CN"/>
                <w14:textFill>
                  <w14:solidFill>
                    <w14:schemeClr w14:val="tx1"/>
                  </w14:solidFill>
                </w14:textFill>
              </w:rPr>
            </w:pPr>
            <w:r>
              <w:rPr>
                <w:color w:val="000000" w:themeColor="text1"/>
                <w:highlight w:val="none"/>
                <w:lang w:val="en-US" w:eastAsia="zh-CN"/>
                <w14:textFill>
                  <w14:solidFill>
                    <w14:schemeClr w14:val="tx1"/>
                  </w14:solidFill>
                </w14:textFill>
              </w:rPr>
              <w:t>本项目</w:t>
            </w:r>
          </w:p>
          <w:p w14:paraId="1CD7476D">
            <w:pPr>
              <w:pStyle w:val="26"/>
              <w:rPr>
                <w:color w:val="000000" w:themeColor="text1"/>
                <w:highlight w:val="none"/>
                <w:lang w:val="en-US" w:eastAsia="zh-CN"/>
                <w14:textFill>
                  <w14:solidFill>
                    <w14:schemeClr w14:val="tx1"/>
                  </w14:solidFill>
                </w14:textFill>
              </w:rPr>
            </w:pPr>
            <w:r>
              <w:rPr>
                <w:color w:val="000000" w:themeColor="text1"/>
                <w:highlight w:val="none"/>
                <w:lang w:val="en-US" w:eastAsia="zh-CN"/>
                <w14:textFill>
                  <w14:solidFill>
                    <w14:schemeClr w14:val="tx1"/>
                  </w14:solidFill>
                </w14:textFill>
              </w:rPr>
              <w:t>排放量（固</w:t>
            </w:r>
            <w:r>
              <w:rPr>
                <w:rFonts w:hint="eastAsia"/>
                <w:color w:val="000000" w:themeColor="text1"/>
                <w:highlight w:val="none"/>
                <w:lang w:val="en-US" w:eastAsia="zh-CN"/>
                <w14:textFill>
                  <w14:solidFill>
                    <w14:schemeClr w14:val="tx1"/>
                  </w14:solidFill>
                </w14:textFill>
              </w:rPr>
              <w:t>体</w:t>
            </w:r>
            <w:r>
              <w:rPr>
                <w:color w:val="000000" w:themeColor="text1"/>
                <w:highlight w:val="none"/>
                <w:lang w:val="en-US" w:eastAsia="zh-CN"/>
                <w14:textFill>
                  <w14:solidFill>
                    <w14:schemeClr w14:val="tx1"/>
                  </w14:solidFill>
                </w14:textFill>
              </w:rPr>
              <w:t>废</w:t>
            </w:r>
            <w:r>
              <w:rPr>
                <w:rFonts w:hint="eastAsia"/>
                <w:color w:val="000000" w:themeColor="text1"/>
                <w:highlight w:val="none"/>
                <w:lang w:val="en-US" w:eastAsia="zh-CN"/>
                <w14:textFill>
                  <w14:solidFill>
                    <w14:schemeClr w14:val="tx1"/>
                  </w14:solidFill>
                </w14:textFill>
              </w:rPr>
              <w:t>物</w:t>
            </w:r>
            <w:r>
              <w:rPr>
                <w:color w:val="000000" w:themeColor="text1"/>
                <w:highlight w:val="none"/>
                <w:lang w:val="en-US" w:eastAsia="zh-CN"/>
                <w14:textFill>
                  <w14:solidFill>
                    <w14:schemeClr w14:val="tx1"/>
                  </w14:solidFill>
                </w14:textFill>
              </w:rPr>
              <w:t>产生量）</w:t>
            </w:r>
            <w:r>
              <w:rPr>
                <w:color w:val="000000" w:themeColor="text1"/>
                <w:highlight w:val="none"/>
                <w:lang w:val="en-US" w:eastAsia="zh-CN"/>
                <w14:textFill>
                  <w14:solidFill>
                    <w14:schemeClr w14:val="tx1"/>
                  </w14:solidFill>
                </w14:textFill>
              </w:rPr>
              <w:fldChar w:fldCharType="begin"/>
            </w:r>
            <w:r>
              <w:rPr>
                <w:color w:val="000000" w:themeColor="text1"/>
                <w:highlight w:val="none"/>
                <w:lang w:val="en-US" w:eastAsia="zh-CN"/>
                <w14:textFill>
                  <w14:solidFill>
                    <w14:schemeClr w14:val="tx1"/>
                  </w14:solidFill>
                </w14:textFill>
              </w:rPr>
              <w:instrText xml:space="preserve"> = 4 \* GB3 \* MERGEFORMAT </w:instrText>
            </w:r>
            <w:r>
              <w:rPr>
                <w:color w:val="000000" w:themeColor="text1"/>
                <w:highlight w:val="none"/>
                <w:lang w:val="en-US" w:eastAsia="zh-CN"/>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④</w:t>
            </w:r>
            <w:r>
              <w:rPr>
                <w:color w:val="000000" w:themeColor="text1"/>
                <w:highlight w:val="none"/>
                <w:lang w:val="en-US" w:eastAsia="zh-CN"/>
                <w14:textFill>
                  <w14:solidFill>
                    <w14:schemeClr w14:val="tx1"/>
                  </w14:solidFill>
                </w14:textFill>
              </w:rPr>
              <w:fldChar w:fldCharType="end"/>
            </w:r>
          </w:p>
        </w:tc>
        <w:tc>
          <w:tcPr>
            <w:tcW w:w="538" w:type="pct"/>
            <w:noWrap w:val="0"/>
            <w:tcMar>
              <w:left w:w="28" w:type="dxa"/>
              <w:right w:w="28" w:type="dxa"/>
            </w:tcMar>
            <w:vAlign w:val="center"/>
          </w:tcPr>
          <w:p w14:paraId="71938A72">
            <w:pPr>
              <w:pStyle w:val="26"/>
              <w:rPr>
                <w:color w:val="000000" w:themeColor="text1"/>
                <w:highlight w:val="none"/>
                <w:lang w:val="en-US" w:eastAsia="zh-CN"/>
                <w14:textFill>
                  <w14:solidFill>
                    <w14:schemeClr w14:val="tx1"/>
                  </w14:solidFill>
                </w14:textFill>
              </w:rPr>
            </w:pPr>
            <w:r>
              <w:rPr>
                <w:color w:val="000000" w:themeColor="text1"/>
                <w:highlight w:val="none"/>
                <w:lang w:val="en-US" w:eastAsia="zh-CN"/>
                <w14:textFill>
                  <w14:solidFill>
                    <w14:schemeClr w14:val="tx1"/>
                  </w14:solidFill>
                </w14:textFill>
              </w:rPr>
              <w:t>以新带老削减量（新建项目不填）</w:t>
            </w:r>
            <w:r>
              <w:rPr>
                <w:color w:val="000000" w:themeColor="text1"/>
                <w:highlight w:val="none"/>
                <w:lang w:val="en-US" w:eastAsia="zh-CN"/>
                <w14:textFill>
                  <w14:solidFill>
                    <w14:schemeClr w14:val="tx1"/>
                  </w14:solidFill>
                </w14:textFill>
              </w:rPr>
              <w:fldChar w:fldCharType="begin"/>
            </w:r>
            <w:r>
              <w:rPr>
                <w:color w:val="000000" w:themeColor="text1"/>
                <w:highlight w:val="none"/>
                <w:lang w:val="en-US" w:eastAsia="zh-CN"/>
                <w14:textFill>
                  <w14:solidFill>
                    <w14:schemeClr w14:val="tx1"/>
                  </w14:solidFill>
                </w14:textFill>
              </w:rPr>
              <w:instrText xml:space="preserve"> = 5 \* GB3 \* MERGEFORMAT </w:instrText>
            </w:r>
            <w:r>
              <w:rPr>
                <w:color w:val="000000" w:themeColor="text1"/>
                <w:highlight w:val="none"/>
                <w:lang w:val="en-US" w:eastAsia="zh-CN"/>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⑤</w:t>
            </w:r>
            <w:r>
              <w:rPr>
                <w:color w:val="000000" w:themeColor="text1"/>
                <w:highlight w:val="none"/>
                <w:lang w:val="en-US" w:eastAsia="zh-CN"/>
                <w14:textFill>
                  <w14:solidFill>
                    <w14:schemeClr w14:val="tx1"/>
                  </w14:solidFill>
                </w14:textFill>
              </w:rPr>
              <w:fldChar w:fldCharType="end"/>
            </w:r>
          </w:p>
        </w:tc>
        <w:tc>
          <w:tcPr>
            <w:tcW w:w="609" w:type="pct"/>
            <w:noWrap w:val="0"/>
            <w:tcMar>
              <w:left w:w="28" w:type="dxa"/>
              <w:right w:w="28" w:type="dxa"/>
            </w:tcMar>
            <w:vAlign w:val="center"/>
          </w:tcPr>
          <w:p w14:paraId="302C45EC">
            <w:pPr>
              <w:pStyle w:val="26"/>
              <w:rPr>
                <w:rFonts w:hint="eastAsia"/>
                <w:color w:val="000000" w:themeColor="text1"/>
                <w:highlight w:val="none"/>
                <w:lang w:val="en-US" w:eastAsia="zh-CN"/>
                <w14:textFill>
                  <w14:solidFill>
                    <w14:schemeClr w14:val="tx1"/>
                  </w14:solidFill>
                </w14:textFill>
              </w:rPr>
            </w:pPr>
            <w:r>
              <w:rPr>
                <w:color w:val="000000" w:themeColor="text1"/>
                <w:highlight w:val="none"/>
                <w:lang w:val="en-US" w:eastAsia="zh-CN"/>
                <w14:textFill>
                  <w14:solidFill>
                    <w14:schemeClr w14:val="tx1"/>
                  </w14:solidFill>
                </w14:textFill>
              </w:rPr>
              <w:t>本项目建成后</w:t>
            </w:r>
          </w:p>
          <w:p w14:paraId="045BC9A0">
            <w:pPr>
              <w:pStyle w:val="26"/>
              <w:rPr>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全厂</w:t>
            </w:r>
            <w:r>
              <w:rPr>
                <w:color w:val="000000" w:themeColor="text1"/>
                <w:highlight w:val="none"/>
                <w:lang w:val="en-US" w:eastAsia="zh-CN"/>
                <w14:textFill>
                  <w14:solidFill>
                    <w14:schemeClr w14:val="tx1"/>
                  </w14:solidFill>
                </w14:textFill>
              </w:rPr>
              <w:t>排放量（固</w:t>
            </w:r>
            <w:r>
              <w:rPr>
                <w:rFonts w:hint="eastAsia"/>
                <w:color w:val="000000" w:themeColor="text1"/>
                <w:highlight w:val="none"/>
                <w:lang w:val="en-US" w:eastAsia="zh-CN"/>
                <w14:textFill>
                  <w14:solidFill>
                    <w14:schemeClr w14:val="tx1"/>
                  </w14:solidFill>
                </w14:textFill>
              </w:rPr>
              <w:t>体</w:t>
            </w:r>
            <w:r>
              <w:rPr>
                <w:color w:val="000000" w:themeColor="text1"/>
                <w:highlight w:val="none"/>
                <w:lang w:val="en-US" w:eastAsia="zh-CN"/>
                <w14:textFill>
                  <w14:solidFill>
                    <w14:schemeClr w14:val="tx1"/>
                  </w14:solidFill>
                </w14:textFill>
              </w:rPr>
              <w:t>废</w:t>
            </w:r>
            <w:r>
              <w:rPr>
                <w:rFonts w:hint="eastAsia"/>
                <w:color w:val="000000" w:themeColor="text1"/>
                <w:highlight w:val="none"/>
                <w:lang w:val="en-US" w:eastAsia="zh-CN"/>
                <w14:textFill>
                  <w14:solidFill>
                    <w14:schemeClr w14:val="tx1"/>
                  </w14:solidFill>
                </w14:textFill>
              </w:rPr>
              <w:t>物</w:t>
            </w:r>
            <w:r>
              <w:rPr>
                <w:color w:val="000000" w:themeColor="text1"/>
                <w:highlight w:val="none"/>
                <w:lang w:val="en-US" w:eastAsia="zh-CN"/>
                <w14:textFill>
                  <w14:solidFill>
                    <w14:schemeClr w14:val="tx1"/>
                  </w14:solidFill>
                </w14:textFill>
              </w:rPr>
              <w:t>产生量）</w:t>
            </w:r>
            <w:r>
              <w:rPr>
                <w:color w:val="000000" w:themeColor="text1"/>
                <w:highlight w:val="none"/>
                <w:lang w:val="en-US" w:eastAsia="zh-CN"/>
                <w14:textFill>
                  <w14:solidFill>
                    <w14:schemeClr w14:val="tx1"/>
                  </w14:solidFill>
                </w14:textFill>
              </w:rPr>
              <w:fldChar w:fldCharType="begin"/>
            </w:r>
            <w:r>
              <w:rPr>
                <w:color w:val="000000" w:themeColor="text1"/>
                <w:highlight w:val="none"/>
                <w:lang w:val="en-US" w:eastAsia="zh-CN"/>
                <w14:textFill>
                  <w14:solidFill>
                    <w14:schemeClr w14:val="tx1"/>
                  </w14:solidFill>
                </w14:textFill>
              </w:rPr>
              <w:instrText xml:space="preserve"> = 6 \* GB3 \* MERGEFORMAT </w:instrText>
            </w:r>
            <w:r>
              <w:rPr>
                <w:color w:val="000000" w:themeColor="text1"/>
                <w:highlight w:val="none"/>
                <w:lang w:val="en-US" w:eastAsia="zh-CN"/>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⑥</w:t>
            </w:r>
            <w:r>
              <w:rPr>
                <w:color w:val="000000" w:themeColor="text1"/>
                <w:highlight w:val="none"/>
                <w:lang w:val="en-US" w:eastAsia="zh-CN"/>
                <w14:textFill>
                  <w14:solidFill>
                    <w14:schemeClr w14:val="tx1"/>
                  </w14:solidFill>
                </w14:textFill>
              </w:rPr>
              <w:fldChar w:fldCharType="end"/>
            </w:r>
          </w:p>
        </w:tc>
        <w:tc>
          <w:tcPr>
            <w:tcW w:w="565" w:type="pct"/>
            <w:noWrap w:val="0"/>
            <w:tcMar>
              <w:left w:w="28" w:type="dxa"/>
              <w:right w:w="28" w:type="dxa"/>
            </w:tcMar>
            <w:vAlign w:val="center"/>
          </w:tcPr>
          <w:p w14:paraId="1F7A1708">
            <w:pPr>
              <w:pStyle w:val="26"/>
              <w:rPr>
                <w:color w:val="000000" w:themeColor="text1"/>
                <w:highlight w:val="none"/>
                <w:lang w:val="en-US" w:eastAsia="zh-CN"/>
                <w14:textFill>
                  <w14:solidFill>
                    <w14:schemeClr w14:val="tx1"/>
                  </w14:solidFill>
                </w14:textFill>
              </w:rPr>
            </w:pPr>
            <w:r>
              <w:rPr>
                <w:color w:val="000000" w:themeColor="text1"/>
                <w:highlight w:val="none"/>
                <w:lang w:val="en-US" w:eastAsia="zh-CN"/>
                <w14:textFill>
                  <w14:solidFill>
                    <w14:schemeClr w14:val="tx1"/>
                  </w14:solidFill>
                </w14:textFill>
              </w:rPr>
              <w:t>变化量</w:t>
            </w:r>
          </w:p>
          <w:p w14:paraId="023EB7A2">
            <w:pPr>
              <w:pStyle w:val="26"/>
              <w:rPr>
                <w:color w:val="000000" w:themeColor="text1"/>
                <w:highlight w:val="none"/>
                <w:lang w:val="en-US" w:eastAsia="zh-CN"/>
                <w14:textFill>
                  <w14:solidFill>
                    <w14:schemeClr w14:val="tx1"/>
                  </w14:solidFill>
                </w14:textFill>
              </w:rPr>
            </w:pPr>
            <w:r>
              <w:rPr>
                <w:color w:val="000000" w:themeColor="text1"/>
                <w:highlight w:val="none"/>
                <w:lang w:val="en-US" w:eastAsia="zh-CN"/>
                <w14:textFill>
                  <w14:solidFill>
                    <w14:schemeClr w14:val="tx1"/>
                  </w14:solidFill>
                </w14:textFill>
              </w:rPr>
              <w:fldChar w:fldCharType="begin"/>
            </w:r>
            <w:r>
              <w:rPr>
                <w:color w:val="000000" w:themeColor="text1"/>
                <w:highlight w:val="none"/>
                <w:lang w:val="en-US" w:eastAsia="zh-CN"/>
                <w14:textFill>
                  <w14:solidFill>
                    <w14:schemeClr w14:val="tx1"/>
                  </w14:solidFill>
                </w14:textFill>
              </w:rPr>
              <w:instrText xml:space="preserve"> = 7 \* GB3 \* MERGEFORMAT </w:instrText>
            </w:r>
            <w:r>
              <w:rPr>
                <w:color w:val="000000" w:themeColor="text1"/>
                <w:highlight w:val="none"/>
                <w:lang w:val="en-US" w:eastAsia="zh-CN"/>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⑦</w:t>
            </w:r>
            <w:r>
              <w:rPr>
                <w:color w:val="000000" w:themeColor="text1"/>
                <w:highlight w:val="none"/>
                <w:lang w:val="en-US" w:eastAsia="zh-CN"/>
                <w14:textFill>
                  <w14:solidFill>
                    <w14:schemeClr w14:val="tx1"/>
                  </w14:solidFill>
                </w14:textFill>
              </w:rPr>
              <w:fldChar w:fldCharType="end"/>
            </w:r>
          </w:p>
        </w:tc>
      </w:tr>
      <w:tr w14:paraId="20033E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 w:type="pct"/>
            <w:vMerge w:val="restart"/>
            <w:noWrap w:val="0"/>
            <w:vAlign w:val="center"/>
          </w:tcPr>
          <w:p w14:paraId="73846AA6">
            <w:pPr>
              <w:pStyle w:val="26"/>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废气</w:t>
            </w:r>
          </w:p>
        </w:tc>
        <w:tc>
          <w:tcPr>
            <w:tcW w:w="555" w:type="pct"/>
            <w:noWrap w:val="0"/>
            <w:vAlign w:val="center"/>
          </w:tcPr>
          <w:p w14:paraId="4D516FE0">
            <w:pPr>
              <w:pStyle w:val="26"/>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沥青烟</w:t>
            </w:r>
          </w:p>
        </w:tc>
        <w:tc>
          <w:tcPr>
            <w:tcW w:w="656" w:type="pct"/>
            <w:noWrap w:val="0"/>
            <w:vAlign w:val="center"/>
          </w:tcPr>
          <w:p w14:paraId="4BA8ECF3">
            <w:pPr>
              <w:pStyle w:val="26"/>
              <w:bidi w:val="0"/>
              <w:jc w:val="center"/>
              <w:rPr>
                <w:color w:val="000000" w:themeColor="text1"/>
                <w:highlight w:val="none"/>
                <w:lang w:val="en-US" w:eastAsia="zh-CN"/>
                <w14:textFill>
                  <w14:solidFill>
                    <w14:schemeClr w14:val="tx1"/>
                  </w14:solidFill>
                </w14:textFill>
              </w:rPr>
            </w:pPr>
          </w:p>
        </w:tc>
        <w:tc>
          <w:tcPr>
            <w:tcW w:w="451" w:type="pct"/>
            <w:noWrap w:val="0"/>
            <w:vAlign w:val="center"/>
          </w:tcPr>
          <w:p w14:paraId="7D667EDD">
            <w:pPr>
              <w:pStyle w:val="26"/>
              <w:bidi w:val="0"/>
              <w:jc w:val="center"/>
              <w:rPr>
                <w:color w:val="000000" w:themeColor="text1"/>
                <w:highlight w:val="none"/>
                <w:lang w:val="en-US" w:eastAsia="zh-CN"/>
                <w14:textFill>
                  <w14:solidFill>
                    <w14:schemeClr w14:val="tx1"/>
                  </w14:solidFill>
                </w14:textFill>
              </w:rPr>
            </w:pPr>
          </w:p>
        </w:tc>
        <w:tc>
          <w:tcPr>
            <w:tcW w:w="607" w:type="pct"/>
            <w:noWrap w:val="0"/>
            <w:vAlign w:val="center"/>
          </w:tcPr>
          <w:p w14:paraId="429D5BCD">
            <w:pPr>
              <w:pStyle w:val="26"/>
              <w:bidi w:val="0"/>
              <w:jc w:val="center"/>
              <w:rPr>
                <w:color w:val="000000" w:themeColor="text1"/>
                <w:highlight w:val="none"/>
                <w:lang w:val="en-US" w:eastAsia="zh-CN"/>
                <w14:textFill>
                  <w14:solidFill>
                    <w14:schemeClr w14:val="tx1"/>
                  </w14:solidFill>
                </w14:textFill>
              </w:rPr>
            </w:pPr>
          </w:p>
        </w:tc>
        <w:tc>
          <w:tcPr>
            <w:tcW w:w="555" w:type="pct"/>
            <w:noWrap w:val="0"/>
            <w:vAlign w:val="center"/>
          </w:tcPr>
          <w:p w14:paraId="6037B1F6">
            <w:pPr>
              <w:pStyle w:val="26"/>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0.0291 t/a</w:t>
            </w:r>
          </w:p>
        </w:tc>
        <w:tc>
          <w:tcPr>
            <w:tcW w:w="538" w:type="pct"/>
            <w:noWrap w:val="0"/>
            <w:vAlign w:val="center"/>
          </w:tcPr>
          <w:p w14:paraId="4608F451">
            <w:pPr>
              <w:pStyle w:val="26"/>
              <w:bidi w:val="0"/>
              <w:jc w:val="center"/>
              <w:rPr>
                <w:color w:val="000000" w:themeColor="text1"/>
                <w:highlight w:val="none"/>
                <w:lang w:val="en-US" w:eastAsia="zh-CN"/>
                <w14:textFill>
                  <w14:solidFill>
                    <w14:schemeClr w14:val="tx1"/>
                  </w14:solidFill>
                </w14:textFill>
              </w:rPr>
            </w:pPr>
          </w:p>
        </w:tc>
        <w:tc>
          <w:tcPr>
            <w:tcW w:w="609" w:type="pct"/>
            <w:noWrap w:val="0"/>
            <w:vAlign w:val="center"/>
          </w:tcPr>
          <w:p w14:paraId="499E6BB5">
            <w:pPr>
              <w:pStyle w:val="26"/>
              <w:bidi w:val="0"/>
              <w:ind w:firstLine="0" w:firstLineChars="0"/>
              <w:jc w:val="center"/>
              <w:rPr>
                <w:rFonts w:hint="default"/>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0.0291 t/a</w:t>
            </w:r>
          </w:p>
        </w:tc>
        <w:tc>
          <w:tcPr>
            <w:tcW w:w="565" w:type="pct"/>
            <w:noWrap w:val="0"/>
            <w:vAlign w:val="center"/>
          </w:tcPr>
          <w:p w14:paraId="60463257">
            <w:pPr>
              <w:pStyle w:val="26"/>
              <w:bidi w:val="0"/>
              <w:ind w:firstLine="0" w:firstLineChars="0"/>
              <w:jc w:val="center"/>
              <w:rPr>
                <w:rFonts w:hint="default"/>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+0.0291 t/a</w:t>
            </w:r>
          </w:p>
        </w:tc>
      </w:tr>
      <w:tr w14:paraId="3A9A6A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 w:type="pct"/>
            <w:vMerge w:val="continue"/>
            <w:noWrap w:val="0"/>
            <w:vAlign w:val="center"/>
          </w:tcPr>
          <w:p w14:paraId="301CFDA9">
            <w:pPr>
              <w:pStyle w:val="26"/>
              <w:rPr>
                <w:rFonts w:hint="eastAsia"/>
                <w:color w:val="000000" w:themeColor="text1"/>
                <w:highlight w:val="none"/>
                <w:lang w:val="en-US" w:eastAsia="zh-CN"/>
                <w14:textFill>
                  <w14:solidFill>
                    <w14:schemeClr w14:val="tx1"/>
                  </w14:solidFill>
                </w14:textFill>
              </w:rPr>
            </w:pPr>
          </w:p>
        </w:tc>
        <w:tc>
          <w:tcPr>
            <w:tcW w:w="555" w:type="pct"/>
            <w:noWrap w:val="0"/>
            <w:vAlign w:val="center"/>
          </w:tcPr>
          <w:p w14:paraId="162FF36B">
            <w:pPr>
              <w:pStyle w:val="26"/>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苯并</w:t>
            </w:r>
            <w:r>
              <w:rPr>
                <w:color w:val="000000" w:themeColor="text1"/>
                <w:highlight w:val="none"/>
                <w:lang w:val="en-US" w:eastAsia="zh-CN"/>
                <w14:textFill>
                  <w14:solidFill>
                    <w14:schemeClr w14:val="tx1"/>
                  </w14:solidFill>
                </w14:textFill>
              </w:rPr>
              <w:t>[a]芘</w:t>
            </w:r>
          </w:p>
        </w:tc>
        <w:tc>
          <w:tcPr>
            <w:tcW w:w="656" w:type="pct"/>
            <w:noWrap w:val="0"/>
            <w:vAlign w:val="center"/>
          </w:tcPr>
          <w:p w14:paraId="7DF46059">
            <w:pPr>
              <w:pStyle w:val="26"/>
              <w:bidi w:val="0"/>
              <w:jc w:val="center"/>
              <w:rPr>
                <w:color w:val="000000" w:themeColor="text1"/>
                <w:highlight w:val="none"/>
                <w:lang w:val="en-US" w:eastAsia="zh-CN"/>
                <w14:textFill>
                  <w14:solidFill>
                    <w14:schemeClr w14:val="tx1"/>
                  </w14:solidFill>
                </w14:textFill>
              </w:rPr>
            </w:pPr>
          </w:p>
        </w:tc>
        <w:tc>
          <w:tcPr>
            <w:tcW w:w="451" w:type="pct"/>
            <w:noWrap w:val="0"/>
            <w:vAlign w:val="center"/>
          </w:tcPr>
          <w:p w14:paraId="79341122">
            <w:pPr>
              <w:pStyle w:val="26"/>
              <w:bidi w:val="0"/>
              <w:jc w:val="center"/>
              <w:rPr>
                <w:rFonts w:hint="default"/>
                <w:color w:val="000000" w:themeColor="text1"/>
                <w:highlight w:val="none"/>
                <w:lang w:val="en-US" w:eastAsia="zh-CN"/>
                <w14:textFill>
                  <w14:solidFill>
                    <w14:schemeClr w14:val="tx1"/>
                  </w14:solidFill>
                </w14:textFill>
              </w:rPr>
            </w:pPr>
          </w:p>
        </w:tc>
        <w:tc>
          <w:tcPr>
            <w:tcW w:w="607" w:type="pct"/>
            <w:noWrap w:val="0"/>
            <w:vAlign w:val="center"/>
          </w:tcPr>
          <w:p w14:paraId="2F7FE6EE">
            <w:pPr>
              <w:pStyle w:val="26"/>
              <w:bidi w:val="0"/>
              <w:jc w:val="center"/>
              <w:rPr>
                <w:color w:val="000000" w:themeColor="text1"/>
                <w:highlight w:val="none"/>
                <w:lang w:val="en-US" w:eastAsia="zh-CN"/>
                <w14:textFill>
                  <w14:solidFill>
                    <w14:schemeClr w14:val="tx1"/>
                  </w14:solidFill>
                </w14:textFill>
              </w:rPr>
            </w:pPr>
          </w:p>
        </w:tc>
        <w:tc>
          <w:tcPr>
            <w:tcW w:w="555" w:type="pct"/>
            <w:noWrap w:val="0"/>
            <w:vAlign w:val="center"/>
          </w:tcPr>
          <w:p w14:paraId="11430B8A">
            <w:pPr>
              <w:pStyle w:val="26"/>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7.76E-06 t/a</w:t>
            </w:r>
          </w:p>
        </w:tc>
        <w:tc>
          <w:tcPr>
            <w:tcW w:w="538" w:type="pct"/>
            <w:noWrap w:val="0"/>
            <w:vAlign w:val="center"/>
          </w:tcPr>
          <w:p w14:paraId="50E5BCAB">
            <w:pPr>
              <w:pStyle w:val="26"/>
              <w:bidi w:val="0"/>
              <w:jc w:val="center"/>
              <w:rPr>
                <w:color w:val="000000" w:themeColor="text1"/>
                <w:highlight w:val="none"/>
                <w:lang w:val="en-US" w:eastAsia="zh-CN"/>
                <w14:textFill>
                  <w14:solidFill>
                    <w14:schemeClr w14:val="tx1"/>
                  </w14:solidFill>
                </w14:textFill>
              </w:rPr>
            </w:pPr>
          </w:p>
        </w:tc>
        <w:tc>
          <w:tcPr>
            <w:tcW w:w="609" w:type="pct"/>
            <w:noWrap w:val="0"/>
            <w:vAlign w:val="center"/>
          </w:tcPr>
          <w:p w14:paraId="6BC69680">
            <w:pPr>
              <w:pStyle w:val="26"/>
              <w:bidi w:val="0"/>
              <w:ind w:firstLine="0" w:firstLineChars="0"/>
              <w:jc w:val="center"/>
              <w:rPr>
                <w:rFonts w:hint="default"/>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7.76E-06 t/a</w:t>
            </w:r>
          </w:p>
        </w:tc>
        <w:tc>
          <w:tcPr>
            <w:tcW w:w="565" w:type="pct"/>
            <w:noWrap w:val="0"/>
            <w:vAlign w:val="center"/>
          </w:tcPr>
          <w:p w14:paraId="0EE04CC1">
            <w:pPr>
              <w:pStyle w:val="26"/>
              <w:bidi w:val="0"/>
              <w:ind w:firstLine="0" w:firstLineChars="0"/>
              <w:jc w:val="center"/>
              <w:rPr>
                <w:rFonts w:hint="default"/>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+7.76E-06 t/a</w:t>
            </w:r>
          </w:p>
        </w:tc>
      </w:tr>
      <w:tr w14:paraId="1CF294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 w:type="pct"/>
            <w:vMerge w:val="continue"/>
            <w:noWrap w:val="0"/>
            <w:vAlign w:val="center"/>
          </w:tcPr>
          <w:p w14:paraId="1D475F06">
            <w:pPr>
              <w:pStyle w:val="26"/>
              <w:rPr>
                <w:rFonts w:hint="eastAsia"/>
                <w:color w:val="000000" w:themeColor="text1"/>
                <w:highlight w:val="none"/>
                <w:lang w:val="en-US" w:eastAsia="zh-CN"/>
                <w14:textFill>
                  <w14:solidFill>
                    <w14:schemeClr w14:val="tx1"/>
                  </w14:solidFill>
                </w14:textFill>
              </w:rPr>
            </w:pPr>
          </w:p>
        </w:tc>
        <w:tc>
          <w:tcPr>
            <w:tcW w:w="555" w:type="pct"/>
            <w:noWrap w:val="0"/>
            <w:vAlign w:val="center"/>
          </w:tcPr>
          <w:p w14:paraId="3F9D4F68">
            <w:pPr>
              <w:pStyle w:val="26"/>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颗粒物</w:t>
            </w:r>
          </w:p>
        </w:tc>
        <w:tc>
          <w:tcPr>
            <w:tcW w:w="656" w:type="pct"/>
            <w:noWrap w:val="0"/>
            <w:vAlign w:val="center"/>
          </w:tcPr>
          <w:p w14:paraId="0F69DB77">
            <w:pPr>
              <w:pStyle w:val="26"/>
              <w:bidi w:val="0"/>
              <w:jc w:val="center"/>
              <w:rPr>
                <w:color w:val="000000" w:themeColor="text1"/>
                <w:highlight w:val="none"/>
                <w:lang w:val="en-US" w:eastAsia="zh-CN"/>
                <w14:textFill>
                  <w14:solidFill>
                    <w14:schemeClr w14:val="tx1"/>
                  </w14:solidFill>
                </w14:textFill>
              </w:rPr>
            </w:pPr>
          </w:p>
        </w:tc>
        <w:tc>
          <w:tcPr>
            <w:tcW w:w="451" w:type="pct"/>
            <w:noWrap w:val="0"/>
            <w:vAlign w:val="center"/>
          </w:tcPr>
          <w:p w14:paraId="75167EC6">
            <w:pPr>
              <w:pStyle w:val="26"/>
              <w:bidi w:val="0"/>
              <w:jc w:val="center"/>
              <w:rPr>
                <w:color w:val="000000" w:themeColor="text1"/>
                <w:highlight w:val="none"/>
                <w:lang w:val="en-US" w:eastAsia="zh-CN"/>
                <w14:textFill>
                  <w14:solidFill>
                    <w14:schemeClr w14:val="tx1"/>
                  </w14:solidFill>
                </w14:textFill>
              </w:rPr>
            </w:pPr>
          </w:p>
        </w:tc>
        <w:tc>
          <w:tcPr>
            <w:tcW w:w="607" w:type="pct"/>
            <w:noWrap w:val="0"/>
            <w:vAlign w:val="center"/>
          </w:tcPr>
          <w:p w14:paraId="417E27B7">
            <w:pPr>
              <w:pStyle w:val="26"/>
              <w:bidi w:val="0"/>
              <w:rPr>
                <w:color w:val="000000" w:themeColor="text1"/>
                <w:highlight w:val="none"/>
                <w:lang w:val="en-US" w:eastAsia="zh-CN"/>
                <w14:textFill>
                  <w14:solidFill>
                    <w14:schemeClr w14:val="tx1"/>
                  </w14:solidFill>
                </w14:textFill>
              </w:rPr>
            </w:pPr>
          </w:p>
        </w:tc>
        <w:tc>
          <w:tcPr>
            <w:tcW w:w="555" w:type="pct"/>
            <w:noWrap w:val="0"/>
            <w:vAlign w:val="center"/>
          </w:tcPr>
          <w:p w14:paraId="0FE09CE3">
            <w:pPr>
              <w:pStyle w:val="26"/>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0.1892 t/a</w:t>
            </w:r>
          </w:p>
        </w:tc>
        <w:tc>
          <w:tcPr>
            <w:tcW w:w="538" w:type="pct"/>
            <w:noWrap w:val="0"/>
            <w:vAlign w:val="center"/>
          </w:tcPr>
          <w:p w14:paraId="37ACD8DC">
            <w:pPr>
              <w:pStyle w:val="26"/>
              <w:bidi w:val="0"/>
              <w:rPr>
                <w:color w:val="000000" w:themeColor="text1"/>
                <w:highlight w:val="none"/>
                <w:lang w:val="en-US" w:eastAsia="zh-CN"/>
                <w14:textFill>
                  <w14:solidFill>
                    <w14:schemeClr w14:val="tx1"/>
                  </w14:solidFill>
                </w14:textFill>
              </w:rPr>
            </w:pPr>
          </w:p>
        </w:tc>
        <w:tc>
          <w:tcPr>
            <w:tcW w:w="609" w:type="pct"/>
            <w:noWrap w:val="0"/>
            <w:vAlign w:val="center"/>
          </w:tcPr>
          <w:p w14:paraId="7BB320A0">
            <w:pPr>
              <w:pStyle w:val="26"/>
              <w:bidi w:val="0"/>
              <w:ind w:firstLine="0" w:firstLineChars="0"/>
              <w:rPr>
                <w:rFonts w:hint="default"/>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0.1892 t/a</w:t>
            </w:r>
          </w:p>
        </w:tc>
        <w:tc>
          <w:tcPr>
            <w:tcW w:w="565" w:type="pct"/>
            <w:noWrap w:val="0"/>
            <w:vAlign w:val="center"/>
          </w:tcPr>
          <w:p w14:paraId="7481624C">
            <w:pPr>
              <w:pStyle w:val="26"/>
              <w:bidi w:val="0"/>
              <w:ind w:firstLine="0" w:firstLineChars="0"/>
              <w:rPr>
                <w:rFonts w:hint="eastAsia"/>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+0.1892 t/a</w:t>
            </w:r>
          </w:p>
        </w:tc>
      </w:tr>
      <w:tr w14:paraId="1EC128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 w:type="pct"/>
            <w:vMerge w:val="continue"/>
            <w:noWrap w:val="0"/>
            <w:vAlign w:val="center"/>
          </w:tcPr>
          <w:p w14:paraId="43662127">
            <w:pPr>
              <w:pStyle w:val="26"/>
              <w:rPr>
                <w:rFonts w:hint="eastAsia"/>
                <w:color w:val="000000" w:themeColor="text1"/>
                <w:highlight w:val="none"/>
                <w:lang w:val="en-US" w:eastAsia="zh-CN"/>
                <w14:textFill>
                  <w14:solidFill>
                    <w14:schemeClr w14:val="tx1"/>
                  </w14:solidFill>
                </w14:textFill>
              </w:rPr>
            </w:pPr>
          </w:p>
        </w:tc>
        <w:tc>
          <w:tcPr>
            <w:tcW w:w="555" w:type="pct"/>
            <w:noWrap w:val="0"/>
            <w:vAlign w:val="center"/>
          </w:tcPr>
          <w:p w14:paraId="6C055BE2">
            <w:pPr>
              <w:pStyle w:val="26"/>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非甲烷总烃</w:t>
            </w:r>
          </w:p>
        </w:tc>
        <w:tc>
          <w:tcPr>
            <w:tcW w:w="656" w:type="pct"/>
            <w:noWrap w:val="0"/>
            <w:vAlign w:val="center"/>
          </w:tcPr>
          <w:p w14:paraId="09481E36">
            <w:pPr>
              <w:pStyle w:val="26"/>
              <w:bidi w:val="0"/>
              <w:jc w:val="center"/>
              <w:rPr>
                <w:color w:val="000000" w:themeColor="text1"/>
                <w:highlight w:val="none"/>
                <w:lang w:val="en-US" w:eastAsia="zh-CN"/>
                <w14:textFill>
                  <w14:solidFill>
                    <w14:schemeClr w14:val="tx1"/>
                  </w14:solidFill>
                </w14:textFill>
              </w:rPr>
            </w:pPr>
          </w:p>
        </w:tc>
        <w:tc>
          <w:tcPr>
            <w:tcW w:w="451" w:type="pct"/>
            <w:noWrap w:val="0"/>
            <w:vAlign w:val="center"/>
          </w:tcPr>
          <w:p w14:paraId="5B72BAF1">
            <w:pPr>
              <w:pStyle w:val="26"/>
              <w:bidi w:val="0"/>
              <w:jc w:val="center"/>
              <w:rPr>
                <w:color w:val="000000" w:themeColor="text1"/>
                <w:highlight w:val="none"/>
                <w:lang w:val="en-US" w:eastAsia="zh-CN"/>
                <w14:textFill>
                  <w14:solidFill>
                    <w14:schemeClr w14:val="tx1"/>
                  </w14:solidFill>
                </w14:textFill>
              </w:rPr>
            </w:pPr>
          </w:p>
        </w:tc>
        <w:tc>
          <w:tcPr>
            <w:tcW w:w="607" w:type="pct"/>
            <w:noWrap w:val="0"/>
            <w:vAlign w:val="center"/>
          </w:tcPr>
          <w:p w14:paraId="35AB260E">
            <w:pPr>
              <w:pStyle w:val="26"/>
              <w:bidi w:val="0"/>
              <w:rPr>
                <w:color w:val="000000" w:themeColor="text1"/>
                <w:highlight w:val="none"/>
                <w:lang w:val="en-US" w:eastAsia="zh-CN"/>
                <w14:textFill>
                  <w14:solidFill>
                    <w14:schemeClr w14:val="tx1"/>
                  </w14:solidFill>
                </w14:textFill>
              </w:rPr>
            </w:pPr>
          </w:p>
        </w:tc>
        <w:tc>
          <w:tcPr>
            <w:tcW w:w="555" w:type="pct"/>
            <w:noWrap w:val="0"/>
            <w:vAlign w:val="center"/>
          </w:tcPr>
          <w:p w14:paraId="0935FDAF">
            <w:pPr>
              <w:pStyle w:val="26"/>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3.2599 t/a</w:t>
            </w:r>
          </w:p>
        </w:tc>
        <w:tc>
          <w:tcPr>
            <w:tcW w:w="538" w:type="pct"/>
            <w:noWrap w:val="0"/>
            <w:vAlign w:val="center"/>
          </w:tcPr>
          <w:p w14:paraId="011181E6">
            <w:pPr>
              <w:pStyle w:val="26"/>
              <w:bidi w:val="0"/>
              <w:rPr>
                <w:color w:val="000000" w:themeColor="text1"/>
                <w:highlight w:val="none"/>
                <w:lang w:val="en-US" w:eastAsia="zh-CN"/>
                <w14:textFill>
                  <w14:solidFill>
                    <w14:schemeClr w14:val="tx1"/>
                  </w14:solidFill>
                </w14:textFill>
              </w:rPr>
            </w:pPr>
          </w:p>
        </w:tc>
        <w:tc>
          <w:tcPr>
            <w:tcW w:w="609" w:type="pct"/>
            <w:noWrap w:val="0"/>
            <w:vAlign w:val="center"/>
          </w:tcPr>
          <w:p w14:paraId="2D18D7BF">
            <w:pPr>
              <w:pStyle w:val="26"/>
              <w:bidi w:val="0"/>
              <w:ind w:firstLine="0" w:firstLineChars="0"/>
              <w:rPr>
                <w:rFonts w:hint="default"/>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3.2599 t/a</w:t>
            </w:r>
          </w:p>
        </w:tc>
        <w:tc>
          <w:tcPr>
            <w:tcW w:w="565" w:type="pct"/>
            <w:noWrap w:val="0"/>
            <w:vAlign w:val="center"/>
          </w:tcPr>
          <w:p w14:paraId="5C6C5A0E">
            <w:pPr>
              <w:pStyle w:val="26"/>
              <w:bidi w:val="0"/>
              <w:ind w:firstLine="0" w:firstLineChars="0"/>
              <w:rPr>
                <w:rFonts w:hint="eastAsia"/>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+3.2599 t/a</w:t>
            </w:r>
          </w:p>
        </w:tc>
      </w:tr>
      <w:tr w14:paraId="25AA59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 w:type="pct"/>
            <w:vMerge w:val="restart"/>
            <w:noWrap w:val="0"/>
            <w:vAlign w:val="center"/>
          </w:tcPr>
          <w:p w14:paraId="4EEF064E">
            <w:pPr>
              <w:pStyle w:val="26"/>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废水</w:t>
            </w:r>
          </w:p>
        </w:tc>
        <w:tc>
          <w:tcPr>
            <w:tcW w:w="555" w:type="pct"/>
            <w:noWrap w:val="0"/>
            <w:vAlign w:val="center"/>
          </w:tcPr>
          <w:p w14:paraId="3B47B445">
            <w:pPr>
              <w:pStyle w:val="26"/>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废水量</w:t>
            </w:r>
          </w:p>
        </w:tc>
        <w:tc>
          <w:tcPr>
            <w:tcW w:w="656" w:type="pct"/>
            <w:noWrap w:val="0"/>
            <w:vAlign w:val="center"/>
          </w:tcPr>
          <w:p w14:paraId="13CF9652">
            <w:pPr>
              <w:pStyle w:val="26"/>
              <w:bidi w:val="0"/>
              <w:jc w:val="center"/>
              <w:rPr>
                <w:color w:val="000000" w:themeColor="text1"/>
                <w:highlight w:val="none"/>
                <w:lang w:val="en-US" w:eastAsia="zh-CN"/>
                <w14:textFill>
                  <w14:solidFill>
                    <w14:schemeClr w14:val="tx1"/>
                  </w14:solidFill>
                </w14:textFill>
              </w:rPr>
            </w:pPr>
          </w:p>
        </w:tc>
        <w:tc>
          <w:tcPr>
            <w:tcW w:w="451" w:type="pct"/>
            <w:noWrap w:val="0"/>
            <w:vAlign w:val="center"/>
          </w:tcPr>
          <w:p w14:paraId="5923284C">
            <w:pPr>
              <w:pStyle w:val="26"/>
              <w:bidi w:val="0"/>
              <w:jc w:val="center"/>
              <w:rPr>
                <w:color w:val="000000" w:themeColor="text1"/>
                <w:highlight w:val="none"/>
                <w:lang w:val="en-US" w:eastAsia="zh-CN"/>
                <w14:textFill>
                  <w14:solidFill>
                    <w14:schemeClr w14:val="tx1"/>
                  </w14:solidFill>
                </w14:textFill>
              </w:rPr>
            </w:pPr>
          </w:p>
        </w:tc>
        <w:tc>
          <w:tcPr>
            <w:tcW w:w="607" w:type="pct"/>
            <w:noWrap w:val="0"/>
            <w:vAlign w:val="center"/>
          </w:tcPr>
          <w:p w14:paraId="3369A9D6">
            <w:pPr>
              <w:pStyle w:val="26"/>
              <w:bidi w:val="0"/>
              <w:jc w:val="center"/>
              <w:rPr>
                <w:color w:val="000000" w:themeColor="text1"/>
                <w:highlight w:val="none"/>
                <w:lang w:val="en-US" w:eastAsia="zh-CN"/>
                <w14:textFill>
                  <w14:solidFill>
                    <w14:schemeClr w14:val="tx1"/>
                  </w14:solidFill>
                </w14:textFill>
              </w:rPr>
            </w:pPr>
          </w:p>
        </w:tc>
        <w:tc>
          <w:tcPr>
            <w:tcW w:w="555" w:type="pct"/>
            <w:noWrap w:val="0"/>
            <w:vAlign w:val="center"/>
          </w:tcPr>
          <w:p w14:paraId="73321AB1">
            <w:pPr>
              <w:pStyle w:val="26"/>
              <w:bidi w:val="0"/>
              <w:ind w:firstLine="0" w:firstLineChars="0"/>
              <w:jc w:val="center"/>
              <w:rPr>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372</w:t>
            </w:r>
            <w:r>
              <w:rPr>
                <w:rFonts w:hint="eastAsia"/>
                <w:color w:val="000000" w:themeColor="text1"/>
                <w:highlight w:val="none"/>
                <w:lang w:val="en-US" w:eastAsia="zh-CN"/>
                <w14:textFill>
                  <w14:solidFill>
                    <w14:schemeClr w14:val="tx1"/>
                  </w14:solidFill>
                </w14:textFill>
              </w:rPr>
              <w:t xml:space="preserve"> t/a</w:t>
            </w:r>
          </w:p>
        </w:tc>
        <w:tc>
          <w:tcPr>
            <w:tcW w:w="538" w:type="pct"/>
            <w:noWrap w:val="0"/>
            <w:vAlign w:val="center"/>
          </w:tcPr>
          <w:p w14:paraId="0B665FAD">
            <w:pPr>
              <w:pStyle w:val="26"/>
              <w:bidi w:val="0"/>
              <w:jc w:val="center"/>
              <w:rPr>
                <w:color w:val="000000" w:themeColor="text1"/>
                <w:highlight w:val="none"/>
                <w:lang w:val="en-US" w:eastAsia="zh-CN"/>
                <w14:textFill>
                  <w14:solidFill>
                    <w14:schemeClr w14:val="tx1"/>
                  </w14:solidFill>
                </w14:textFill>
              </w:rPr>
            </w:pPr>
          </w:p>
        </w:tc>
        <w:tc>
          <w:tcPr>
            <w:tcW w:w="609" w:type="pct"/>
            <w:noWrap w:val="0"/>
            <w:vAlign w:val="center"/>
          </w:tcPr>
          <w:p w14:paraId="40451795">
            <w:pPr>
              <w:pStyle w:val="26"/>
              <w:bidi w:val="0"/>
              <w:ind w:firstLine="0" w:firstLineChars="0"/>
              <w:jc w:val="center"/>
              <w:rPr>
                <w:rFonts w:hint="default"/>
                <w:color w:val="000000" w:themeColor="text1"/>
                <w:sz w:val="21"/>
                <w:szCs w:val="22"/>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372</w:t>
            </w:r>
            <w:r>
              <w:rPr>
                <w:rFonts w:hint="eastAsia"/>
                <w:color w:val="000000" w:themeColor="text1"/>
                <w:highlight w:val="none"/>
                <w:lang w:val="en-US" w:eastAsia="zh-CN"/>
                <w14:textFill>
                  <w14:solidFill>
                    <w14:schemeClr w14:val="tx1"/>
                  </w14:solidFill>
                </w14:textFill>
              </w:rPr>
              <w:t xml:space="preserve"> t/a</w:t>
            </w:r>
          </w:p>
        </w:tc>
        <w:tc>
          <w:tcPr>
            <w:tcW w:w="565" w:type="pct"/>
            <w:noWrap w:val="0"/>
            <w:vAlign w:val="center"/>
          </w:tcPr>
          <w:p w14:paraId="0BC7ED1F">
            <w:pPr>
              <w:pStyle w:val="26"/>
              <w:bidi w:val="0"/>
              <w:ind w:firstLine="0" w:firstLineChars="0"/>
              <w:jc w:val="center"/>
              <w:rPr>
                <w:rFonts w:hint="default"/>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372</w:t>
            </w:r>
            <w:r>
              <w:rPr>
                <w:rFonts w:hint="eastAsia"/>
                <w:color w:val="000000" w:themeColor="text1"/>
                <w:highlight w:val="none"/>
                <w:lang w:val="en-US" w:eastAsia="zh-CN"/>
                <w14:textFill>
                  <w14:solidFill>
                    <w14:schemeClr w14:val="tx1"/>
                  </w14:solidFill>
                </w14:textFill>
              </w:rPr>
              <w:t xml:space="preserve"> t/a</w:t>
            </w:r>
          </w:p>
        </w:tc>
      </w:tr>
      <w:tr w14:paraId="18E136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 w:type="pct"/>
            <w:vMerge w:val="continue"/>
            <w:noWrap w:val="0"/>
            <w:vAlign w:val="center"/>
          </w:tcPr>
          <w:p w14:paraId="2A3B4DDF">
            <w:pPr>
              <w:pStyle w:val="26"/>
              <w:rPr>
                <w:rFonts w:hint="eastAsia"/>
                <w:color w:val="000000" w:themeColor="text1"/>
                <w:highlight w:val="none"/>
                <w:lang w:val="en-US" w:eastAsia="zh-CN"/>
                <w14:textFill>
                  <w14:solidFill>
                    <w14:schemeClr w14:val="tx1"/>
                  </w14:solidFill>
                </w14:textFill>
              </w:rPr>
            </w:pPr>
          </w:p>
        </w:tc>
        <w:tc>
          <w:tcPr>
            <w:tcW w:w="555" w:type="pct"/>
            <w:noWrap w:val="0"/>
            <w:vAlign w:val="center"/>
          </w:tcPr>
          <w:p w14:paraId="14027EAC">
            <w:pPr>
              <w:pStyle w:val="26"/>
              <w:bidi w:val="0"/>
              <w:rPr>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COD</w:t>
            </w:r>
          </w:p>
        </w:tc>
        <w:tc>
          <w:tcPr>
            <w:tcW w:w="656" w:type="pct"/>
            <w:noWrap w:val="0"/>
            <w:vAlign w:val="center"/>
          </w:tcPr>
          <w:p w14:paraId="4EA38C2B">
            <w:pPr>
              <w:pStyle w:val="26"/>
              <w:bidi w:val="0"/>
              <w:jc w:val="center"/>
              <w:rPr>
                <w:color w:val="000000" w:themeColor="text1"/>
                <w:highlight w:val="none"/>
                <w:lang w:val="en-US" w:eastAsia="zh-CN"/>
                <w14:textFill>
                  <w14:solidFill>
                    <w14:schemeClr w14:val="tx1"/>
                  </w14:solidFill>
                </w14:textFill>
              </w:rPr>
            </w:pPr>
          </w:p>
        </w:tc>
        <w:tc>
          <w:tcPr>
            <w:tcW w:w="451" w:type="pct"/>
            <w:noWrap w:val="0"/>
            <w:vAlign w:val="center"/>
          </w:tcPr>
          <w:p w14:paraId="57A0A8C6">
            <w:pPr>
              <w:pStyle w:val="26"/>
              <w:bidi w:val="0"/>
              <w:jc w:val="center"/>
              <w:rPr>
                <w:rFonts w:hint="default"/>
                <w:color w:val="000000" w:themeColor="text1"/>
                <w:highlight w:val="none"/>
                <w:lang w:val="en-US" w:eastAsia="zh-CN"/>
                <w14:textFill>
                  <w14:solidFill>
                    <w14:schemeClr w14:val="tx1"/>
                  </w14:solidFill>
                </w14:textFill>
              </w:rPr>
            </w:pPr>
          </w:p>
        </w:tc>
        <w:tc>
          <w:tcPr>
            <w:tcW w:w="607" w:type="pct"/>
            <w:noWrap w:val="0"/>
            <w:vAlign w:val="center"/>
          </w:tcPr>
          <w:p w14:paraId="17D58F04">
            <w:pPr>
              <w:pStyle w:val="26"/>
              <w:bidi w:val="0"/>
              <w:jc w:val="center"/>
              <w:rPr>
                <w:color w:val="000000" w:themeColor="text1"/>
                <w:highlight w:val="none"/>
                <w:lang w:val="en-US" w:eastAsia="zh-CN"/>
                <w14:textFill>
                  <w14:solidFill>
                    <w14:schemeClr w14:val="tx1"/>
                  </w14:solidFill>
                </w14:textFill>
              </w:rPr>
            </w:pPr>
          </w:p>
        </w:tc>
        <w:tc>
          <w:tcPr>
            <w:tcW w:w="555" w:type="pct"/>
            <w:noWrap w:val="0"/>
            <w:vAlign w:val="center"/>
          </w:tcPr>
          <w:p w14:paraId="18312313">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0.1265</w:t>
            </w:r>
            <w:r>
              <w:rPr>
                <w:rFonts w:hint="eastAsia"/>
                <w:color w:val="000000" w:themeColor="text1"/>
                <w:highlight w:val="none"/>
                <w:lang w:val="en-US" w:eastAsia="zh-CN"/>
                <w14:textFill>
                  <w14:solidFill>
                    <w14:schemeClr w14:val="tx1"/>
                  </w14:solidFill>
                </w14:textFill>
              </w:rPr>
              <w:t xml:space="preserve"> t/a</w:t>
            </w:r>
          </w:p>
        </w:tc>
        <w:tc>
          <w:tcPr>
            <w:tcW w:w="538" w:type="pct"/>
            <w:noWrap w:val="0"/>
            <w:vAlign w:val="center"/>
          </w:tcPr>
          <w:p w14:paraId="1431177E">
            <w:pPr>
              <w:pStyle w:val="26"/>
              <w:bidi w:val="0"/>
              <w:jc w:val="center"/>
              <w:rPr>
                <w:color w:val="000000" w:themeColor="text1"/>
                <w:highlight w:val="none"/>
                <w:lang w:val="en-US" w:eastAsia="zh-CN"/>
                <w14:textFill>
                  <w14:solidFill>
                    <w14:schemeClr w14:val="tx1"/>
                  </w14:solidFill>
                </w14:textFill>
              </w:rPr>
            </w:pPr>
          </w:p>
        </w:tc>
        <w:tc>
          <w:tcPr>
            <w:tcW w:w="609" w:type="pct"/>
            <w:noWrap w:val="0"/>
            <w:vAlign w:val="center"/>
          </w:tcPr>
          <w:p w14:paraId="44EAF932">
            <w:pPr>
              <w:pStyle w:val="26"/>
              <w:bidi w:val="0"/>
              <w:ind w:firstLine="0" w:firstLineChars="0"/>
              <w:jc w:val="center"/>
              <w:rPr>
                <w:rFonts w:hint="default"/>
                <w:color w:val="000000" w:themeColor="text1"/>
                <w:sz w:val="21"/>
                <w:szCs w:val="22"/>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0.1265</w:t>
            </w:r>
            <w:r>
              <w:rPr>
                <w:rFonts w:hint="eastAsia"/>
                <w:color w:val="000000" w:themeColor="text1"/>
                <w:highlight w:val="none"/>
                <w:lang w:val="en-US" w:eastAsia="zh-CN"/>
                <w14:textFill>
                  <w14:solidFill>
                    <w14:schemeClr w14:val="tx1"/>
                  </w14:solidFill>
                </w14:textFill>
              </w:rPr>
              <w:t xml:space="preserve"> t/a</w:t>
            </w:r>
          </w:p>
        </w:tc>
        <w:tc>
          <w:tcPr>
            <w:tcW w:w="565" w:type="pct"/>
            <w:noWrap w:val="0"/>
            <w:vAlign w:val="center"/>
          </w:tcPr>
          <w:p w14:paraId="7B33B089">
            <w:pPr>
              <w:pStyle w:val="26"/>
              <w:bidi w:val="0"/>
              <w:ind w:firstLine="0" w:firstLineChars="0"/>
              <w:jc w:val="center"/>
              <w:rPr>
                <w:rFonts w:hint="default"/>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0.1265</w:t>
            </w:r>
            <w:r>
              <w:rPr>
                <w:rFonts w:hint="eastAsia"/>
                <w:color w:val="000000" w:themeColor="text1"/>
                <w:highlight w:val="none"/>
                <w:lang w:val="en-US" w:eastAsia="zh-CN"/>
                <w14:textFill>
                  <w14:solidFill>
                    <w14:schemeClr w14:val="tx1"/>
                  </w14:solidFill>
                </w14:textFill>
              </w:rPr>
              <w:t xml:space="preserve"> t/a</w:t>
            </w:r>
          </w:p>
        </w:tc>
      </w:tr>
      <w:tr w14:paraId="500601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 w:type="pct"/>
            <w:vMerge w:val="continue"/>
            <w:noWrap w:val="0"/>
            <w:vAlign w:val="center"/>
          </w:tcPr>
          <w:p w14:paraId="5C0ACCE2">
            <w:pPr>
              <w:pStyle w:val="26"/>
              <w:rPr>
                <w:rFonts w:hint="eastAsia"/>
                <w:color w:val="000000" w:themeColor="text1"/>
                <w:highlight w:val="none"/>
                <w:lang w:val="en-US" w:eastAsia="zh-CN"/>
                <w14:textFill>
                  <w14:solidFill>
                    <w14:schemeClr w14:val="tx1"/>
                  </w14:solidFill>
                </w14:textFill>
              </w:rPr>
            </w:pPr>
          </w:p>
        </w:tc>
        <w:tc>
          <w:tcPr>
            <w:tcW w:w="555" w:type="pct"/>
            <w:noWrap w:val="0"/>
            <w:vAlign w:val="center"/>
          </w:tcPr>
          <w:p w14:paraId="69D239F8">
            <w:pPr>
              <w:pStyle w:val="26"/>
              <w:bidi w:val="0"/>
              <w:rPr>
                <w:rFonts w:hint="eastAsia"/>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BOD</w:t>
            </w:r>
            <w:r>
              <w:rPr>
                <w:rFonts w:hint="default"/>
                <w:color w:val="000000" w:themeColor="text1"/>
                <w:highlight w:val="none"/>
                <w:vertAlign w:val="subscript"/>
                <w:lang w:val="en-US" w:eastAsia="zh-CN"/>
                <w14:textFill>
                  <w14:solidFill>
                    <w14:schemeClr w14:val="tx1"/>
                  </w14:solidFill>
                </w14:textFill>
              </w:rPr>
              <w:t>5</w:t>
            </w:r>
          </w:p>
        </w:tc>
        <w:tc>
          <w:tcPr>
            <w:tcW w:w="656" w:type="pct"/>
            <w:noWrap w:val="0"/>
            <w:vAlign w:val="center"/>
          </w:tcPr>
          <w:p w14:paraId="5128C17D">
            <w:pPr>
              <w:pStyle w:val="26"/>
              <w:bidi w:val="0"/>
              <w:jc w:val="center"/>
              <w:rPr>
                <w:color w:val="000000" w:themeColor="text1"/>
                <w:highlight w:val="none"/>
                <w:lang w:val="en-US" w:eastAsia="zh-CN"/>
                <w14:textFill>
                  <w14:solidFill>
                    <w14:schemeClr w14:val="tx1"/>
                  </w14:solidFill>
                </w14:textFill>
              </w:rPr>
            </w:pPr>
          </w:p>
        </w:tc>
        <w:tc>
          <w:tcPr>
            <w:tcW w:w="451" w:type="pct"/>
            <w:noWrap w:val="0"/>
            <w:vAlign w:val="center"/>
          </w:tcPr>
          <w:p w14:paraId="2C92344A">
            <w:pPr>
              <w:pStyle w:val="26"/>
              <w:bidi w:val="0"/>
              <w:jc w:val="center"/>
              <w:rPr>
                <w:color w:val="000000" w:themeColor="text1"/>
                <w:highlight w:val="none"/>
                <w:lang w:val="en-US" w:eastAsia="zh-CN"/>
                <w14:textFill>
                  <w14:solidFill>
                    <w14:schemeClr w14:val="tx1"/>
                  </w14:solidFill>
                </w14:textFill>
              </w:rPr>
            </w:pPr>
          </w:p>
        </w:tc>
        <w:tc>
          <w:tcPr>
            <w:tcW w:w="607" w:type="pct"/>
            <w:noWrap w:val="0"/>
            <w:vAlign w:val="center"/>
          </w:tcPr>
          <w:p w14:paraId="40D84A20">
            <w:pPr>
              <w:pStyle w:val="26"/>
              <w:bidi w:val="0"/>
              <w:jc w:val="center"/>
              <w:rPr>
                <w:color w:val="000000" w:themeColor="text1"/>
                <w:highlight w:val="none"/>
                <w:lang w:val="en-US" w:eastAsia="zh-CN"/>
                <w14:textFill>
                  <w14:solidFill>
                    <w14:schemeClr w14:val="tx1"/>
                  </w14:solidFill>
                </w14:textFill>
              </w:rPr>
            </w:pPr>
          </w:p>
        </w:tc>
        <w:tc>
          <w:tcPr>
            <w:tcW w:w="555" w:type="pct"/>
            <w:noWrap w:val="0"/>
            <w:vAlign w:val="center"/>
          </w:tcPr>
          <w:p w14:paraId="1925DAE6">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0.0745</w:t>
            </w:r>
            <w:r>
              <w:rPr>
                <w:rFonts w:hint="eastAsia"/>
                <w:color w:val="000000" w:themeColor="text1"/>
                <w:highlight w:val="none"/>
                <w:lang w:val="en-US" w:eastAsia="zh-CN"/>
                <w14:textFill>
                  <w14:solidFill>
                    <w14:schemeClr w14:val="tx1"/>
                  </w14:solidFill>
                </w14:textFill>
              </w:rPr>
              <w:t xml:space="preserve"> t/a</w:t>
            </w:r>
          </w:p>
        </w:tc>
        <w:tc>
          <w:tcPr>
            <w:tcW w:w="538" w:type="pct"/>
            <w:noWrap w:val="0"/>
            <w:vAlign w:val="center"/>
          </w:tcPr>
          <w:p w14:paraId="5D489A50">
            <w:pPr>
              <w:pStyle w:val="26"/>
              <w:bidi w:val="0"/>
              <w:jc w:val="center"/>
              <w:rPr>
                <w:color w:val="000000" w:themeColor="text1"/>
                <w:highlight w:val="none"/>
                <w:lang w:val="en-US" w:eastAsia="zh-CN"/>
                <w14:textFill>
                  <w14:solidFill>
                    <w14:schemeClr w14:val="tx1"/>
                  </w14:solidFill>
                </w14:textFill>
              </w:rPr>
            </w:pPr>
          </w:p>
        </w:tc>
        <w:tc>
          <w:tcPr>
            <w:tcW w:w="609" w:type="pct"/>
            <w:noWrap w:val="0"/>
            <w:vAlign w:val="center"/>
          </w:tcPr>
          <w:p w14:paraId="090D516C">
            <w:pPr>
              <w:pStyle w:val="26"/>
              <w:bidi w:val="0"/>
              <w:ind w:firstLine="0" w:firstLineChars="0"/>
              <w:jc w:val="center"/>
              <w:rPr>
                <w:rFonts w:hint="default"/>
                <w:color w:val="000000" w:themeColor="text1"/>
                <w:sz w:val="21"/>
                <w:szCs w:val="22"/>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0.0745</w:t>
            </w:r>
            <w:r>
              <w:rPr>
                <w:rFonts w:hint="eastAsia"/>
                <w:color w:val="000000" w:themeColor="text1"/>
                <w:highlight w:val="none"/>
                <w:lang w:val="en-US" w:eastAsia="zh-CN"/>
                <w14:textFill>
                  <w14:solidFill>
                    <w14:schemeClr w14:val="tx1"/>
                  </w14:solidFill>
                </w14:textFill>
              </w:rPr>
              <w:t xml:space="preserve"> t/a</w:t>
            </w:r>
          </w:p>
        </w:tc>
        <w:tc>
          <w:tcPr>
            <w:tcW w:w="565" w:type="pct"/>
            <w:noWrap w:val="0"/>
            <w:vAlign w:val="center"/>
          </w:tcPr>
          <w:p w14:paraId="10689941">
            <w:pPr>
              <w:pStyle w:val="26"/>
              <w:bidi w:val="0"/>
              <w:ind w:firstLine="0" w:firstLineChars="0"/>
              <w:jc w:val="center"/>
              <w:rPr>
                <w:rFonts w:hint="default"/>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0.0745</w:t>
            </w:r>
            <w:r>
              <w:rPr>
                <w:rFonts w:hint="eastAsia"/>
                <w:color w:val="000000" w:themeColor="text1"/>
                <w:highlight w:val="none"/>
                <w:lang w:val="en-US" w:eastAsia="zh-CN"/>
                <w14:textFill>
                  <w14:solidFill>
                    <w14:schemeClr w14:val="tx1"/>
                  </w14:solidFill>
                </w14:textFill>
              </w:rPr>
              <w:t xml:space="preserve"> t/a</w:t>
            </w:r>
          </w:p>
        </w:tc>
      </w:tr>
      <w:tr w14:paraId="16CA8D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 w:type="pct"/>
            <w:vMerge w:val="continue"/>
            <w:noWrap w:val="0"/>
            <w:vAlign w:val="center"/>
          </w:tcPr>
          <w:p w14:paraId="3C34F887">
            <w:pPr>
              <w:pStyle w:val="26"/>
              <w:rPr>
                <w:rFonts w:hint="eastAsia"/>
                <w:color w:val="000000" w:themeColor="text1"/>
                <w:highlight w:val="none"/>
                <w:lang w:val="en-US" w:eastAsia="zh-CN"/>
                <w14:textFill>
                  <w14:solidFill>
                    <w14:schemeClr w14:val="tx1"/>
                  </w14:solidFill>
                </w14:textFill>
              </w:rPr>
            </w:pPr>
          </w:p>
        </w:tc>
        <w:tc>
          <w:tcPr>
            <w:tcW w:w="555" w:type="pct"/>
            <w:noWrap w:val="0"/>
            <w:vAlign w:val="center"/>
          </w:tcPr>
          <w:p w14:paraId="047674CD">
            <w:pPr>
              <w:pStyle w:val="26"/>
              <w:bidi w:val="0"/>
              <w:rPr>
                <w:rFonts w:hint="eastAsia"/>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SS</w:t>
            </w:r>
          </w:p>
        </w:tc>
        <w:tc>
          <w:tcPr>
            <w:tcW w:w="656" w:type="pct"/>
            <w:noWrap w:val="0"/>
            <w:vAlign w:val="center"/>
          </w:tcPr>
          <w:p w14:paraId="5B72804E">
            <w:pPr>
              <w:pStyle w:val="26"/>
              <w:bidi w:val="0"/>
              <w:jc w:val="center"/>
              <w:rPr>
                <w:color w:val="000000" w:themeColor="text1"/>
                <w:highlight w:val="none"/>
                <w:lang w:val="en-US" w:eastAsia="zh-CN"/>
                <w14:textFill>
                  <w14:solidFill>
                    <w14:schemeClr w14:val="tx1"/>
                  </w14:solidFill>
                </w14:textFill>
              </w:rPr>
            </w:pPr>
          </w:p>
        </w:tc>
        <w:tc>
          <w:tcPr>
            <w:tcW w:w="451" w:type="pct"/>
            <w:noWrap w:val="0"/>
            <w:vAlign w:val="center"/>
          </w:tcPr>
          <w:p w14:paraId="31A835C9">
            <w:pPr>
              <w:pStyle w:val="26"/>
              <w:bidi w:val="0"/>
              <w:jc w:val="center"/>
              <w:rPr>
                <w:color w:val="000000" w:themeColor="text1"/>
                <w:highlight w:val="none"/>
                <w:lang w:val="en-US" w:eastAsia="zh-CN"/>
                <w14:textFill>
                  <w14:solidFill>
                    <w14:schemeClr w14:val="tx1"/>
                  </w14:solidFill>
                </w14:textFill>
              </w:rPr>
            </w:pPr>
          </w:p>
        </w:tc>
        <w:tc>
          <w:tcPr>
            <w:tcW w:w="607" w:type="pct"/>
            <w:noWrap w:val="0"/>
            <w:vAlign w:val="center"/>
          </w:tcPr>
          <w:p w14:paraId="1A433E6C">
            <w:pPr>
              <w:pStyle w:val="26"/>
              <w:bidi w:val="0"/>
              <w:jc w:val="center"/>
              <w:rPr>
                <w:color w:val="000000" w:themeColor="text1"/>
                <w:highlight w:val="none"/>
                <w:lang w:val="en-US" w:eastAsia="zh-CN"/>
                <w14:textFill>
                  <w14:solidFill>
                    <w14:schemeClr w14:val="tx1"/>
                  </w14:solidFill>
                </w14:textFill>
              </w:rPr>
            </w:pPr>
          </w:p>
        </w:tc>
        <w:tc>
          <w:tcPr>
            <w:tcW w:w="555" w:type="pct"/>
            <w:noWrap w:val="0"/>
            <w:vAlign w:val="center"/>
          </w:tcPr>
          <w:p w14:paraId="25E88843">
            <w:pPr>
              <w:pStyle w:val="26"/>
              <w:bidi w:val="0"/>
              <w:ind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0.0521</w:t>
            </w:r>
            <w:r>
              <w:rPr>
                <w:rFonts w:hint="eastAsia"/>
                <w:color w:val="000000" w:themeColor="text1"/>
                <w:highlight w:val="none"/>
                <w:lang w:val="en-US" w:eastAsia="zh-CN"/>
                <w14:textFill>
                  <w14:solidFill>
                    <w14:schemeClr w14:val="tx1"/>
                  </w14:solidFill>
                </w14:textFill>
              </w:rPr>
              <w:t xml:space="preserve"> t/a</w:t>
            </w:r>
          </w:p>
        </w:tc>
        <w:tc>
          <w:tcPr>
            <w:tcW w:w="538" w:type="pct"/>
            <w:noWrap w:val="0"/>
            <w:vAlign w:val="center"/>
          </w:tcPr>
          <w:p w14:paraId="025EFBE8">
            <w:pPr>
              <w:pStyle w:val="26"/>
              <w:bidi w:val="0"/>
              <w:jc w:val="center"/>
              <w:rPr>
                <w:color w:val="000000" w:themeColor="text1"/>
                <w:highlight w:val="none"/>
                <w:lang w:val="en-US" w:eastAsia="zh-CN"/>
                <w14:textFill>
                  <w14:solidFill>
                    <w14:schemeClr w14:val="tx1"/>
                  </w14:solidFill>
                </w14:textFill>
              </w:rPr>
            </w:pPr>
          </w:p>
        </w:tc>
        <w:tc>
          <w:tcPr>
            <w:tcW w:w="609" w:type="pct"/>
            <w:noWrap w:val="0"/>
            <w:vAlign w:val="center"/>
          </w:tcPr>
          <w:p w14:paraId="54617512">
            <w:pPr>
              <w:pStyle w:val="26"/>
              <w:bidi w:val="0"/>
              <w:ind w:firstLine="0" w:firstLineChars="0"/>
              <w:jc w:val="center"/>
              <w:rPr>
                <w:rFonts w:hint="default"/>
                <w:color w:val="000000" w:themeColor="text1"/>
                <w:sz w:val="21"/>
                <w:szCs w:val="22"/>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0.0521</w:t>
            </w:r>
            <w:r>
              <w:rPr>
                <w:rFonts w:hint="eastAsia"/>
                <w:color w:val="000000" w:themeColor="text1"/>
                <w:highlight w:val="none"/>
                <w:lang w:val="en-US" w:eastAsia="zh-CN"/>
                <w14:textFill>
                  <w14:solidFill>
                    <w14:schemeClr w14:val="tx1"/>
                  </w14:solidFill>
                </w14:textFill>
              </w:rPr>
              <w:t xml:space="preserve"> t/a</w:t>
            </w:r>
          </w:p>
        </w:tc>
        <w:tc>
          <w:tcPr>
            <w:tcW w:w="565" w:type="pct"/>
            <w:noWrap w:val="0"/>
            <w:vAlign w:val="center"/>
          </w:tcPr>
          <w:p w14:paraId="0BFCEA70">
            <w:pPr>
              <w:pStyle w:val="26"/>
              <w:bidi w:val="0"/>
              <w:ind w:firstLine="0" w:firstLineChars="0"/>
              <w:jc w:val="center"/>
              <w:rPr>
                <w:rFonts w:hint="eastAsia"/>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0.0521</w:t>
            </w:r>
            <w:r>
              <w:rPr>
                <w:rFonts w:hint="eastAsia"/>
                <w:color w:val="000000" w:themeColor="text1"/>
                <w:highlight w:val="none"/>
                <w:lang w:val="en-US" w:eastAsia="zh-CN"/>
                <w14:textFill>
                  <w14:solidFill>
                    <w14:schemeClr w14:val="tx1"/>
                  </w14:solidFill>
                </w14:textFill>
              </w:rPr>
              <w:t xml:space="preserve"> t/a</w:t>
            </w:r>
          </w:p>
        </w:tc>
      </w:tr>
      <w:tr w14:paraId="317F00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 w:type="pct"/>
            <w:vMerge w:val="continue"/>
            <w:noWrap w:val="0"/>
            <w:vAlign w:val="center"/>
          </w:tcPr>
          <w:p w14:paraId="633CD378">
            <w:pPr>
              <w:pStyle w:val="26"/>
              <w:rPr>
                <w:rFonts w:hint="eastAsia"/>
                <w:color w:val="000000" w:themeColor="text1"/>
                <w:highlight w:val="none"/>
                <w:lang w:val="en-US" w:eastAsia="zh-CN"/>
                <w14:textFill>
                  <w14:solidFill>
                    <w14:schemeClr w14:val="tx1"/>
                  </w14:solidFill>
                </w14:textFill>
              </w:rPr>
            </w:pPr>
          </w:p>
        </w:tc>
        <w:tc>
          <w:tcPr>
            <w:tcW w:w="555" w:type="pct"/>
            <w:noWrap w:val="0"/>
            <w:vAlign w:val="center"/>
          </w:tcPr>
          <w:p w14:paraId="2DB99AD9">
            <w:pPr>
              <w:pStyle w:val="26"/>
              <w:bidi w:val="0"/>
              <w:rPr>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氨氮</w:t>
            </w:r>
          </w:p>
        </w:tc>
        <w:tc>
          <w:tcPr>
            <w:tcW w:w="656" w:type="pct"/>
            <w:noWrap w:val="0"/>
            <w:vAlign w:val="center"/>
          </w:tcPr>
          <w:p w14:paraId="5B17E29D">
            <w:pPr>
              <w:pStyle w:val="26"/>
              <w:bidi w:val="0"/>
              <w:jc w:val="center"/>
              <w:rPr>
                <w:color w:val="000000" w:themeColor="text1"/>
                <w:highlight w:val="none"/>
                <w:lang w:val="en-US" w:eastAsia="zh-CN"/>
                <w14:textFill>
                  <w14:solidFill>
                    <w14:schemeClr w14:val="tx1"/>
                  </w14:solidFill>
                </w14:textFill>
              </w:rPr>
            </w:pPr>
          </w:p>
        </w:tc>
        <w:tc>
          <w:tcPr>
            <w:tcW w:w="451" w:type="pct"/>
            <w:noWrap w:val="0"/>
            <w:vAlign w:val="center"/>
          </w:tcPr>
          <w:p w14:paraId="6D051F37">
            <w:pPr>
              <w:pStyle w:val="26"/>
              <w:bidi w:val="0"/>
              <w:jc w:val="center"/>
              <w:rPr>
                <w:color w:val="000000" w:themeColor="text1"/>
                <w:highlight w:val="none"/>
                <w:lang w:val="en-US" w:eastAsia="zh-CN"/>
                <w14:textFill>
                  <w14:solidFill>
                    <w14:schemeClr w14:val="tx1"/>
                  </w14:solidFill>
                </w14:textFill>
              </w:rPr>
            </w:pPr>
          </w:p>
        </w:tc>
        <w:tc>
          <w:tcPr>
            <w:tcW w:w="607" w:type="pct"/>
            <w:noWrap w:val="0"/>
            <w:vAlign w:val="center"/>
          </w:tcPr>
          <w:p w14:paraId="0DC1FF26">
            <w:pPr>
              <w:pStyle w:val="26"/>
              <w:bidi w:val="0"/>
              <w:jc w:val="center"/>
              <w:rPr>
                <w:color w:val="000000" w:themeColor="text1"/>
                <w:highlight w:val="none"/>
                <w:lang w:val="en-US" w:eastAsia="zh-CN"/>
                <w14:textFill>
                  <w14:solidFill>
                    <w14:schemeClr w14:val="tx1"/>
                  </w14:solidFill>
                </w14:textFill>
              </w:rPr>
            </w:pPr>
          </w:p>
        </w:tc>
        <w:tc>
          <w:tcPr>
            <w:tcW w:w="555" w:type="pct"/>
            <w:noWrap w:val="0"/>
            <w:vAlign w:val="center"/>
          </w:tcPr>
          <w:p w14:paraId="6641BE56">
            <w:pPr>
              <w:pStyle w:val="26"/>
              <w:bidi w:val="0"/>
              <w:ind w:firstLine="0" w:firstLineChars="0"/>
              <w:jc w:val="center"/>
              <w:rPr>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0.0126</w:t>
            </w:r>
            <w:r>
              <w:rPr>
                <w:rFonts w:hint="eastAsia"/>
                <w:color w:val="000000" w:themeColor="text1"/>
                <w:highlight w:val="none"/>
                <w:lang w:val="en-US" w:eastAsia="zh-CN"/>
                <w14:textFill>
                  <w14:solidFill>
                    <w14:schemeClr w14:val="tx1"/>
                  </w14:solidFill>
                </w14:textFill>
              </w:rPr>
              <w:t xml:space="preserve"> t/a</w:t>
            </w:r>
          </w:p>
        </w:tc>
        <w:tc>
          <w:tcPr>
            <w:tcW w:w="538" w:type="pct"/>
            <w:noWrap w:val="0"/>
            <w:vAlign w:val="center"/>
          </w:tcPr>
          <w:p w14:paraId="62BDD8A6">
            <w:pPr>
              <w:pStyle w:val="26"/>
              <w:bidi w:val="0"/>
              <w:jc w:val="center"/>
              <w:rPr>
                <w:color w:val="000000" w:themeColor="text1"/>
                <w:highlight w:val="none"/>
                <w:lang w:val="en-US" w:eastAsia="zh-CN"/>
                <w14:textFill>
                  <w14:solidFill>
                    <w14:schemeClr w14:val="tx1"/>
                  </w14:solidFill>
                </w14:textFill>
              </w:rPr>
            </w:pPr>
          </w:p>
        </w:tc>
        <w:tc>
          <w:tcPr>
            <w:tcW w:w="609" w:type="pct"/>
            <w:noWrap w:val="0"/>
            <w:vAlign w:val="center"/>
          </w:tcPr>
          <w:p w14:paraId="7D872A35">
            <w:pPr>
              <w:pStyle w:val="26"/>
              <w:bidi w:val="0"/>
              <w:ind w:firstLine="0" w:firstLineChars="0"/>
              <w:jc w:val="center"/>
              <w:rPr>
                <w:color w:val="000000" w:themeColor="text1"/>
                <w:sz w:val="21"/>
                <w:szCs w:val="22"/>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0.0126</w:t>
            </w:r>
            <w:r>
              <w:rPr>
                <w:rFonts w:hint="eastAsia"/>
                <w:color w:val="000000" w:themeColor="text1"/>
                <w:highlight w:val="none"/>
                <w:lang w:val="en-US" w:eastAsia="zh-CN"/>
                <w14:textFill>
                  <w14:solidFill>
                    <w14:schemeClr w14:val="tx1"/>
                  </w14:solidFill>
                </w14:textFill>
              </w:rPr>
              <w:t xml:space="preserve"> t/a</w:t>
            </w:r>
          </w:p>
        </w:tc>
        <w:tc>
          <w:tcPr>
            <w:tcW w:w="565" w:type="pct"/>
            <w:noWrap w:val="0"/>
            <w:vAlign w:val="center"/>
          </w:tcPr>
          <w:p w14:paraId="16FF8497">
            <w:pPr>
              <w:pStyle w:val="26"/>
              <w:bidi w:val="0"/>
              <w:ind w:firstLine="0" w:firstLineChars="0"/>
              <w:jc w:val="center"/>
              <w:rPr>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0.0126</w:t>
            </w:r>
            <w:r>
              <w:rPr>
                <w:rFonts w:hint="eastAsia"/>
                <w:color w:val="000000" w:themeColor="text1"/>
                <w:highlight w:val="none"/>
                <w:lang w:val="en-US" w:eastAsia="zh-CN"/>
                <w14:textFill>
                  <w14:solidFill>
                    <w14:schemeClr w14:val="tx1"/>
                  </w14:solidFill>
                </w14:textFill>
              </w:rPr>
              <w:t xml:space="preserve"> t/a</w:t>
            </w:r>
          </w:p>
        </w:tc>
      </w:tr>
      <w:tr w14:paraId="219EF0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 w:type="pct"/>
            <w:vMerge w:val="restart"/>
            <w:noWrap w:val="0"/>
            <w:vAlign w:val="center"/>
          </w:tcPr>
          <w:p w14:paraId="321A49BC">
            <w:pPr>
              <w:pStyle w:val="26"/>
              <w:rPr>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一般工业</w:t>
            </w:r>
          </w:p>
          <w:p w14:paraId="6F8C1392">
            <w:pPr>
              <w:pStyle w:val="26"/>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固体废物</w:t>
            </w:r>
          </w:p>
        </w:tc>
        <w:tc>
          <w:tcPr>
            <w:tcW w:w="555" w:type="pct"/>
            <w:noWrap w:val="0"/>
            <w:vAlign w:val="center"/>
          </w:tcPr>
          <w:p w14:paraId="31784092">
            <w:pPr>
              <w:pStyle w:val="26"/>
              <w:bidi w:val="0"/>
              <w:ind w:firstLine="0" w:firstLineChars="0"/>
              <w:jc w:val="center"/>
              <w:rPr>
                <w:rFonts w:hint="eastAsia" w:ascii="Times New Roman" w:hAnsi="Times New Roman" w:cs="Times New Roman"/>
                <w:color w:val="000000" w:themeColor="text1"/>
                <w:sz w:val="21"/>
                <w:szCs w:val="22"/>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碳渣</w:t>
            </w:r>
          </w:p>
        </w:tc>
        <w:tc>
          <w:tcPr>
            <w:tcW w:w="656" w:type="pct"/>
            <w:noWrap w:val="0"/>
            <w:vAlign w:val="center"/>
          </w:tcPr>
          <w:p w14:paraId="40B283EA">
            <w:pPr>
              <w:pStyle w:val="26"/>
              <w:bidi w:val="0"/>
              <w:jc w:val="center"/>
              <w:rPr>
                <w:color w:val="000000" w:themeColor="text1"/>
                <w:highlight w:val="none"/>
                <w:lang w:val="en-US" w:eastAsia="zh-CN"/>
                <w14:textFill>
                  <w14:solidFill>
                    <w14:schemeClr w14:val="tx1"/>
                  </w14:solidFill>
                </w14:textFill>
              </w:rPr>
            </w:pPr>
          </w:p>
        </w:tc>
        <w:tc>
          <w:tcPr>
            <w:tcW w:w="451" w:type="pct"/>
            <w:noWrap w:val="0"/>
            <w:vAlign w:val="center"/>
          </w:tcPr>
          <w:p w14:paraId="28A8F512">
            <w:pPr>
              <w:pStyle w:val="26"/>
              <w:bidi w:val="0"/>
              <w:jc w:val="center"/>
              <w:rPr>
                <w:color w:val="000000" w:themeColor="text1"/>
                <w:highlight w:val="none"/>
                <w:lang w:val="en-US" w:eastAsia="zh-CN"/>
                <w14:textFill>
                  <w14:solidFill>
                    <w14:schemeClr w14:val="tx1"/>
                  </w14:solidFill>
                </w14:textFill>
              </w:rPr>
            </w:pPr>
          </w:p>
        </w:tc>
        <w:tc>
          <w:tcPr>
            <w:tcW w:w="607" w:type="pct"/>
            <w:noWrap w:val="0"/>
            <w:vAlign w:val="center"/>
          </w:tcPr>
          <w:p w14:paraId="60C004C9">
            <w:pPr>
              <w:pStyle w:val="26"/>
              <w:bidi w:val="0"/>
              <w:jc w:val="center"/>
              <w:rPr>
                <w:color w:val="000000" w:themeColor="text1"/>
                <w:highlight w:val="none"/>
                <w:lang w:val="en-US" w:eastAsia="zh-CN"/>
                <w14:textFill>
                  <w14:solidFill>
                    <w14:schemeClr w14:val="tx1"/>
                  </w14:solidFill>
                </w14:textFill>
              </w:rPr>
            </w:pPr>
          </w:p>
        </w:tc>
        <w:tc>
          <w:tcPr>
            <w:tcW w:w="555" w:type="pct"/>
            <w:noWrap w:val="0"/>
            <w:vAlign w:val="center"/>
          </w:tcPr>
          <w:p w14:paraId="448E126E">
            <w:pPr>
              <w:pStyle w:val="26"/>
              <w:bidi w:val="0"/>
              <w:ind w:firstLine="0" w:firstLineChars="0"/>
              <w:jc w:val="center"/>
              <w:rPr>
                <w:rFonts w:hint="default"/>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395.00 t/a</w:t>
            </w:r>
          </w:p>
        </w:tc>
        <w:tc>
          <w:tcPr>
            <w:tcW w:w="538" w:type="pct"/>
            <w:noWrap w:val="0"/>
            <w:vAlign w:val="center"/>
          </w:tcPr>
          <w:p w14:paraId="03F9ADC4">
            <w:pPr>
              <w:pStyle w:val="26"/>
              <w:bidi w:val="0"/>
              <w:jc w:val="center"/>
              <w:rPr>
                <w:color w:val="000000" w:themeColor="text1"/>
                <w:highlight w:val="none"/>
                <w:lang w:val="en-US" w:eastAsia="zh-CN"/>
                <w14:textFill>
                  <w14:solidFill>
                    <w14:schemeClr w14:val="tx1"/>
                  </w14:solidFill>
                </w14:textFill>
              </w:rPr>
            </w:pPr>
          </w:p>
        </w:tc>
        <w:tc>
          <w:tcPr>
            <w:tcW w:w="609" w:type="pct"/>
            <w:noWrap w:val="0"/>
            <w:vAlign w:val="center"/>
          </w:tcPr>
          <w:p w14:paraId="7ECC8A20">
            <w:pPr>
              <w:pStyle w:val="26"/>
              <w:bidi w:val="0"/>
              <w:ind w:firstLine="0" w:firstLineChars="0"/>
              <w:jc w:val="center"/>
              <w:rPr>
                <w:rFonts w:hint="default"/>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395.00 t/a</w:t>
            </w:r>
          </w:p>
        </w:tc>
        <w:tc>
          <w:tcPr>
            <w:tcW w:w="565" w:type="pct"/>
            <w:noWrap w:val="0"/>
            <w:vAlign w:val="center"/>
          </w:tcPr>
          <w:p w14:paraId="5ABAE15B">
            <w:pPr>
              <w:pStyle w:val="26"/>
              <w:bidi w:val="0"/>
              <w:ind w:firstLine="0" w:firstLineChars="0"/>
              <w:jc w:val="center"/>
              <w:rPr>
                <w:rFonts w:hint="default"/>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+395.00 t/a</w:t>
            </w:r>
          </w:p>
        </w:tc>
      </w:tr>
      <w:tr w14:paraId="0C8AE4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 w:type="pct"/>
            <w:vMerge w:val="continue"/>
            <w:noWrap w:val="0"/>
            <w:vAlign w:val="center"/>
          </w:tcPr>
          <w:p w14:paraId="362E6269">
            <w:pPr>
              <w:pStyle w:val="26"/>
              <w:rPr>
                <w:color w:val="000000" w:themeColor="text1"/>
                <w:highlight w:val="none"/>
                <w:lang w:val="en-US" w:eastAsia="zh-CN"/>
                <w14:textFill>
                  <w14:solidFill>
                    <w14:schemeClr w14:val="tx1"/>
                  </w14:solidFill>
                </w14:textFill>
              </w:rPr>
            </w:pPr>
          </w:p>
        </w:tc>
        <w:tc>
          <w:tcPr>
            <w:tcW w:w="555" w:type="pct"/>
            <w:noWrap w:val="0"/>
            <w:vAlign w:val="center"/>
          </w:tcPr>
          <w:p w14:paraId="5431D146">
            <w:pPr>
              <w:pStyle w:val="26"/>
              <w:bidi w:val="0"/>
              <w:ind w:firstLine="0" w:firstLineChars="0"/>
              <w:jc w:val="center"/>
              <w:rPr>
                <w:rFonts w:hint="eastAsia" w:ascii="Times New Roman" w:hAnsi="Times New Roman" w:cs="Times New Roman"/>
                <w:color w:val="000000" w:themeColor="text1"/>
                <w:sz w:val="21"/>
                <w:szCs w:val="22"/>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不合格品</w:t>
            </w:r>
          </w:p>
        </w:tc>
        <w:tc>
          <w:tcPr>
            <w:tcW w:w="656" w:type="pct"/>
            <w:noWrap w:val="0"/>
            <w:vAlign w:val="center"/>
          </w:tcPr>
          <w:p w14:paraId="72E60174">
            <w:pPr>
              <w:pStyle w:val="26"/>
              <w:bidi w:val="0"/>
              <w:jc w:val="center"/>
              <w:rPr>
                <w:color w:val="000000" w:themeColor="text1"/>
                <w:highlight w:val="none"/>
                <w:lang w:val="en-US" w:eastAsia="zh-CN"/>
                <w14:textFill>
                  <w14:solidFill>
                    <w14:schemeClr w14:val="tx1"/>
                  </w14:solidFill>
                </w14:textFill>
              </w:rPr>
            </w:pPr>
          </w:p>
        </w:tc>
        <w:tc>
          <w:tcPr>
            <w:tcW w:w="451" w:type="pct"/>
            <w:noWrap w:val="0"/>
            <w:vAlign w:val="center"/>
          </w:tcPr>
          <w:p w14:paraId="1A12E103">
            <w:pPr>
              <w:pStyle w:val="26"/>
              <w:bidi w:val="0"/>
              <w:jc w:val="center"/>
              <w:rPr>
                <w:color w:val="000000" w:themeColor="text1"/>
                <w:highlight w:val="none"/>
                <w:lang w:val="en-US" w:eastAsia="zh-CN"/>
                <w14:textFill>
                  <w14:solidFill>
                    <w14:schemeClr w14:val="tx1"/>
                  </w14:solidFill>
                </w14:textFill>
              </w:rPr>
            </w:pPr>
          </w:p>
        </w:tc>
        <w:tc>
          <w:tcPr>
            <w:tcW w:w="607" w:type="pct"/>
            <w:noWrap w:val="0"/>
            <w:vAlign w:val="center"/>
          </w:tcPr>
          <w:p w14:paraId="44C4C219">
            <w:pPr>
              <w:pStyle w:val="26"/>
              <w:bidi w:val="0"/>
              <w:jc w:val="center"/>
              <w:rPr>
                <w:color w:val="000000" w:themeColor="text1"/>
                <w:highlight w:val="none"/>
                <w:lang w:val="en-US" w:eastAsia="zh-CN"/>
                <w14:textFill>
                  <w14:solidFill>
                    <w14:schemeClr w14:val="tx1"/>
                  </w14:solidFill>
                </w14:textFill>
              </w:rPr>
            </w:pPr>
          </w:p>
        </w:tc>
        <w:tc>
          <w:tcPr>
            <w:tcW w:w="555" w:type="pct"/>
            <w:noWrap w:val="0"/>
            <w:vAlign w:val="center"/>
          </w:tcPr>
          <w:p w14:paraId="12CA3203">
            <w:pPr>
              <w:pStyle w:val="26"/>
              <w:bidi w:val="0"/>
              <w:ind w:firstLine="0" w:firstLineChars="0"/>
              <w:jc w:val="center"/>
              <w:rPr>
                <w:rFonts w:hint="default"/>
                <w:color w:val="000000" w:themeColor="text1"/>
                <w:sz w:val="21"/>
                <w:szCs w:val="22"/>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15.00</w:t>
            </w:r>
            <w:r>
              <w:rPr>
                <w:rFonts w:hint="eastAsia"/>
                <w:color w:val="000000" w:themeColor="text1"/>
                <w:highlight w:val="none"/>
                <w:lang w:val="en-US" w:eastAsia="zh-CN"/>
                <w14:textFill>
                  <w14:solidFill>
                    <w14:schemeClr w14:val="tx1"/>
                  </w14:solidFill>
                </w14:textFill>
              </w:rPr>
              <w:t xml:space="preserve"> t/a</w:t>
            </w:r>
          </w:p>
        </w:tc>
        <w:tc>
          <w:tcPr>
            <w:tcW w:w="538" w:type="pct"/>
            <w:noWrap w:val="0"/>
            <w:vAlign w:val="center"/>
          </w:tcPr>
          <w:p w14:paraId="5689C236">
            <w:pPr>
              <w:pStyle w:val="26"/>
              <w:bidi w:val="0"/>
              <w:jc w:val="center"/>
              <w:rPr>
                <w:color w:val="000000" w:themeColor="text1"/>
                <w:highlight w:val="none"/>
                <w:lang w:val="en-US" w:eastAsia="zh-CN"/>
                <w14:textFill>
                  <w14:solidFill>
                    <w14:schemeClr w14:val="tx1"/>
                  </w14:solidFill>
                </w14:textFill>
              </w:rPr>
            </w:pPr>
          </w:p>
        </w:tc>
        <w:tc>
          <w:tcPr>
            <w:tcW w:w="609" w:type="pct"/>
            <w:noWrap w:val="0"/>
            <w:vAlign w:val="center"/>
          </w:tcPr>
          <w:p w14:paraId="7DBE3E09">
            <w:pPr>
              <w:pStyle w:val="26"/>
              <w:bidi w:val="0"/>
              <w:ind w:firstLine="0" w:firstLineChars="0"/>
              <w:jc w:val="center"/>
              <w:rPr>
                <w:rFonts w:hint="default"/>
                <w:color w:val="000000" w:themeColor="text1"/>
                <w:sz w:val="21"/>
                <w:szCs w:val="22"/>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15.00</w:t>
            </w:r>
            <w:r>
              <w:rPr>
                <w:rFonts w:hint="eastAsia"/>
                <w:color w:val="000000" w:themeColor="text1"/>
                <w:highlight w:val="none"/>
                <w:lang w:val="en-US" w:eastAsia="zh-CN"/>
                <w14:textFill>
                  <w14:solidFill>
                    <w14:schemeClr w14:val="tx1"/>
                  </w14:solidFill>
                </w14:textFill>
              </w:rPr>
              <w:t xml:space="preserve"> t/a</w:t>
            </w:r>
          </w:p>
        </w:tc>
        <w:tc>
          <w:tcPr>
            <w:tcW w:w="565" w:type="pct"/>
            <w:noWrap w:val="0"/>
            <w:vAlign w:val="center"/>
          </w:tcPr>
          <w:p w14:paraId="2A589A26">
            <w:pPr>
              <w:pStyle w:val="26"/>
              <w:bidi w:val="0"/>
              <w:ind w:firstLine="0" w:firstLineChars="0"/>
              <w:jc w:val="center"/>
              <w:rPr>
                <w:rFonts w:hint="default"/>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15.00</w:t>
            </w:r>
            <w:r>
              <w:rPr>
                <w:rFonts w:hint="eastAsia"/>
                <w:color w:val="000000" w:themeColor="text1"/>
                <w:highlight w:val="none"/>
                <w:lang w:val="en-US" w:eastAsia="zh-CN"/>
                <w14:textFill>
                  <w14:solidFill>
                    <w14:schemeClr w14:val="tx1"/>
                  </w14:solidFill>
                </w14:textFill>
              </w:rPr>
              <w:t xml:space="preserve"> t/a</w:t>
            </w:r>
          </w:p>
        </w:tc>
      </w:tr>
      <w:tr w14:paraId="4024F4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 w:type="pct"/>
            <w:vMerge w:val="continue"/>
            <w:noWrap w:val="0"/>
            <w:vAlign w:val="center"/>
          </w:tcPr>
          <w:p w14:paraId="3A46695D">
            <w:pPr>
              <w:pStyle w:val="26"/>
              <w:rPr>
                <w:color w:val="000000" w:themeColor="text1"/>
                <w:highlight w:val="none"/>
                <w:lang w:val="en-US" w:eastAsia="zh-CN"/>
                <w14:textFill>
                  <w14:solidFill>
                    <w14:schemeClr w14:val="tx1"/>
                  </w14:solidFill>
                </w14:textFill>
              </w:rPr>
            </w:pPr>
          </w:p>
        </w:tc>
        <w:tc>
          <w:tcPr>
            <w:tcW w:w="555" w:type="pct"/>
            <w:noWrap w:val="0"/>
            <w:vAlign w:val="center"/>
          </w:tcPr>
          <w:p w14:paraId="040E8823">
            <w:pPr>
              <w:pStyle w:val="26"/>
              <w:bidi w:val="0"/>
              <w:ind w:firstLine="0" w:firstLineChars="0"/>
              <w:jc w:val="center"/>
              <w:rPr>
                <w:rFonts w:hint="eastAsia" w:ascii="Times New Roman" w:hAnsi="Times New Roman" w:cs="Times New Roman"/>
                <w:color w:val="000000" w:themeColor="text1"/>
                <w:sz w:val="21"/>
                <w:szCs w:val="22"/>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原辅材料废包装袋</w:t>
            </w:r>
          </w:p>
        </w:tc>
        <w:tc>
          <w:tcPr>
            <w:tcW w:w="656" w:type="pct"/>
            <w:noWrap w:val="0"/>
            <w:vAlign w:val="center"/>
          </w:tcPr>
          <w:p w14:paraId="01CC51A8">
            <w:pPr>
              <w:pStyle w:val="26"/>
              <w:bidi w:val="0"/>
              <w:jc w:val="center"/>
              <w:rPr>
                <w:rFonts w:hint="default"/>
                <w:color w:val="000000" w:themeColor="text1"/>
                <w:highlight w:val="none"/>
                <w:lang w:val="en-US" w:eastAsia="zh-CN"/>
                <w14:textFill>
                  <w14:solidFill>
                    <w14:schemeClr w14:val="tx1"/>
                  </w14:solidFill>
                </w14:textFill>
              </w:rPr>
            </w:pPr>
          </w:p>
        </w:tc>
        <w:tc>
          <w:tcPr>
            <w:tcW w:w="451" w:type="pct"/>
            <w:noWrap w:val="0"/>
            <w:vAlign w:val="center"/>
          </w:tcPr>
          <w:p w14:paraId="0D3473FC">
            <w:pPr>
              <w:pStyle w:val="26"/>
              <w:bidi w:val="0"/>
              <w:jc w:val="center"/>
              <w:rPr>
                <w:color w:val="000000" w:themeColor="text1"/>
                <w:highlight w:val="none"/>
                <w:lang w:val="en-US" w:eastAsia="zh-CN"/>
                <w14:textFill>
                  <w14:solidFill>
                    <w14:schemeClr w14:val="tx1"/>
                  </w14:solidFill>
                </w14:textFill>
              </w:rPr>
            </w:pPr>
          </w:p>
        </w:tc>
        <w:tc>
          <w:tcPr>
            <w:tcW w:w="607" w:type="pct"/>
            <w:noWrap w:val="0"/>
            <w:vAlign w:val="center"/>
          </w:tcPr>
          <w:p w14:paraId="0F17EA6D">
            <w:pPr>
              <w:pStyle w:val="26"/>
              <w:bidi w:val="0"/>
              <w:jc w:val="center"/>
              <w:rPr>
                <w:color w:val="000000" w:themeColor="text1"/>
                <w:highlight w:val="none"/>
                <w:lang w:val="en-US" w:eastAsia="zh-CN"/>
                <w14:textFill>
                  <w14:solidFill>
                    <w14:schemeClr w14:val="tx1"/>
                  </w14:solidFill>
                </w14:textFill>
              </w:rPr>
            </w:pPr>
          </w:p>
        </w:tc>
        <w:tc>
          <w:tcPr>
            <w:tcW w:w="555" w:type="pct"/>
            <w:noWrap w:val="0"/>
            <w:vAlign w:val="center"/>
          </w:tcPr>
          <w:p w14:paraId="2BB58ED6">
            <w:pPr>
              <w:pStyle w:val="26"/>
              <w:bidi w:val="0"/>
              <w:ind w:firstLine="0" w:firstLineChars="0"/>
              <w:jc w:val="center"/>
              <w:rPr>
                <w:rFonts w:hint="default"/>
                <w:color w:val="000000" w:themeColor="text1"/>
                <w:sz w:val="21"/>
                <w:szCs w:val="22"/>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1.00</w:t>
            </w:r>
            <w:r>
              <w:rPr>
                <w:rFonts w:hint="eastAsia"/>
                <w:color w:val="000000" w:themeColor="text1"/>
                <w:highlight w:val="none"/>
                <w:lang w:val="en-US" w:eastAsia="zh-CN"/>
                <w14:textFill>
                  <w14:solidFill>
                    <w14:schemeClr w14:val="tx1"/>
                  </w14:solidFill>
                </w14:textFill>
              </w:rPr>
              <w:t xml:space="preserve"> t/a</w:t>
            </w:r>
          </w:p>
        </w:tc>
        <w:tc>
          <w:tcPr>
            <w:tcW w:w="538" w:type="pct"/>
            <w:noWrap w:val="0"/>
            <w:vAlign w:val="center"/>
          </w:tcPr>
          <w:p w14:paraId="502668B4">
            <w:pPr>
              <w:pStyle w:val="26"/>
              <w:bidi w:val="0"/>
              <w:jc w:val="center"/>
              <w:rPr>
                <w:rFonts w:hint="default"/>
                <w:color w:val="000000" w:themeColor="text1"/>
                <w:highlight w:val="none"/>
                <w:lang w:val="en-US" w:eastAsia="zh-CN"/>
                <w14:textFill>
                  <w14:solidFill>
                    <w14:schemeClr w14:val="tx1"/>
                  </w14:solidFill>
                </w14:textFill>
              </w:rPr>
            </w:pPr>
          </w:p>
        </w:tc>
        <w:tc>
          <w:tcPr>
            <w:tcW w:w="609" w:type="pct"/>
            <w:noWrap w:val="0"/>
            <w:vAlign w:val="center"/>
          </w:tcPr>
          <w:p w14:paraId="6256E53F">
            <w:pPr>
              <w:pStyle w:val="26"/>
              <w:bidi w:val="0"/>
              <w:ind w:firstLine="0" w:firstLineChars="0"/>
              <w:jc w:val="center"/>
              <w:rPr>
                <w:rFonts w:hint="default"/>
                <w:color w:val="000000" w:themeColor="text1"/>
                <w:sz w:val="21"/>
                <w:szCs w:val="22"/>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1.00</w:t>
            </w:r>
            <w:r>
              <w:rPr>
                <w:rFonts w:hint="eastAsia"/>
                <w:color w:val="000000" w:themeColor="text1"/>
                <w:highlight w:val="none"/>
                <w:lang w:val="en-US" w:eastAsia="zh-CN"/>
                <w14:textFill>
                  <w14:solidFill>
                    <w14:schemeClr w14:val="tx1"/>
                  </w14:solidFill>
                </w14:textFill>
              </w:rPr>
              <w:t xml:space="preserve"> t/a</w:t>
            </w:r>
          </w:p>
        </w:tc>
        <w:tc>
          <w:tcPr>
            <w:tcW w:w="565" w:type="pct"/>
            <w:noWrap w:val="0"/>
            <w:vAlign w:val="center"/>
          </w:tcPr>
          <w:p w14:paraId="37B2619C">
            <w:pPr>
              <w:pStyle w:val="26"/>
              <w:bidi w:val="0"/>
              <w:ind w:firstLine="0" w:firstLineChars="0"/>
              <w:jc w:val="center"/>
              <w:rPr>
                <w:rFonts w:hint="eastAsia"/>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1.00</w:t>
            </w:r>
            <w:r>
              <w:rPr>
                <w:rFonts w:hint="eastAsia"/>
                <w:color w:val="000000" w:themeColor="text1"/>
                <w:highlight w:val="none"/>
                <w:lang w:val="en-US" w:eastAsia="zh-CN"/>
                <w14:textFill>
                  <w14:solidFill>
                    <w14:schemeClr w14:val="tx1"/>
                  </w14:solidFill>
                </w14:textFill>
              </w:rPr>
              <w:t xml:space="preserve"> t/a</w:t>
            </w:r>
          </w:p>
        </w:tc>
      </w:tr>
      <w:tr w14:paraId="152C56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 w:type="pct"/>
            <w:vMerge w:val="continue"/>
            <w:noWrap w:val="0"/>
            <w:vAlign w:val="center"/>
          </w:tcPr>
          <w:p w14:paraId="4B22579D">
            <w:pPr>
              <w:pStyle w:val="26"/>
              <w:rPr>
                <w:color w:val="000000" w:themeColor="text1"/>
                <w:highlight w:val="none"/>
                <w:lang w:val="en-US" w:eastAsia="zh-CN"/>
                <w14:textFill>
                  <w14:solidFill>
                    <w14:schemeClr w14:val="tx1"/>
                  </w14:solidFill>
                </w14:textFill>
              </w:rPr>
            </w:pPr>
          </w:p>
        </w:tc>
        <w:tc>
          <w:tcPr>
            <w:tcW w:w="555" w:type="pct"/>
            <w:noWrap w:val="0"/>
            <w:vAlign w:val="center"/>
          </w:tcPr>
          <w:p w14:paraId="7A4F1B5F">
            <w:pPr>
              <w:pStyle w:val="26"/>
              <w:bidi w:val="0"/>
              <w:ind w:firstLine="0" w:firstLineChars="0"/>
              <w:jc w:val="center"/>
              <w:rPr>
                <w:rFonts w:hint="eastAsia" w:ascii="Times New Roman" w:hAnsi="Times New Roman" w:cs="Times New Roman"/>
                <w:color w:val="000000" w:themeColor="text1"/>
                <w:sz w:val="21"/>
                <w:szCs w:val="22"/>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截留粉尘</w:t>
            </w:r>
          </w:p>
        </w:tc>
        <w:tc>
          <w:tcPr>
            <w:tcW w:w="656" w:type="pct"/>
            <w:noWrap w:val="0"/>
            <w:vAlign w:val="center"/>
          </w:tcPr>
          <w:p w14:paraId="28FE5F0C">
            <w:pPr>
              <w:pStyle w:val="26"/>
              <w:bidi w:val="0"/>
              <w:jc w:val="center"/>
              <w:rPr>
                <w:rFonts w:hint="default"/>
                <w:color w:val="000000" w:themeColor="text1"/>
                <w:highlight w:val="none"/>
                <w:lang w:val="en-US" w:eastAsia="zh-CN"/>
                <w14:textFill>
                  <w14:solidFill>
                    <w14:schemeClr w14:val="tx1"/>
                  </w14:solidFill>
                </w14:textFill>
              </w:rPr>
            </w:pPr>
          </w:p>
        </w:tc>
        <w:tc>
          <w:tcPr>
            <w:tcW w:w="451" w:type="pct"/>
            <w:noWrap w:val="0"/>
            <w:vAlign w:val="center"/>
          </w:tcPr>
          <w:p w14:paraId="570F1ECC">
            <w:pPr>
              <w:pStyle w:val="26"/>
              <w:bidi w:val="0"/>
              <w:jc w:val="center"/>
              <w:rPr>
                <w:color w:val="000000" w:themeColor="text1"/>
                <w:highlight w:val="none"/>
                <w:lang w:val="en-US" w:eastAsia="zh-CN"/>
                <w14:textFill>
                  <w14:solidFill>
                    <w14:schemeClr w14:val="tx1"/>
                  </w14:solidFill>
                </w14:textFill>
              </w:rPr>
            </w:pPr>
          </w:p>
        </w:tc>
        <w:tc>
          <w:tcPr>
            <w:tcW w:w="607" w:type="pct"/>
            <w:noWrap w:val="0"/>
            <w:vAlign w:val="center"/>
          </w:tcPr>
          <w:p w14:paraId="7C3CC4D8">
            <w:pPr>
              <w:pStyle w:val="26"/>
              <w:bidi w:val="0"/>
              <w:jc w:val="center"/>
              <w:rPr>
                <w:color w:val="000000" w:themeColor="text1"/>
                <w:highlight w:val="none"/>
                <w:lang w:val="en-US" w:eastAsia="zh-CN"/>
                <w14:textFill>
                  <w14:solidFill>
                    <w14:schemeClr w14:val="tx1"/>
                  </w14:solidFill>
                </w14:textFill>
              </w:rPr>
            </w:pPr>
          </w:p>
        </w:tc>
        <w:tc>
          <w:tcPr>
            <w:tcW w:w="555" w:type="pct"/>
            <w:noWrap w:val="0"/>
            <w:vAlign w:val="center"/>
          </w:tcPr>
          <w:p w14:paraId="2B6D2E60">
            <w:pPr>
              <w:pStyle w:val="26"/>
              <w:bidi w:val="0"/>
              <w:ind w:firstLine="0" w:firstLineChars="0"/>
              <w:jc w:val="center"/>
              <w:rPr>
                <w:rFonts w:hint="default"/>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6.16 t/a</w:t>
            </w:r>
          </w:p>
        </w:tc>
        <w:tc>
          <w:tcPr>
            <w:tcW w:w="538" w:type="pct"/>
            <w:noWrap w:val="0"/>
            <w:vAlign w:val="center"/>
          </w:tcPr>
          <w:p w14:paraId="0C78C6C5">
            <w:pPr>
              <w:pStyle w:val="26"/>
              <w:bidi w:val="0"/>
              <w:jc w:val="center"/>
              <w:rPr>
                <w:rFonts w:hint="default"/>
                <w:color w:val="000000" w:themeColor="text1"/>
                <w:highlight w:val="none"/>
                <w:lang w:val="en-US" w:eastAsia="zh-CN"/>
                <w14:textFill>
                  <w14:solidFill>
                    <w14:schemeClr w14:val="tx1"/>
                  </w14:solidFill>
                </w14:textFill>
              </w:rPr>
            </w:pPr>
          </w:p>
        </w:tc>
        <w:tc>
          <w:tcPr>
            <w:tcW w:w="609" w:type="pct"/>
            <w:noWrap w:val="0"/>
            <w:vAlign w:val="center"/>
          </w:tcPr>
          <w:p w14:paraId="2EC18AF4">
            <w:pPr>
              <w:pStyle w:val="26"/>
              <w:bidi w:val="0"/>
              <w:ind w:firstLine="0" w:firstLineChars="0"/>
              <w:jc w:val="center"/>
              <w:rPr>
                <w:rFonts w:hint="default"/>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6.16 t/a</w:t>
            </w:r>
          </w:p>
        </w:tc>
        <w:tc>
          <w:tcPr>
            <w:tcW w:w="565" w:type="pct"/>
            <w:noWrap w:val="0"/>
            <w:vAlign w:val="center"/>
          </w:tcPr>
          <w:p w14:paraId="687AB22E">
            <w:pPr>
              <w:pStyle w:val="26"/>
              <w:bidi w:val="0"/>
              <w:ind w:firstLine="0" w:firstLineChars="0"/>
              <w:jc w:val="center"/>
              <w:rPr>
                <w:rFonts w:hint="eastAsia"/>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+6.16 t/a</w:t>
            </w:r>
          </w:p>
        </w:tc>
      </w:tr>
      <w:tr w14:paraId="55241D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 w:type="pct"/>
            <w:vMerge w:val="continue"/>
            <w:noWrap w:val="0"/>
            <w:vAlign w:val="center"/>
          </w:tcPr>
          <w:p w14:paraId="0AB17CE1">
            <w:pPr>
              <w:pStyle w:val="26"/>
              <w:rPr>
                <w:color w:val="000000" w:themeColor="text1"/>
                <w:highlight w:val="none"/>
                <w:lang w:val="en-US" w:eastAsia="zh-CN"/>
                <w14:textFill>
                  <w14:solidFill>
                    <w14:schemeClr w14:val="tx1"/>
                  </w14:solidFill>
                </w14:textFill>
              </w:rPr>
            </w:pPr>
          </w:p>
        </w:tc>
        <w:tc>
          <w:tcPr>
            <w:tcW w:w="555" w:type="pct"/>
            <w:noWrap w:val="0"/>
            <w:vAlign w:val="center"/>
          </w:tcPr>
          <w:p w14:paraId="7CFC47E1">
            <w:pPr>
              <w:pStyle w:val="26"/>
              <w:bidi w:val="0"/>
              <w:ind w:firstLine="0" w:firstLineChars="0"/>
              <w:jc w:val="center"/>
              <w:rPr>
                <w:rFonts w:hint="eastAsia" w:ascii="Times New Roman" w:hAnsi="Times New Roman" w:cs="Times New Roman"/>
                <w:color w:val="000000" w:themeColor="text1"/>
                <w:sz w:val="21"/>
                <w:szCs w:val="22"/>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废</w:t>
            </w:r>
            <w:r>
              <w:rPr>
                <w:rFonts w:hint="eastAsia"/>
                <w:color w:val="000000" w:themeColor="text1"/>
                <w:highlight w:val="none"/>
                <w:lang w:val="en-US" w:eastAsia="zh-CN"/>
                <w14:textFill>
                  <w14:solidFill>
                    <w14:schemeClr w14:val="tx1"/>
                  </w14:solidFill>
                </w14:textFill>
              </w:rPr>
              <w:t>滤芯、废分子筛</w:t>
            </w:r>
          </w:p>
        </w:tc>
        <w:tc>
          <w:tcPr>
            <w:tcW w:w="656" w:type="pct"/>
            <w:noWrap w:val="0"/>
            <w:vAlign w:val="center"/>
          </w:tcPr>
          <w:p w14:paraId="6096503B">
            <w:pPr>
              <w:pStyle w:val="26"/>
              <w:bidi w:val="0"/>
              <w:jc w:val="center"/>
              <w:rPr>
                <w:rFonts w:hint="default"/>
                <w:color w:val="000000" w:themeColor="text1"/>
                <w:highlight w:val="none"/>
                <w:lang w:val="en-US" w:eastAsia="zh-CN"/>
                <w14:textFill>
                  <w14:solidFill>
                    <w14:schemeClr w14:val="tx1"/>
                  </w14:solidFill>
                </w14:textFill>
              </w:rPr>
            </w:pPr>
          </w:p>
        </w:tc>
        <w:tc>
          <w:tcPr>
            <w:tcW w:w="451" w:type="pct"/>
            <w:noWrap w:val="0"/>
            <w:vAlign w:val="center"/>
          </w:tcPr>
          <w:p w14:paraId="5594E6A9">
            <w:pPr>
              <w:pStyle w:val="26"/>
              <w:bidi w:val="0"/>
              <w:jc w:val="center"/>
              <w:rPr>
                <w:color w:val="000000" w:themeColor="text1"/>
                <w:highlight w:val="none"/>
                <w:lang w:val="en-US" w:eastAsia="zh-CN"/>
                <w14:textFill>
                  <w14:solidFill>
                    <w14:schemeClr w14:val="tx1"/>
                  </w14:solidFill>
                </w14:textFill>
              </w:rPr>
            </w:pPr>
          </w:p>
        </w:tc>
        <w:tc>
          <w:tcPr>
            <w:tcW w:w="607" w:type="pct"/>
            <w:noWrap w:val="0"/>
            <w:vAlign w:val="center"/>
          </w:tcPr>
          <w:p w14:paraId="15C0A562">
            <w:pPr>
              <w:pStyle w:val="26"/>
              <w:bidi w:val="0"/>
              <w:jc w:val="center"/>
              <w:rPr>
                <w:color w:val="000000" w:themeColor="text1"/>
                <w:highlight w:val="none"/>
                <w:lang w:val="en-US" w:eastAsia="zh-CN"/>
                <w14:textFill>
                  <w14:solidFill>
                    <w14:schemeClr w14:val="tx1"/>
                  </w14:solidFill>
                </w14:textFill>
              </w:rPr>
            </w:pPr>
          </w:p>
        </w:tc>
        <w:tc>
          <w:tcPr>
            <w:tcW w:w="555" w:type="pct"/>
            <w:noWrap w:val="0"/>
            <w:vAlign w:val="center"/>
          </w:tcPr>
          <w:p w14:paraId="48EFBD3D">
            <w:pPr>
              <w:pStyle w:val="26"/>
              <w:bidi w:val="0"/>
              <w:ind w:firstLine="0" w:firstLineChars="0"/>
              <w:jc w:val="center"/>
              <w:rPr>
                <w:rFonts w:hint="default"/>
                <w:color w:val="000000" w:themeColor="text1"/>
                <w:sz w:val="21"/>
                <w:szCs w:val="22"/>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0.60</w:t>
            </w:r>
            <w:r>
              <w:rPr>
                <w:rFonts w:hint="eastAsia"/>
                <w:color w:val="000000" w:themeColor="text1"/>
                <w:highlight w:val="none"/>
                <w:lang w:val="en-US" w:eastAsia="zh-CN"/>
                <w14:textFill>
                  <w14:solidFill>
                    <w14:schemeClr w14:val="tx1"/>
                  </w14:solidFill>
                </w14:textFill>
              </w:rPr>
              <w:t xml:space="preserve"> t/a</w:t>
            </w:r>
          </w:p>
        </w:tc>
        <w:tc>
          <w:tcPr>
            <w:tcW w:w="538" w:type="pct"/>
            <w:noWrap w:val="0"/>
            <w:vAlign w:val="center"/>
          </w:tcPr>
          <w:p w14:paraId="7CCA995C">
            <w:pPr>
              <w:pStyle w:val="26"/>
              <w:bidi w:val="0"/>
              <w:jc w:val="center"/>
              <w:rPr>
                <w:rFonts w:hint="default"/>
                <w:color w:val="000000" w:themeColor="text1"/>
                <w:highlight w:val="none"/>
                <w:lang w:val="en-US" w:eastAsia="zh-CN"/>
                <w14:textFill>
                  <w14:solidFill>
                    <w14:schemeClr w14:val="tx1"/>
                  </w14:solidFill>
                </w14:textFill>
              </w:rPr>
            </w:pPr>
          </w:p>
        </w:tc>
        <w:tc>
          <w:tcPr>
            <w:tcW w:w="609" w:type="pct"/>
            <w:noWrap w:val="0"/>
            <w:vAlign w:val="center"/>
          </w:tcPr>
          <w:p w14:paraId="5D6F67AD">
            <w:pPr>
              <w:pStyle w:val="26"/>
              <w:bidi w:val="0"/>
              <w:ind w:firstLine="0" w:firstLineChars="0"/>
              <w:jc w:val="center"/>
              <w:rPr>
                <w:rFonts w:hint="default"/>
                <w:color w:val="000000" w:themeColor="text1"/>
                <w:sz w:val="21"/>
                <w:szCs w:val="22"/>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0.60</w:t>
            </w:r>
            <w:r>
              <w:rPr>
                <w:rFonts w:hint="eastAsia"/>
                <w:color w:val="000000" w:themeColor="text1"/>
                <w:highlight w:val="none"/>
                <w:lang w:val="en-US" w:eastAsia="zh-CN"/>
                <w14:textFill>
                  <w14:solidFill>
                    <w14:schemeClr w14:val="tx1"/>
                  </w14:solidFill>
                </w14:textFill>
              </w:rPr>
              <w:t xml:space="preserve"> t/a</w:t>
            </w:r>
          </w:p>
        </w:tc>
        <w:tc>
          <w:tcPr>
            <w:tcW w:w="565" w:type="pct"/>
            <w:noWrap w:val="0"/>
            <w:vAlign w:val="center"/>
          </w:tcPr>
          <w:p w14:paraId="7FF35293">
            <w:pPr>
              <w:pStyle w:val="26"/>
              <w:bidi w:val="0"/>
              <w:ind w:firstLine="0" w:firstLineChars="0"/>
              <w:jc w:val="center"/>
              <w:rPr>
                <w:rFonts w:hint="eastAsia"/>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0.60</w:t>
            </w:r>
            <w:r>
              <w:rPr>
                <w:rFonts w:hint="eastAsia"/>
                <w:color w:val="000000" w:themeColor="text1"/>
                <w:highlight w:val="none"/>
                <w:lang w:val="en-US" w:eastAsia="zh-CN"/>
                <w14:textFill>
                  <w14:solidFill>
                    <w14:schemeClr w14:val="tx1"/>
                  </w14:solidFill>
                </w14:textFill>
              </w:rPr>
              <w:t xml:space="preserve"> t/a</w:t>
            </w:r>
          </w:p>
        </w:tc>
      </w:tr>
      <w:tr w14:paraId="4573B6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 w:type="pct"/>
            <w:vMerge w:val="restart"/>
            <w:noWrap w:val="0"/>
            <w:vAlign w:val="center"/>
          </w:tcPr>
          <w:p w14:paraId="08FA1F93">
            <w:pPr>
              <w:pStyle w:val="26"/>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危险废物</w:t>
            </w:r>
          </w:p>
        </w:tc>
        <w:tc>
          <w:tcPr>
            <w:tcW w:w="555" w:type="pct"/>
            <w:noWrap w:val="0"/>
            <w:vAlign w:val="center"/>
          </w:tcPr>
          <w:p w14:paraId="6A3D9CAD">
            <w:pPr>
              <w:pStyle w:val="26"/>
              <w:bidi w:val="0"/>
              <w:ind w:firstLine="0" w:firstLineChars="0"/>
              <w:jc w:val="center"/>
              <w:rPr>
                <w:rFonts w:hint="eastAsia" w:ascii="Times New Roman" w:hAnsi="Times New Roman" w:cs="Times New Roman"/>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检验室废液</w:t>
            </w:r>
          </w:p>
        </w:tc>
        <w:tc>
          <w:tcPr>
            <w:tcW w:w="656" w:type="pct"/>
            <w:noWrap w:val="0"/>
            <w:vAlign w:val="center"/>
          </w:tcPr>
          <w:p w14:paraId="3BBBFF73">
            <w:pPr>
              <w:pStyle w:val="26"/>
              <w:bidi w:val="0"/>
              <w:jc w:val="center"/>
              <w:rPr>
                <w:color w:val="000000" w:themeColor="text1"/>
                <w:highlight w:val="none"/>
                <w:lang w:val="en-US" w:eastAsia="zh-CN"/>
                <w14:textFill>
                  <w14:solidFill>
                    <w14:schemeClr w14:val="tx1"/>
                  </w14:solidFill>
                </w14:textFill>
              </w:rPr>
            </w:pPr>
          </w:p>
        </w:tc>
        <w:tc>
          <w:tcPr>
            <w:tcW w:w="451" w:type="pct"/>
            <w:noWrap w:val="0"/>
            <w:vAlign w:val="center"/>
          </w:tcPr>
          <w:p w14:paraId="4CE0F6E6">
            <w:pPr>
              <w:pStyle w:val="26"/>
              <w:bidi w:val="0"/>
              <w:jc w:val="center"/>
              <w:rPr>
                <w:color w:val="000000" w:themeColor="text1"/>
                <w:highlight w:val="none"/>
                <w:lang w:val="en-US" w:eastAsia="zh-CN"/>
                <w14:textFill>
                  <w14:solidFill>
                    <w14:schemeClr w14:val="tx1"/>
                  </w14:solidFill>
                </w14:textFill>
              </w:rPr>
            </w:pPr>
          </w:p>
        </w:tc>
        <w:tc>
          <w:tcPr>
            <w:tcW w:w="607" w:type="pct"/>
            <w:noWrap w:val="0"/>
            <w:vAlign w:val="center"/>
          </w:tcPr>
          <w:p w14:paraId="12B9DEAE">
            <w:pPr>
              <w:pStyle w:val="26"/>
              <w:bidi w:val="0"/>
              <w:jc w:val="center"/>
              <w:rPr>
                <w:color w:val="000000" w:themeColor="text1"/>
                <w:highlight w:val="none"/>
                <w:lang w:val="en-US" w:eastAsia="zh-CN"/>
                <w14:textFill>
                  <w14:solidFill>
                    <w14:schemeClr w14:val="tx1"/>
                  </w14:solidFill>
                </w14:textFill>
              </w:rPr>
            </w:pPr>
          </w:p>
        </w:tc>
        <w:tc>
          <w:tcPr>
            <w:tcW w:w="555" w:type="pct"/>
            <w:noWrap w:val="0"/>
            <w:vAlign w:val="center"/>
          </w:tcPr>
          <w:p w14:paraId="2DD237C3">
            <w:pPr>
              <w:pStyle w:val="26"/>
              <w:bidi w:val="0"/>
              <w:ind w:firstLine="0" w:firstLineChars="0"/>
              <w:jc w:val="center"/>
              <w:rPr>
                <w:rFonts w:hint="default"/>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13.20 t/a</w:t>
            </w:r>
          </w:p>
        </w:tc>
        <w:tc>
          <w:tcPr>
            <w:tcW w:w="538" w:type="pct"/>
            <w:noWrap w:val="0"/>
            <w:vAlign w:val="center"/>
          </w:tcPr>
          <w:p w14:paraId="1F803B1A">
            <w:pPr>
              <w:pStyle w:val="26"/>
              <w:bidi w:val="0"/>
              <w:jc w:val="center"/>
              <w:rPr>
                <w:color w:val="000000" w:themeColor="text1"/>
                <w:highlight w:val="none"/>
                <w:lang w:val="en-US" w:eastAsia="zh-CN"/>
                <w14:textFill>
                  <w14:solidFill>
                    <w14:schemeClr w14:val="tx1"/>
                  </w14:solidFill>
                </w14:textFill>
              </w:rPr>
            </w:pPr>
          </w:p>
        </w:tc>
        <w:tc>
          <w:tcPr>
            <w:tcW w:w="609" w:type="pct"/>
            <w:noWrap w:val="0"/>
            <w:vAlign w:val="center"/>
          </w:tcPr>
          <w:p w14:paraId="7CFEA129">
            <w:pPr>
              <w:pStyle w:val="26"/>
              <w:bidi w:val="0"/>
              <w:ind w:firstLine="0" w:firstLineChars="0"/>
              <w:jc w:val="center"/>
              <w:rPr>
                <w:rFonts w:hint="default"/>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13.20 t/a</w:t>
            </w:r>
          </w:p>
        </w:tc>
        <w:tc>
          <w:tcPr>
            <w:tcW w:w="565" w:type="pct"/>
            <w:noWrap w:val="0"/>
            <w:vAlign w:val="center"/>
          </w:tcPr>
          <w:p w14:paraId="33A6BBB1">
            <w:pPr>
              <w:pStyle w:val="26"/>
              <w:bidi w:val="0"/>
              <w:ind w:firstLine="0" w:firstLineChars="0"/>
              <w:jc w:val="center"/>
              <w:rPr>
                <w:rFonts w:hint="default"/>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+13.20 t/a</w:t>
            </w:r>
          </w:p>
        </w:tc>
      </w:tr>
      <w:tr w14:paraId="0DFE61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 w:type="pct"/>
            <w:vMerge w:val="continue"/>
            <w:noWrap w:val="0"/>
            <w:vAlign w:val="center"/>
          </w:tcPr>
          <w:p w14:paraId="20C27C24">
            <w:pPr>
              <w:pStyle w:val="26"/>
              <w:rPr>
                <w:rFonts w:hint="eastAsia"/>
                <w:color w:val="000000" w:themeColor="text1"/>
                <w:highlight w:val="none"/>
                <w:lang w:val="en-US" w:eastAsia="zh-CN"/>
                <w14:textFill>
                  <w14:solidFill>
                    <w14:schemeClr w14:val="tx1"/>
                  </w14:solidFill>
                </w14:textFill>
              </w:rPr>
            </w:pPr>
          </w:p>
        </w:tc>
        <w:tc>
          <w:tcPr>
            <w:tcW w:w="555" w:type="pct"/>
            <w:noWrap w:val="0"/>
            <w:vAlign w:val="center"/>
          </w:tcPr>
          <w:p w14:paraId="71F37D9F">
            <w:pPr>
              <w:pStyle w:val="26"/>
              <w:bidi w:val="0"/>
              <w:ind w:firstLine="0" w:firstLineChars="0"/>
              <w:jc w:val="center"/>
              <w:rPr>
                <w:rFonts w:hint="eastAsia" w:ascii="Times New Roman" w:hAnsi="Times New Roman" w:cs="Times New Roman"/>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废试剂瓶</w:t>
            </w:r>
          </w:p>
        </w:tc>
        <w:tc>
          <w:tcPr>
            <w:tcW w:w="656" w:type="pct"/>
            <w:noWrap w:val="0"/>
            <w:vAlign w:val="center"/>
          </w:tcPr>
          <w:p w14:paraId="55E5C859">
            <w:pPr>
              <w:pStyle w:val="26"/>
              <w:bidi w:val="0"/>
              <w:jc w:val="center"/>
              <w:rPr>
                <w:color w:val="000000" w:themeColor="text1"/>
                <w:highlight w:val="none"/>
                <w:lang w:val="en-US" w:eastAsia="zh-CN"/>
                <w14:textFill>
                  <w14:solidFill>
                    <w14:schemeClr w14:val="tx1"/>
                  </w14:solidFill>
                </w14:textFill>
              </w:rPr>
            </w:pPr>
          </w:p>
        </w:tc>
        <w:tc>
          <w:tcPr>
            <w:tcW w:w="451" w:type="pct"/>
            <w:noWrap w:val="0"/>
            <w:vAlign w:val="center"/>
          </w:tcPr>
          <w:p w14:paraId="26E5E5D9">
            <w:pPr>
              <w:pStyle w:val="26"/>
              <w:bidi w:val="0"/>
              <w:jc w:val="center"/>
              <w:rPr>
                <w:color w:val="000000" w:themeColor="text1"/>
                <w:highlight w:val="none"/>
                <w:lang w:val="en-US" w:eastAsia="zh-CN"/>
                <w14:textFill>
                  <w14:solidFill>
                    <w14:schemeClr w14:val="tx1"/>
                  </w14:solidFill>
                </w14:textFill>
              </w:rPr>
            </w:pPr>
          </w:p>
        </w:tc>
        <w:tc>
          <w:tcPr>
            <w:tcW w:w="607" w:type="pct"/>
            <w:noWrap w:val="0"/>
            <w:vAlign w:val="center"/>
          </w:tcPr>
          <w:p w14:paraId="349C19A9">
            <w:pPr>
              <w:pStyle w:val="26"/>
              <w:bidi w:val="0"/>
              <w:jc w:val="center"/>
              <w:rPr>
                <w:color w:val="000000" w:themeColor="text1"/>
                <w:highlight w:val="none"/>
                <w:lang w:val="en-US" w:eastAsia="zh-CN"/>
                <w14:textFill>
                  <w14:solidFill>
                    <w14:schemeClr w14:val="tx1"/>
                  </w14:solidFill>
                </w14:textFill>
              </w:rPr>
            </w:pPr>
          </w:p>
        </w:tc>
        <w:tc>
          <w:tcPr>
            <w:tcW w:w="555" w:type="pct"/>
            <w:noWrap w:val="0"/>
            <w:vAlign w:val="center"/>
          </w:tcPr>
          <w:p w14:paraId="59E9665A">
            <w:pPr>
              <w:pStyle w:val="26"/>
              <w:bidi w:val="0"/>
              <w:ind w:firstLine="0" w:firstLineChars="0"/>
              <w:jc w:val="center"/>
              <w:rPr>
                <w:rFonts w:hint="default"/>
                <w:color w:val="000000" w:themeColor="text1"/>
                <w:sz w:val="21"/>
                <w:szCs w:val="22"/>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0.0</w:t>
            </w:r>
            <w:r>
              <w:rPr>
                <w:rFonts w:hint="eastAsia"/>
                <w:color w:val="000000" w:themeColor="text1"/>
                <w:highlight w:val="none"/>
                <w:lang w:val="en-US" w:eastAsia="zh-CN"/>
                <w14:textFill>
                  <w14:solidFill>
                    <w14:schemeClr w14:val="tx1"/>
                  </w14:solidFill>
                </w14:textFill>
              </w:rPr>
              <w:t>3 t/a</w:t>
            </w:r>
          </w:p>
        </w:tc>
        <w:tc>
          <w:tcPr>
            <w:tcW w:w="538" w:type="pct"/>
            <w:noWrap w:val="0"/>
            <w:vAlign w:val="center"/>
          </w:tcPr>
          <w:p w14:paraId="5F0F93FD">
            <w:pPr>
              <w:pStyle w:val="26"/>
              <w:bidi w:val="0"/>
              <w:jc w:val="center"/>
              <w:rPr>
                <w:color w:val="000000" w:themeColor="text1"/>
                <w:highlight w:val="none"/>
                <w:lang w:val="en-US" w:eastAsia="zh-CN"/>
                <w14:textFill>
                  <w14:solidFill>
                    <w14:schemeClr w14:val="tx1"/>
                  </w14:solidFill>
                </w14:textFill>
              </w:rPr>
            </w:pPr>
          </w:p>
        </w:tc>
        <w:tc>
          <w:tcPr>
            <w:tcW w:w="609" w:type="pct"/>
            <w:noWrap w:val="0"/>
            <w:vAlign w:val="center"/>
          </w:tcPr>
          <w:p w14:paraId="3198456D">
            <w:pPr>
              <w:pStyle w:val="26"/>
              <w:bidi w:val="0"/>
              <w:ind w:firstLine="0" w:firstLineChars="0"/>
              <w:jc w:val="center"/>
              <w:rPr>
                <w:rFonts w:hint="default"/>
                <w:color w:val="000000" w:themeColor="text1"/>
                <w:sz w:val="21"/>
                <w:szCs w:val="22"/>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0.0</w:t>
            </w:r>
            <w:r>
              <w:rPr>
                <w:rFonts w:hint="eastAsia"/>
                <w:color w:val="000000" w:themeColor="text1"/>
                <w:highlight w:val="none"/>
                <w:lang w:val="en-US" w:eastAsia="zh-CN"/>
                <w14:textFill>
                  <w14:solidFill>
                    <w14:schemeClr w14:val="tx1"/>
                  </w14:solidFill>
                </w14:textFill>
              </w:rPr>
              <w:t>3 t/a</w:t>
            </w:r>
          </w:p>
        </w:tc>
        <w:tc>
          <w:tcPr>
            <w:tcW w:w="565" w:type="pct"/>
            <w:noWrap w:val="0"/>
            <w:vAlign w:val="center"/>
          </w:tcPr>
          <w:p w14:paraId="056E9B7D">
            <w:pPr>
              <w:pStyle w:val="26"/>
              <w:bidi w:val="0"/>
              <w:ind w:firstLine="0" w:firstLineChars="0"/>
              <w:jc w:val="center"/>
              <w:rPr>
                <w:rFonts w:hint="default"/>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0.0</w:t>
            </w:r>
            <w:r>
              <w:rPr>
                <w:rFonts w:hint="eastAsia"/>
                <w:color w:val="000000" w:themeColor="text1"/>
                <w:highlight w:val="none"/>
                <w:lang w:val="en-US" w:eastAsia="zh-CN"/>
                <w14:textFill>
                  <w14:solidFill>
                    <w14:schemeClr w14:val="tx1"/>
                  </w14:solidFill>
                </w14:textFill>
              </w:rPr>
              <w:t>3 t/a</w:t>
            </w:r>
          </w:p>
        </w:tc>
      </w:tr>
      <w:tr w14:paraId="1194D1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 w:type="pct"/>
            <w:vMerge w:val="continue"/>
            <w:noWrap w:val="0"/>
            <w:vAlign w:val="center"/>
          </w:tcPr>
          <w:p w14:paraId="04765A07">
            <w:pPr>
              <w:pStyle w:val="26"/>
              <w:rPr>
                <w:rFonts w:hint="eastAsia"/>
                <w:color w:val="000000" w:themeColor="text1"/>
                <w:highlight w:val="none"/>
                <w:lang w:val="en-US" w:eastAsia="zh-CN"/>
                <w14:textFill>
                  <w14:solidFill>
                    <w14:schemeClr w14:val="tx1"/>
                  </w14:solidFill>
                </w14:textFill>
              </w:rPr>
            </w:pPr>
          </w:p>
        </w:tc>
        <w:tc>
          <w:tcPr>
            <w:tcW w:w="555" w:type="pct"/>
            <w:noWrap w:val="0"/>
            <w:vAlign w:val="center"/>
          </w:tcPr>
          <w:p w14:paraId="05CE3E71">
            <w:pPr>
              <w:pStyle w:val="26"/>
              <w:bidi w:val="0"/>
              <w:ind w:firstLine="0" w:firstLineChars="0"/>
              <w:jc w:val="center"/>
              <w:rPr>
                <w:rFonts w:hint="eastAsia" w:ascii="Times New Roman" w:hAnsi="Times New Roman" w:cs="Times New Roman"/>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废活性炭</w:t>
            </w:r>
          </w:p>
        </w:tc>
        <w:tc>
          <w:tcPr>
            <w:tcW w:w="656" w:type="pct"/>
            <w:noWrap w:val="0"/>
            <w:vAlign w:val="center"/>
          </w:tcPr>
          <w:p w14:paraId="1A6EE62F">
            <w:pPr>
              <w:pStyle w:val="26"/>
              <w:bidi w:val="0"/>
              <w:jc w:val="center"/>
              <w:rPr>
                <w:color w:val="000000" w:themeColor="text1"/>
                <w:highlight w:val="none"/>
                <w:lang w:val="en-US" w:eastAsia="zh-CN"/>
                <w14:textFill>
                  <w14:solidFill>
                    <w14:schemeClr w14:val="tx1"/>
                  </w14:solidFill>
                </w14:textFill>
              </w:rPr>
            </w:pPr>
          </w:p>
        </w:tc>
        <w:tc>
          <w:tcPr>
            <w:tcW w:w="451" w:type="pct"/>
            <w:noWrap w:val="0"/>
            <w:vAlign w:val="center"/>
          </w:tcPr>
          <w:p w14:paraId="4DF7443D">
            <w:pPr>
              <w:pStyle w:val="26"/>
              <w:bidi w:val="0"/>
              <w:jc w:val="center"/>
              <w:rPr>
                <w:color w:val="000000" w:themeColor="text1"/>
                <w:highlight w:val="none"/>
                <w:lang w:val="en-US" w:eastAsia="zh-CN"/>
                <w14:textFill>
                  <w14:solidFill>
                    <w14:schemeClr w14:val="tx1"/>
                  </w14:solidFill>
                </w14:textFill>
              </w:rPr>
            </w:pPr>
          </w:p>
        </w:tc>
        <w:tc>
          <w:tcPr>
            <w:tcW w:w="607" w:type="pct"/>
            <w:noWrap w:val="0"/>
            <w:vAlign w:val="center"/>
          </w:tcPr>
          <w:p w14:paraId="37C34F5E">
            <w:pPr>
              <w:pStyle w:val="26"/>
              <w:bidi w:val="0"/>
              <w:jc w:val="center"/>
              <w:rPr>
                <w:color w:val="000000" w:themeColor="text1"/>
                <w:highlight w:val="none"/>
                <w:lang w:val="en-US" w:eastAsia="zh-CN"/>
                <w14:textFill>
                  <w14:solidFill>
                    <w14:schemeClr w14:val="tx1"/>
                  </w14:solidFill>
                </w14:textFill>
              </w:rPr>
            </w:pPr>
          </w:p>
        </w:tc>
        <w:tc>
          <w:tcPr>
            <w:tcW w:w="555" w:type="pct"/>
            <w:noWrap w:val="0"/>
            <w:vAlign w:val="center"/>
          </w:tcPr>
          <w:p w14:paraId="63E7D813">
            <w:pPr>
              <w:pStyle w:val="26"/>
              <w:bidi w:val="0"/>
              <w:ind w:firstLine="0" w:firstLineChars="0"/>
              <w:jc w:val="center"/>
              <w:rPr>
                <w:rFonts w:hint="default"/>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27.889 t/a</w:t>
            </w:r>
          </w:p>
        </w:tc>
        <w:tc>
          <w:tcPr>
            <w:tcW w:w="538" w:type="pct"/>
            <w:noWrap w:val="0"/>
            <w:vAlign w:val="center"/>
          </w:tcPr>
          <w:p w14:paraId="6D66531F">
            <w:pPr>
              <w:pStyle w:val="26"/>
              <w:bidi w:val="0"/>
              <w:jc w:val="center"/>
              <w:rPr>
                <w:color w:val="000000" w:themeColor="text1"/>
                <w:highlight w:val="none"/>
                <w:lang w:val="en-US" w:eastAsia="zh-CN"/>
                <w14:textFill>
                  <w14:solidFill>
                    <w14:schemeClr w14:val="tx1"/>
                  </w14:solidFill>
                </w14:textFill>
              </w:rPr>
            </w:pPr>
          </w:p>
        </w:tc>
        <w:tc>
          <w:tcPr>
            <w:tcW w:w="609" w:type="pct"/>
            <w:noWrap w:val="0"/>
            <w:vAlign w:val="center"/>
          </w:tcPr>
          <w:p w14:paraId="25587113">
            <w:pPr>
              <w:pStyle w:val="26"/>
              <w:bidi w:val="0"/>
              <w:ind w:firstLine="0" w:firstLineChars="0"/>
              <w:jc w:val="center"/>
              <w:rPr>
                <w:rFonts w:hint="default"/>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27.889 t/a</w:t>
            </w:r>
          </w:p>
        </w:tc>
        <w:tc>
          <w:tcPr>
            <w:tcW w:w="565" w:type="pct"/>
            <w:noWrap w:val="0"/>
            <w:vAlign w:val="center"/>
          </w:tcPr>
          <w:p w14:paraId="14150011">
            <w:pPr>
              <w:pStyle w:val="26"/>
              <w:bidi w:val="0"/>
              <w:ind w:firstLine="0" w:firstLineChars="0"/>
              <w:jc w:val="center"/>
              <w:rPr>
                <w:rFonts w:hint="eastAsia"/>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+27.889 t/a</w:t>
            </w:r>
          </w:p>
        </w:tc>
      </w:tr>
      <w:tr w14:paraId="062174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 w:type="pct"/>
            <w:vMerge w:val="continue"/>
            <w:noWrap w:val="0"/>
            <w:vAlign w:val="center"/>
          </w:tcPr>
          <w:p w14:paraId="4D73FACA">
            <w:pPr>
              <w:pStyle w:val="26"/>
              <w:rPr>
                <w:rFonts w:hint="eastAsia"/>
                <w:color w:val="000000" w:themeColor="text1"/>
                <w:highlight w:val="none"/>
                <w:lang w:val="en-US" w:eastAsia="zh-CN"/>
                <w14:textFill>
                  <w14:solidFill>
                    <w14:schemeClr w14:val="tx1"/>
                  </w14:solidFill>
                </w14:textFill>
              </w:rPr>
            </w:pPr>
          </w:p>
        </w:tc>
        <w:tc>
          <w:tcPr>
            <w:tcW w:w="555" w:type="pct"/>
            <w:shd w:val="clear" w:color="auto" w:fill="auto"/>
            <w:noWrap w:val="0"/>
            <w:vAlign w:val="center"/>
          </w:tcPr>
          <w:p w14:paraId="2F391C23">
            <w:pPr>
              <w:pStyle w:val="26"/>
              <w:bidi w:val="0"/>
              <w:ind w:firstLine="0" w:firstLineChars="0"/>
              <w:jc w:val="center"/>
              <w:rPr>
                <w:rFonts w:hint="eastAsia" w:ascii="Times New Roman" w:hAnsi="Times New Roman" w:eastAsia="宋体" w:cs="Times New Roman"/>
                <w:b/>
                <w:bCs/>
                <w:color w:val="000000" w:themeColor="text1"/>
                <w:sz w:val="21"/>
                <w:szCs w:val="22"/>
                <w:highlight w:val="none"/>
                <w:lang w:val="en-US" w:eastAsia="zh-CN" w:bidi="ar-SA"/>
                <w14:textFill>
                  <w14:solidFill>
                    <w14:schemeClr w14:val="tx1"/>
                  </w14:solidFill>
                </w14:textFill>
              </w:rPr>
            </w:pPr>
            <w:r>
              <w:rPr>
                <w:rFonts w:hint="eastAsia"/>
                <w:b w:val="0"/>
                <w:bCs w:val="0"/>
                <w:color w:val="000000" w:themeColor="text1"/>
                <w:highlight w:val="none"/>
                <w:lang w:val="en-US" w:eastAsia="zh-CN" w:bidi="ar-SA"/>
                <w14:textFill>
                  <w14:solidFill>
                    <w14:schemeClr w14:val="tx1"/>
                  </w14:solidFill>
                </w14:textFill>
              </w:rPr>
              <w:t>废布袋</w:t>
            </w:r>
          </w:p>
        </w:tc>
        <w:tc>
          <w:tcPr>
            <w:tcW w:w="656" w:type="pct"/>
            <w:noWrap w:val="0"/>
            <w:vAlign w:val="center"/>
          </w:tcPr>
          <w:p w14:paraId="142BA02C">
            <w:pPr>
              <w:pStyle w:val="26"/>
              <w:bidi w:val="0"/>
              <w:jc w:val="center"/>
              <w:rPr>
                <w:color w:val="000000" w:themeColor="text1"/>
                <w:highlight w:val="none"/>
                <w:lang w:val="en-US" w:eastAsia="zh-CN"/>
                <w14:textFill>
                  <w14:solidFill>
                    <w14:schemeClr w14:val="tx1"/>
                  </w14:solidFill>
                </w14:textFill>
              </w:rPr>
            </w:pPr>
          </w:p>
        </w:tc>
        <w:tc>
          <w:tcPr>
            <w:tcW w:w="451" w:type="pct"/>
            <w:noWrap w:val="0"/>
            <w:vAlign w:val="center"/>
          </w:tcPr>
          <w:p w14:paraId="72C8CA5F">
            <w:pPr>
              <w:pStyle w:val="26"/>
              <w:bidi w:val="0"/>
              <w:jc w:val="center"/>
              <w:rPr>
                <w:color w:val="000000" w:themeColor="text1"/>
                <w:highlight w:val="none"/>
                <w:lang w:val="en-US" w:eastAsia="zh-CN"/>
                <w14:textFill>
                  <w14:solidFill>
                    <w14:schemeClr w14:val="tx1"/>
                  </w14:solidFill>
                </w14:textFill>
              </w:rPr>
            </w:pPr>
          </w:p>
        </w:tc>
        <w:tc>
          <w:tcPr>
            <w:tcW w:w="607" w:type="pct"/>
            <w:noWrap w:val="0"/>
            <w:vAlign w:val="center"/>
          </w:tcPr>
          <w:p w14:paraId="0B2CD77D">
            <w:pPr>
              <w:pStyle w:val="26"/>
              <w:bidi w:val="0"/>
              <w:jc w:val="center"/>
              <w:rPr>
                <w:color w:val="000000" w:themeColor="text1"/>
                <w:highlight w:val="none"/>
                <w:lang w:val="en-US" w:eastAsia="zh-CN"/>
                <w14:textFill>
                  <w14:solidFill>
                    <w14:schemeClr w14:val="tx1"/>
                  </w14:solidFill>
                </w14:textFill>
              </w:rPr>
            </w:pPr>
          </w:p>
        </w:tc>
        <w:tc>
          <w:tcPr>
            <w:tcW w:w="555" w:type="pct"/>
            <w:shd w:val="clear" w:color="auto" w:fill="auto"/>
            <w:noWrap w:val="0"/>
            <w:vAlign w:val="center"/>
          </w:tcPr>
          <w:p w14:paraId="77BBBE0B">
            <w:pPr>
              <w:pStyle w:val="26"/>
              <w:bidi w:val="0"/>
              <w:ind w:firstLine="0" w:firstLineChars="0"/>
              <w:jc w:val="center"/>
              <w:rPr>
                <w:rFonts w:hint="eastAsia"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0.02</w:t>
            </w:r>
          </w:p>
        </w:tc>
        <w:tc>
          <w:tcPr>
            <w:tcW w:w="538" w:type="pct"/>
            <w:noWrap w:val="0"/>
            <w:vAlign w:val="center"/>
          </w:tcPr>
          <w:p w14:paraId="683CAA54">
            <w:pPr>
              <w:pStyle w:val="26"/>
              <w:bidi w:val="0"/>
              <w:jc w:val="center"/>
              <w:rPr>
                <w:color w:val="000000" w:themeColor="text1"/>
                <w:highlight w:val="none"/>
                <w:lang w:val="en-US" w:eastAsia="zh-CN"/>
                <w14:textFill>
                  <w14:solidFill>
                    <w14:schemeClr w14:val="tx1"/>
                  </w14:solidFill>
                </w14:textFill>
              </w:rPr>
            </w:pPr>
          </w:p>
        </w:tc>
        <w:tc>
          <w:tcPr>
            <w:tcW w:w="609" w:type="pct"/>
            <w:shd w:val="clear" w:color="auto" w:fill="auto"/>
            <w:noWrap w:val="0"/>
            <w:vAlign w:val="center"/>
          </w:tcPr>
          <w:p w14:paraId="06344F8C">
            <w:pPr>
              <w:pStyle w:val="26"/>
              <w:bidi w:val="0"/>
              <w:ind w:firstLine="0" w:firstLineChars="0"/>
              <w:jc w:val="center"/>
              <w:rPr>
                <w:rFonts w:hint="eastAsia"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0.02</w:t>
            </w:r>
          </w:p>
        </w:tc>
        <w:tc>
          <w:tcPr>
            <w:tcW w:w="565" w:type="pct"/>
            <w:shd w:val="clear" w:color="auto" w:fill="auto"/>
            <w:noWrap w:val="0"/>
            <w:vAlign w:val="center"/>
          </w:tcPr>
          <w:p w14:paraId="72D8F1BA">
            <w:pPr>
              <w:pStyle w:val="26"/>
              <w:bidi w:val="0"/>
              <w:ind w:firstLine="0" w:firstLineChars="0"/>
              <w:jc w:val="center"/>
              <w:rPr>
                <w:rFonts w:hint="eastAsia"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+0.02</w:t>
            </w:r>
          </w:p>
        </w:tc>
      </w:tr>
      <w:tr w14:paraId="22AFBB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 w:type="pct"/>
            <w:vMerge w:val="continue"/>
            <w:noWrap w:val="0"/>
            <w:vAlign w:val="center"/>
          </w:tcPr>
          <w:p w14:paraId="19654473">
            <w:pPr>
              <w:pStyle w:val="26"/>
              <w:rPr>
                <w:rFonts w:hint="eastAsia"/>
                <w:color w:val="000000" w:themeColor="text1"/>
                <w:highlight w:val="none"/>
                <w:lang w:val="en-US" w:eastAsia="zh-CN"/>
                <w14:textFill>
                  <w14:solidFill>
                    <w14:schemeClr w14:val="tx1"/>
                  </w14:solidFill>
                </w14:textFill>
              </w:rPr>
            </w:pPr>
          </w:p>
        </w:tc>
        <w:tc>
          <w:tcPr>
            <w:tcW w:w="555" w:type="pct"/>
            <w:shd w:val="clear" w:color="auto" w:fill="auto"/>
            <w:noWrap w:val="0"/>
            <w:vAlign w:val="center"/>
          </w:tcPr>
          <w:p w14:paraId="1B32CFA9">
            <w:pPr>
              <w:pStyle w:val="26"/>
              <w:bidi w:val="0"/>
              <w:ind w:firstLine="0" w:firstLineChars="0"/>
              <w:jc w:val="center"/>
              <w:rPr>
                <w:rFonts w:hint="eastAsia" w:ascii="Times New Roman" w:hAnsi="Times New Roman" w:eastAsia="宋体" w:cs="Times New Roman"/>
                <w:b w:val="0"/>
                <w:bCs w:val="0"/>
                <w:color w:val="000000" w:themeColor="text1"/>
                <w:sz w:val="21"/>
                <w:szCs w:val="22"/>
                <w:highlight w:val="none"/>
                <w:lang w:val="en-US" w:eastAsia="zh-CN" w:bidi="ar-SA"/>
                <w14:textFill>
                  <w14:solidFill>
                    <w14:schemeClr w14:val="tx1"/>
                  </w14:solidFill>
                </w14:textFill>
              </w:rPr>
            </w:pPr>
            <w:r>
              <w:rPr>
                <w:rFonts w:hint="eastAsia"/>
                <w:b w:val="0"/>
                <w:bCs w:val="0"/>
                <w:color w:val="000000" w:themeColor="text1"/>
                <w:highlight w:val="none"/>
                <w:lang w:val="en-US" w:eastAsia="zh-CN" w:bidi="ar-SA"/>
                <w14:textFill>
                  <w14:solidFill>
                    <w14:schemeClr w14:val="tx1"/>
                  </w14:solidFill>
                </w14:textFill>
              </w:rPr>
              <w:t>废催化剂</w:t>
            </w:r>
          </w:p>
        </w:tc>
        <w:tc>
          <w:tcPr>
            <w:tcW w:w="656" w:type="pct"/>
            <w:noWrap w:val="0"/>
            <w:vAlign w:val="center"/>
          </w:tcPr>
          <w:p w14:paraId="38C3ABFE">
            <w:pPr>
              <w:pStyle w:val="26"/>
              <w:bidi w:val="0"/>
              <w:jc w:val="center"/>
              <w:rPr>
                <w:color w:val="000000" w:themeColor="text1"/>
                <w:highlight w:val="none"/>
                <w:lang w:val="en-US" w:eastAsia="zh-CN"/>
                <w14:textFill>
                  <w14:solidFill>
                    <w14:schemeClr w14:val="tx1"/>
                  </w14:solidFill>
                </w14:textFill>
              </w:rPr>
            </w:pPr>
          </w:p>
        </w:tc>
        <w:tc>
          <w:tcPr>
            <w:tcW w:w="451" w:type="pct"/>
            <w:noWrap w:val="0"/>
            <w:vAlign w:val="center"/>
          </w:tcPr>
          <w:p w14:paraId="3FBB54C7">
            <w:pPr>
              <w:pStyle w:val="26"/>
              <w:bidi w:val="0"/>
              <w:jc w:val="center"/>
              <w:rPr>
                <w:color w:val="000000" w:themeColor="text1"/>
                <w:highlight w:val="none"/>
                <w:lang w:val="en-US" w:eastAsia="zh-CN"/>
                <w14:textFill>
                  <w14:solidFill>
                    <w14:schemeClr w14:val="tx1"/>
                  </w14:solidFill>
                </w14:textFill>
              </w:rPr>
            </w:pPr>
          </w:p>
        </w:tc>
        <w:tc>
          <w:tcPr>
            <w:tcW w:w="607" w:type="pct"/>
            <w:noWrap w:val="0"/>
            <w:vAlign w:val="center"/>
          </w:tcPr>
          <w:p w14:paraId="1086B70A">
            <w:pPr>
              <w:pStyle w:val="26"/>
              <w:bidi w:val="0"/>
              <w:jc w:val="center"/>
              <w:rPr>
                <w:color w:val="000000" w:themeColor="text1"/>
                <w:highlight w:val="none"/>
                <w:lang w:val="en-US" w:eastAsia="zh-CN"/>
                <w14:textFill>
                  <w14:solidFill>
                    <w14:schemeClr w14:val="tx1"/>
                  </w14:solidFill>
                </w14:textFill>
              </w:rPr>
            </w:pPr>
          </w:p>
        </w:tc>
        <w:tc>
          <w:tcPr>
            <w:tcW w:w="555" w:type="pct"/>
            <w:shd w:val="clear" w:color="auto" w:fill="auto"/>
            <w:noWrap w:val="0"/>
            <w:vAlign w:val="center"/>
          </w:tcPr>
          <w:p w14:paraId="09521659">
            <w:pPr>
              <w:pStyle w:val="26"/>
              <w:bidi w:val="0"/>
              <w:ind w:firstLine="0" w:firstLineChars="0"/>
              <w:jc w:val="center"/>
              <w:rPr>
                <w:rFonts w:hint="eastAsia"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0.01 t/次</w:t>
            </w:r>
          </w:p>
        </w:tc>
        <w:tc>
          <w:tcPr>
            <w:tcW w:w="538" w:type="pct"/>
            <w:noWrap w:val="0"/>
            <w:vAlign w:val="center"/>
          </w:tcPr>
          <w:p w14:paraId="625C8325">
            <w:pPr>
              <w:pStyle w:val="26"/>
              <w:bidi w:val="0"/>
              <w:jc w:val="center"/>
              <w:rPr>
                <w:color w:val="000000" w:themeColor="text1"/>
                <w:highlight w:val="none"/>
                <w:lang w:val="en-US" w:eastAsia="zh-CN"/>
                <w14:textFill>
                  <w14:solidFill>
                    <w14:schemeClr w14:val="tx1"/>
                  </w14:solidFill>
                </w14:textFill>
              </w:rPr>
            </w:pPr>
          </w:p>
        </w:tc>
        <w:tc>
          <w:tcPr>
            <w:tcW w:w="609" w:type="pct"/>
            <w:shd w:val="clear" w:color="auto" w:fill="auto"/>
            <w:noWrap w:val="0"/>
            <w:vAlign w:val="center"/>
          </w:tcPr>
          <w:p w14:paraId="3704ADAD">
            <w:pPr>
              <w:pStyle w:val="26"/>
              <w:bidi w:val="0"/>
              <w:ind w:firstLine="0" w:firstLineChars="0"/>
              <w:jc w:val="center"/>
              <w:rPr>
                <w:rFonts w:hint="eastAsia"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0.01 t/次</w:t>
            </w:r>
          </w:p>
        </w:tc>
        <w:tc>
          <w:tcPr>
            <w:tcW w:w="565" w:type="pct"/>
            <w:shd w:val="clear" w:color="auto" w:fill="auto"/>
            <w:noWrap w:val="0"/>
            <w:vAlign w:val="center"/>
          </w:tcPr>
          <w:p w14:paraId="07C3772F">
            <w:pPr>
              <w:pStyle w:val="26"/>
              <w:bidi w:val="0"/>
              <w:ind w:firstLine="0" w:firstLineChars="0"/>
              <w:jc w:val="center"/>
              <w:rPr>
                <w:rFonts w:hint="eastAsia"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eastAsia"/>
                <w:color w:val="000000" w:themeColor="text1"/>
                <w:highlight w:val="none"/>
                <w:lang w:val="en-US" w:eastAsia="zh-CN" w:bidi="ar-SA"/>
                <w14:textFill>
                  <w14:solidFill>
                    <w14:schemeClr w14:val="tx1"/>
                  </w14:solidFill>
                </w14:textFill>
              </w:rPr>
              <w:t>+0.01 t/次</w:t>
            </w:r>
          </w:p>
        </w:tc>
      </w:tr>
      <w:tr w14:paraId="235399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 w:type="pct"/>
            <w:vMerge w:val="continue"/>
            <w:noWrap w:val="0"/>
            <w:vAlign w:val="center"/>
          </w:tcPr>
          <w:p w14:paraId="3A35A3D5">
            <w:pPr>
              <w:pStyle w:val="26"/>
              <w:rPr>
                <w:rFonts w:hint="eastAsia"/>
                <w:color w:val="000000" w:themeColor="text1"/>
                <w:highlight w:val="none"/>
                <w:lang w:val="en-US" w:eastAsia="zh-CN"/>
                <w14:textFill>
                  <w14:solidFill>
                    <w14:schemeClr w14:val="tx1"/>
                  </w14:solidFill>
                </w14:textFill>
              </w:rPr>
            </w:pPr>
          </w:p>
        </w:tc>
        <w:tc>
          <w:tcPr>
            <w:tcW w:w="555" w:type="pct"/>
            <w:noWrap w:val="0"/>
            <w:vAlign w:val="center"/>
          </w:tcPr>
          <w:p w14:paraId="2A988D57">
            <w:pPr>
              <w:pStyle w:val="26"/>
              <w:bidi w:val="0"/>
              <w:ind w:firstLine="0" w:firstLineChars="0"/>
              <w:jc w:val="center"/>
              <w:rPr>
                <w:rFonts w:hint="eastAsia" w:ascii="Times New Roman" w:hAnsi="Times New Roman" w:cs="Times New Roman"/>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废机油</w:t>
            </w:r>
          </w:p>
        </w:tc>
        <w:tc>
          <w:tcPr>
            <w:tcW w:w="656" w:type="pct"/>
            <w:noWrap w:val="0"/>
            <w:vAlign w:val="center"/>
          </w:tcPr>
          <w:p w14:paraId="789F6549">
            <w:pPr>
              <w:pStyle w:val="26"/>
              <w:bidi w:val="0"/>
              <w:jc w:val="center"/>
              <w:rPr>
                <w:color w:val="000000" w:themeColor="text1"/>
                <w:highlight w:val="none"/>
                <w:lang w:val="en-US" w:eastAsia="zh-CN"/>
                <w14:textFill>
                  <w14:solidFill>
                    <w14:schemeClr w14:val="tx1"/>
                  </w14:solidFill>
                </w14:textFill>
              </w:rPr>
            </w:pPr>
          </w:p>
        </w:tc>
        <w:tc>
          <w:tcPr>
            <w:tcW w:w="451" w:type="pct"/>
            <w:noWrap w:val="0"/>
            <w:vAlign w:val="center"/>
          </w:tcPr>
          <w:p w14:paraId="7A6D3C67">
            <w:pPr>
              <w:pStyle w:val="26"/>
              <w:bidi w:val="0"/>
              <w:jc w:val="center"/>
              <w:rPr>
                <w:color w:val="000000" w:themeColor="text1"/>
                <w:highlight w:val="none"/>
                <w:lang w:val="en-US" w:eastAsia="zh-CN"/>
                <w14:textFill>
                  <w14:solidFill>
                    <w14:schemeClr w14:val="tx1"/>
                  </w14:solidFill>
                </w14:textFill>
              </w:rPr>
            </w:pPr>
          </w:p>
        </w:tc>
        <w:tc>
          <w:tcPr>
            <w:tcW w:w="607" w:type="pct"/>
            <w:noWrap w:val="0"/>
            <w:vAlign w:val="center"/>
          </w:tcPr>
          <w:p w14:paraId="13C4D5B0">
            <w:pPr>
              <w:pStyle w:val="26"/>
              <w:bidi w:val="0"/>
              <w:jc w:val="center"/>
              <w:rPr>
                <w:color w:val="000000" w:themeColor="text1"/>
                <w:highlight w:val="none"/>
                <w:lang w:val="en-US" w:eastAsia="zh-CN"/>
                <w14:textFill>
                  <w14:solidFill>
                    <w14:schemeClr w14:val="tx1"/>
                  </w14:solidFill>
                </w14:textFill>
              </w:rPr>
            </w:pPr>
          </w:p>
        </w:tc>
        <w:tc>
          <w:tcPr>
            <w:tcW w:w="555" w:type="pct"/>
            <w:noWrap w:val="0"/>
            <w:vAlign w:val="center"/>
          </w:tcPr>
          <w:p w14:paraId="75E8CB60">
            <w:pPr>
              <w:pStyle w:val="26"/>
              <w:bidi w:val="0"/>
              <w:ind w:firstLine="0" w:firstLineChars="0"/>
              <w:jc w:val="center"/>
              <w:rPr>
                <w:rFonts w:hint="default"/>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3.60 t/a</w:t>
            </w:r>
          </w:p>
        </w:tc>
        <w:tc>
          <w:tcPr>
            <w:tcW w:w="538" w:type="pct"/>
            <w:noWrap w:val="0"/>
            <w:vAlign w:val="center"/>
          </w:tcPr>
          <w:p w14:paraId="39B94B97">
            <w:pPr>
              <w:pStyle w:val="26"/>
              <w:bidi w:val="0"/>
              <w:jc w:val="center"/>
              <w:rPr>
                <w:color w:val="000000" w:themeColor="text1"/>
                <w:highlight w:val="none"/>
                <w:lang w:val="en-US" w:eastAsia="zh-CN"/>
                <w14:textFill>
                  <w14:solidFill>
                    <w14:schemeClr w14:val="tx1"/>
                  </w14:solidFill>
                </w14:textFill>
              </w:rPr>
            </w:pPr>
          </w:p>
        </w:tc>
        <w:tc>
          <w:tcPr>
            <w:tcW w:w="609" w:type="pct"/>
            <w:noWrap w:val="0"/>
            <w:vAlign w:val="center"/>
          </w:tcPr>
          <w:p w14:paraId="7B9D3590">
            <w:pPr>
              <w:pStyle w:val="26"/>
              <w:bidi w:val="0"/>
              <w:ind w:firstLine="0" w:firstLineChars="0"/>
              <w:jc w:val="center"/>
              <w:rPr>
                <w:rFonts w:hint="default"/>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3.60 t/a</w:t>
            </w:r>
          </w:p>
        </w:tc>
        <w:tc>
          <w:tcPr>
            <w:tcW w:w="565" w:type="pct"/>
            <w:noWrap w:val="0"/>
            <w:vAlign w:val="center"/>
          </w:tcPr>
          <w:p w14:paraId="0A49C85B">
            <w:pPr>
              <w:pStyle w:val="26"/>
              <w:bidi w:val="0"/>
              <w:ind w:firstLine="0" w:firstLineChars="0"/>
              <w:jc w:val="center"/>
              <w:rPr>
                <w:rFonts w:hint="eastAsia"/>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+3.60 t/a</w:t>
            </w:r>
          </w:p>
        </w:tc>
      </w:tr>
      <w:tr w14:paraId="1F3876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 w:type="pct"/>
            <w:vMerge w:val="continue"/>
            <w:noWrap w:val="0"/>
            <w:vAlign w:val="center"/>
          </w:tcPr>
          <w:p w14:paraId="0722775B">
            <w:pPr>
              <w:pStyle w:val="26"/>
              <w:rPr>
                <w:rFonts w:hint="eastAsia"/>
                <w:color w:val="000000" w:themeColor="text1"/>
                <w:highlight w:val="none"/>
                <w:lang w:val="en-US" w:eastAsia="zh-CN"/>
                <w14:textFill>
                  <w14:solidFill>
                    <w14:schemeClr w14:val="tx1"/>
                  </w14:solidFill>
                </w14:textFill>
              </w:rPr>
            </w:pPr>
          </w:p>
        </w:tc>
        <w:tc>
          <w:tcPr>
            <w:tcW w:w="555" w:type="pct"/>
            <w:noWrap w:val="0"/>
            <w:vAlign w:val="center"/>
          </w:tcPr>
          <w:p w14:paraId="447A77CD">
            <w:pPr>
              <w:pStyle w:val="26"/>
              <w:bidi w:val="0"/>
              <w:ind w:firstLine="0" w:firstLineChars="0"/>
              <w:jc w:val="center"/>
              <w:rPr>
                <w:rFonts w:hint="eastAsia" w:ascii="Times New Roman" w:hAnsi="Times New Roman" w:cs="Times New Roman"/>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废含油抹布、手套</w:t>
            </w:r>
          </w:p>
        </w:tc>
        <w:tc>
          <w:tcPr>
            <w:tcW w:w="656" w:type="pct"/>
            <w:noWrap w:val="0"/>
            <w:vAlign w:val="center"/>
          </w:tcPr>
          <w:p w14:paraId="38774B0B">
            <w:pPr>
              <w:pStyle w:val="26"/>
              <w:bidi w:val="0"/>
              <w:jc w:val="center"/>
              <w:rPr>
                <w:color w:val="000000" w:themeColor="text1"/>
                <w:highlight w:val="none"/>
                <w:lang w:val="en-US" w:eastAsia="zh-CN"/>
                <w14:textFill>
                  <w14:solidFill>
                    <w14:schemeClr w14:val="tx1"/>
                  </w14:solidFill>
                </w14:textFill>
              </w:rPr>
            </w:pPr>
          </w:p>
        </w:tc>
        <w:tc>
          <w:tcPr>
            <w:tcW w:w="451" w:type="pct"/>
            <w:noWrap w:val="0"/>
            <w:vAlign w:val="center"/>
          </w:tcPr>
          <w:p w14:paraId="4A66DCDD">
            <w:pPr>
              <w:pStyle w:val="26"/>
              <w:bidi w:val="0"/>
              <w:jc w:val="center"/>
              <w:rPr>
                <w:color w:val="000000" w:themeColor="text1"/>
                <w:highlight w:val="none"/>
                <w:lang w:val="en-US" w:eastAsia="zh-CN"/>
                <w14:textFill>
                  <w14:solidFill>
                    <w14:schemeClr w14:val="tx1"/>
                  </w14:solidFill>
                </w14:textFill>
              </w:rPr>
            </w:pPr>
          </w:p>
        </w:tc>
        <w:tc>
          <w:tcPr>
            <w:tcW w:w="607" w:type="pct"/>
            <w:noWrap w:val="0"/>
            <w:vAlign w:val="center"/>
          </w:tcPr>
          <w:p w14:paraId="2702D04F">
            <w:pPr>
              <w:pStyle w:val="26"/>
              <w:bidi w:val="0"/>
              <w:jc w:val="center"/>
              <w:rPr>
                <w:color w:val="000000" w:themeColor="text1"/>
                <w:highlight w:val="none"/>
                <w:lang w:val="en-US" w:eastAsia="zh-CN"/>
                <w14:textFill>
                  <w14:solidFill>
                    <w14:schemeClr w14:val="tx1"/>
                  </w14:solidFill>
                </w14:textFill>
              </w:rPr>
            </w:pPr>
          </w:p>
        </w:tc>
        <w:tc>
          <w:tcPr>
            <w:tcW w:w="555" w:type="pct"/>
            <w:noWrap w:val="0"/>
            <w:vAlign w:val="center"/>
          </w:tcPr>
          <w:p w14:paraId="5AF289CF">
            <w:pPr>
              <w:pStyle w:val="26"/>
              <w:bidi w:val="0"/>
              <w:ind w:firstLine="0" w:firstLineChars="0"/>
              <w:jc w:val="center"/>
              <w:rPr>
                <w:rFonts w:hint="default"/>
                <w:color w:val="000000" w:themeColor="text1"/>
                <w:sz w:val="21"/>
                <w:szCs w:val="22"/>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0.01</w:t>
            </w:r>
            <w:r>
              <w:rPr>
                <w:rFonts w:hint="eastAsia"/>
                <w:color w:val="000000" w:themeColor="text1"/>
                <w:highlight w:val="none"/>
                <w:lang w:val="en-US" w:eastAsia="zh-CN"/>
                <w14:textFill>
                  <w14:solidFill>
                    <w14:schemeClr w14:val="tx1"/>
                  </w14:solidFill>
                </w14:textFill>
              </w:rPr>
              <w:t>5 t/a</w:t>
            </w:r>
          </w:p>
        </w:tc>
        <w:tc>
          <w:tcPr>
            <w:tcW w:w="538" w:type="pct"/>
            <w:noWrap w:val="0"/>
            <w:vAlign w:val="center"/>
          </w:tcPr>
          <w:p w14:paraId="5109DAC6">
            <w:pPr>
              <w:pStyle w:val="26"/>
              <w:bidi w:val="0"/>
              <w:jc w:val="center"/>
              <w:rPr>
                <w:color w:val="000000" w:themeColor="text1"/>
                <w:highlight w:val="none"/>
                <w:lang w:val="en-US" w:eastAsia="zh-CN"/>
                <w14:textFill>
                  <w14:solidFill>
                    <w14:schemeClr w14:val="tx1"/>
                  </w14:solidFill>
                </w14:textFill>
              </w:rPr>
            </w:pPr>
          </w:p>
        </w:tc>
        <w:tc>
          <w:tcPr>
            <w:tcW w:w="609" w:type="pct"/>
            <w:noWrap w:val="0"/>
            <w:vAlign w:val="center"/>
          </w:tcPr>
          <w:p w14:paraId="38D594BB">
            <w:pPr>
              <w:pStyle w:val="26"/>
              <w:bidi w:val="0"/>
              <w:ind w:firstLine="0" w:firstLineChars="0"/>
              <w:jc w:val="center"/>
              <w:rPr>
                <w:rFonts w:hint="default"/>
                <w:color w:val="000000" w:themeColor="text1"/>
                <w:sz w:val="21"/>
                <w:szCs w:val="22"/>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0.01</w:t>
            </w:r>
            <w:r>
              <w:rPr>
                <w:rFonts w:hint="eastAsia"/>
                <w:color w:val="000000" w:themeColor="text1"/>
                <w:highlight w:val="none"/>
                <w:lang w:val="en-US" w:eastAsia="zh-CN"/>
                <w14:textFill>
                  <w14:solidFill>
                    <w14:schemeClr w14:val="tx1"/>
                  </w14:solidFill>
                </w14:textFill>
              </w:rPr>
              <w:t>5 t/a</w:t>
            </w:r>
          </w:p>
        </w:tc>
        <w:tc>
          <w:tcPr>
            <w:tcW w:w="565" w:type="pct"/>
            <w:noWrap w:val="0"/>
            <w:vAlign w:val="center"/>
          </w:tcPr>
          <w:p w14:paraId="5CF938AF">
            <w:pPr>
              <w:pStyle w:val="26"/>
              <w:bidi w:val="0"/>
              <w:ind w:firstLine="0" w:firstLineChars="0"/>
              <w:jc w:val="center"/>
              <w:rPr>
                <w:rFonts w:hint="eastAsia"/>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0.01</w:t>
            </w:r>
            <w:r>
              <w:rPr>
                <w:rFonts w:hint="eastAsia"/>
                <w:color w:val="000000" w:themeColor="text1"/>
                <w:highlight w:val="none"/>
                <w:lang w:val="en-US" w:eastAsia="zh-CN"/>
                <w14:textFill>
                  <w14:solidFill>
                    <w14:schemeClr w14:val="tx1"/>
                  </w14:solidFill>
                </w14:textFill>
              </w:rPr>
              <w:t>5 t/a</w:t>
            </w:r>
          </w:p>
        </w:tc>
      </w:tr>
      <w:tr w14:paraId="007CA6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 w:type="pct"/>
            <w:noWrap w:val="0"/>
            <w:vAlign w:val="center"/>
          </w:tcPr>
          <w:p w14:paraId="08EB47E0">
            <w:pPr>
              <w:pStyle w:val="26"/>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其他</w:t>
            </w:r>
          </w:p>
        </w:tc>
        <w:tc>
          <w:tcPr>
            <w:tcW w:w="555" w:type="pct"/>
            <w:noWrap w:val="0"/>
            <w:vAlign w:val="center"/>
          </w:tcPr>
          <w:p w14:paraId="3291A36E">
            <w:pPr>
              <w:pStyle w:val="26"/>
              <w:rPr>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生活垃圾</w:t>
            </w:r>
          </w:p>
        </w:tc>
        <w:tc>
          <w:tcPr>
            <w:tcW w:w="656" w:type="pct"/>
            <w:noWrap w:val="0"/>
            <w:vAlign w:val="center"/>
          </w:tcPr>
          <w:p w14:paraId="7B6952A7">
            <w:pPr>
              <w:pStyle w:val="26"/>
              <w:bidi w:val="0"/>
              <w:jc w:val="center"/>
              <w:rPr>
                <w:color w:val="000000" w:themeColor="text1"/>
                <w:highlight w:val="none"/>
                <w:lang w:val="en-US" w:eastAsia="zh-CN"/>
                <w14:textFill>
                  <w14:solidFill>
                    <w14:schemeClr w14:val="tx1"/>
                  </w14:solidFill>
                </w14:textFill>
              </w:rPr>
            </w:pPr>
          </w:p>
        </w:tc>
        <w:tc>
          <w:tcPr>
            <w:tcW w:w="451" w:type="pct"/>
            <w:noWrap w:val="0"/>
            <w:vAlign w:val="center"/>
          </w:tcPr>
          <w:p w14:paraId="62B43184">
            <w:pPr>
              <w:pStyle w:val="26"/>
              <w:bidi w:val="0"/>
              <w:jc w:val="center"/>
              <w:rPr>
                <w:color w:val="000000" w:themeColor="text1"/>
                <w:highlight w:val="none"/>
                <w:lang w:val="en-US" w:eastAsia="zh-CN"/>
                <w14:textFill>
                  <w14:solidFill>
                    <w14:schemeClr w14:val="tx1"/>
                  </w14:solidFill>
                </w14:textFill>
              </w:rPr>
            </w:pPr>
          </w:p>
        </w:tc>
        <w:tc>
          <w:tcPr>
            <w:tcW w:w="607" w:type="pct"/>
            <w:noWrap w:val="0"/>
            <w:vAlign w:val="center"/>
          </w:tcPr>
          <w:p w14:paraId="5445FEB8">
            <w:pPr>
              <w:pStyle w:val="26"/>
              <w:bidi w:val="0"/>
              <w:jc w:val="center"/>
              <w:rPr>
                <w:color w:val="000000" w:themeColor="text1"/>
                <w:highlight w:val="none"/>
                <w:lang w:val="en-US" w:eastAsia="zh-CN"/>
                <w14:textFill>
                  <w14:solidFill>
                    <w14:schemeClr w14:val="tx1"/>
                  </w14:solidFill>
                </w14:textFill>
              </w:rPr>
            </w:pPr>
          </w:p>
        </w:tc>
        <w:tc>
          <w:tcPr>
            <w:tcW w:w="555" w:type="pct"/>
            <w:noWrap w:val="0"/>
            <w:vAlign w:val="center"/>
          </w:tcPr>
          <w:p w14:paraId="6A2C60B7">
            <w:pPr>
              <w:pStyle w:val="26"/>
              <w:bidi w:val="0"/>
              <w:ind w:firstLine="0" w:firstLineChars="0"/>
              <w:jc w:val="center"/>
              <w:rPr>
                <w:rFonts w:hint="default"/>
                <w:color w:val="000000" w:themeColor="text1"/>
                <w:sz w:val="21"/>
                <w:szCs w:val="22"/>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3.45</w:t>
            </w:r>
            <w:r>
              <w:rPr>
                <w:rFonts w:hint="eastAsia"/>
                <w:color w:val="000000" w:themeColor="text1"/>
                <w:highlight w:val="none"/>
                <w:lang w:val="en-US" w:eastAsia="zh-CN"/>
                <w14:textFill>
                  <w14:solidFill>
                    <w14:schemeClr w14:val="tx1"/>
                  </w14:solidFill>
                </w14:textFill>
              </w:rPr>
              <w:t xml:space="preserve"> t/a</w:t>
            </w:r>
          </w:p>
        </w:tc>
        <w:tc>
          <w:tcPr>
            <w:tcW w:w="538" w:type="pct"/>
            <w:noWrap w:val="0"/>
            <w:vAlign w:val="center"/>
          </w:tcPr>
          <w:p w14:paraId="4E8D09D0">
            <w:pPr>
              <w:pStyle w:val="26"/>
              <w:bidi w:val="0"/>
              <w:jc w:val="center"/>
              <w:rPr>
                <w:color w:val="000000" w:themeColor="text1"/>
                <w:highlight w:val="none"/>
                <w:lang w:val="en-US" w:eastAsia="zh-CN"/>
                <w14:textFill>
                  <w14:solidFill>
                    <w14:schemeClr w14:val="tx1"/>
                  </w14:solidFill>
                </w14:textFill>
              </w:rPr>
            </w:pPr>
          </w:p>
        </w:tc>
        <w:tc>
          <w:tcPr>
            <w:tcW w:w="609" w:type="pct"/>
            <w:noWrap w:val="0"/>
            <w:vAlign w:val="center"/>
          </w:tcPr>
          <w:p w14:paraId="6FD19256">
            <w:pPr>
              <w:pStyle w:val="26"/>
              <w:bidi w:val="0"/>
              <w:ind w:firstLine="0" w:firstLineChars="0"/>
              <w:jc w:val="center"/>
              <w:rPr>
                <w:rFonts w:hint="default"/>
                <w:color w:val="000000" w:themeColor="text1"/>
                <w:sz w:val="21"/>
                <w:szCs w:val="22"/>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3.45</w:t>
            </w:r>
            <w:r>
              <w:rPr>
                <w:rFonts w:hint="eastAsia"/>
                <w:color w:val="000000" w:themeColor="text1"/>
                <w:highlight w:val="none"/>
                <w:lang w:val="en-US" w:eastAsia="zh-CN"/>
                <w14:textFill>
                  <w14:solidFill>
                    <w14:schemeClr w14:val="tx1"/>
                  </w14:solidFill>
                </w14:textFill>
              </w:rPr>
              <w:t xml:space="preserve"> t/a</w:t>
            </w:r>
          </w:p>
        </w:tc>
        <w:tc>
          <w:tcPr>
            <w:tcW w:w="565" w:type="pct"/>
            <w:noWrap w:val="0"/>
            <w:vAlign w:val="center"/>
          </w:tcPr>
          <w:p w14:paraId="0818CF16">
            <w:pPr>
              <w:pStyle w:val="26"/>
              <w:bidi w:val="0"/>
              <w:ind w:firstLine="0" w:firstLineChars="0"/>
              <w:jc w:val="center"/>
              <w:rPr>
                <w:rFonts w:hint="default"/>
                <w:color w:val="000000" w:themeColor="text1"/>
                <w:sz w:val="2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3.45</w:t>
            </w:r>
            <w:r>
              <w:rPr>
                <w:rFonts w:hint="eastAsia"/>
                <w:color w:val="000000" w:themeColor="text1"/>
                <w:highlight w:val="none"/>
                <w:lang w:val="en-US" w:eastAsia="zh-CN"/>
                <w14:textFill>
                  <w14:solidFill>
                    <w14:schemeClr w14:val="tx1"/>
                  </w14:solidFill>
                </w14:textFill>
              </w:rPr>
              <w:t xml:space="preserve"> t/a</w:t>
            </w:r>
          </w:p>
        </w:tc>
      </w:tr>
      <w:tr w14:paraId="325211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9"/>
            <w:noWrap w:val="0"/>
            <w:vAlign w:val="center"/>
          </w:tcPr>
          <w:p w14:paraId="735EA3F1">
            <w:pPr>
              <w:pStyle w:val="26"/>
              <w:bidi w:val="0"/>
              <w:ind w:firstLine="0" w:firstLineChars="0"/>
              <w:jc w:val="both"/>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注：危险废物中的废活性炭表示一期工程产生量，二期工程实施后，无废活性炭产生。</w:t>
            </w:r>
          </w:p>
        </w:tc>
      </w:tr>
    </w:tbl>
    <w:p w14:paraId="5E5A75E0">
      <w:pPr>
        <w:bidi w:val="0"/>
        <w:ind w:left="0" w:leftChars="0" w:firstLine="0" w:firstLineChars="0"/>
        <w:jc w:val="left"/>
        <w:rPr>
          <w:rFonts w:hint="default" w:ascii="宋体" w:hAnsi="宋体" w:cs="宋体"/>
          <w:b/>
          <w:bCs/>
          <w:color w:val="000000" w:themeColor="text1"/>
          <w:sz w:val="30"/>
          <w:szCs w:val="30"/>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注：⑥=①+③+④-⑤；⑦=⑥-①</w:t>
      </w:r>
    </w:p>
    <w:p w14:paraId="330F80F0">
      <w:pPr>
        <w:bidi w:val="0"/>
        <w:rPr>
          <w:rFonts w:hint="default" w:ascii="Times New Roman" w:hAnsi="Times New Roman" w:cs="Times New Roman"/>
          <w:color w:val="000000" w:themeColor="text1"/>
          <w:highlight w:val="none"/>
          <w:lang w:eastAsia="zh-CN"/>
          <w14:textFill>
            <w14:solidFill>
              <w14:schemeClr w14:val="tx1"/>
            </w14:solidFill>
          </w14:textFill>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62037A3C">
      <w:pPr>
        <w:pStyle w:val="5"/>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附图1：项目地理位置图</w:t>
      </w:r>
    </w:p>
    <w:p w14:paraId="286723CF">
      <w:pPr>
        <w:ind w:left="0" w:leftChars="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drawing>
          <wp:inline distT="0" distB="0" distL="114300" distR="114300">
            <wp:extent cx="7711440" cy="5293995"/>
            <wp:effectExtent l="0" t="0" r="3810" b="1905"/>
            <wp:docPr id="20" name="图片 921" descr="永安市地理位置图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21" descr="永安市地理位置图PS"/>
                    <pic:cNvPicPr>
                      <a:picLocks noChangeAspect="1"/>
                    </pic:cNvPicPr>
                  </pic:nvPicPr>
                  <pic:blipFill>
                    <a:blip r:embed="rId56"/>
                    <a:stretch>
                      <a:fillRect/>
                    </a:stretch>
                  </pic:blipFill>
                  <pic:spPr>
                    <a:xfrm>
                      <a:off x="0" y="0"/>
                      <a:ext cx="7711440" cy="5293995"/>
                    </a:xfrm>
                    <a:prstGeom prst="rect">
                      <a:avLst/>
                    </a:prstGeom>
                    <a:noFill/>
                    <a:ln>
                      <a:noFill/>
                    </a:ln>
                  </pic:spPr>
                </pic:pic>
              </a:graphicData>
            </a:graphic>
          </wp:inline>
        </w:drawing>
      </w:r>
    </w:p>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_GBK">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2"/>
    <w:family w:val="auto"/>
    <w:pitch w:val="default"/>
    <w:sig w:usb0="00000000" w:usb1="00000000" w:usb2="00000000" w:usb3="00000000" w:csb0="80000000" w:csb1="00000000"/>
  </w:font>
  <w:font w:name="Helvetica">
    <w:altName w:val="Arial"/>
    <w:panose1 w:val="020B0604020202020204"/>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BCF03">
    <w:pPr>
      <w:tabs>
        <w:tab w:val="center" w:pos="4153"/>
        <w:tab w:val="right" w:pos="8306"/>
      </w:tabs>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AB3CD">
    <w:pPr>
      <w:framePr w:wrap="around" w:vAnchor="text" w:hAnchor="margin" w:xAlign="center" w:y="1"/>
      <w:tabs>
        <w:tab w:val="center" w:pos="4153"/>
        <w:tab w:val="right" w:pos="8306"/>
      </w:tabs>
    </w:pPr>
    <w:r>
      <w:fldChar w:fldCharType="begin"/>
    </w:r>
    <w:r>
      <w:instrText xml:space="preserve">PAGE  </w:instrText>
    </w:r>
    <w:r>
      <w:fldChar w:fldCharType="end"/>
    </w:r>
  </w:p>
  <w:p w14:paraId="448B7C53">
    <w:pPr>
      <w:tabs>
        <w:tab w:val="center" w:pos="4153"/>
        <w:tab w:val="right" w:pos="8306"/>
      </w:tabs>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8D936">
    <w:pPr>
      <w:tabs>
        <w:tab w:val="center" w:pos="4153"/>
        <w:tab w:val="right" w:pos="8306"/>
      </w:tabs>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A3E430A">
                          <w:pPr>
                            <w:pStyle w:val="12"/>
                            <w:keepNext w:val="0"/>
                            <w:keepLines w:val="0"/>
                            <w:pageBreakBefore w:val="0"/>
                            <w:widowControl w:val="0"/>
                            <w:kinsoku/>
                            <w:wordWrap/>
                            <w:overflowPunct/>
                            <w:topLinePunct w:val="0"/>
                            <w:bidi w:val="0"/>
                            <w:adjustRightInd/>
                            <w:snapToGrid w:val="0"/>
                            <w:spacing w:line="240" w:lineRule="auto"/>
                            <w:ind w:firstLine="0" w:firstLineChars="0"/>
                            <w:textAlignment w:val="auto"/>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kEORi3gEAAMADAAAOAAAAAAAA&#10;AAEAIAAAAB4BAABkcnMvZTJvRG9jLnhtbFBLBQYAAAAABgAGAFkBAABuBQAAAAA=&#10;">
              <v:fill on="f" focussize="0,0"/>
              <v:stroke on="f"/>
              <v:imagedata o:title=""/>
              <o:lock v:ext="edit" aspectratio="f"/>
              <v:textbox inset="0mm,0mm,0mm,0mm" style="mso-fit-shape-to-text:t;">
                <w:txbxContent>
                  <w:p w14:paraId="2A3E430A">
                    <w:pPr>
                      <w:pStyle w:val="12"/>
                      <w:keepNext w:val="0"/>
                      <w:keepLines w:val="0"/>
                      <w:pageBreakBefore w:val="0"/>
                      <w:widowControl w:val="0"/>
                      <w:kinsoku/>
                      <w:wordWrap/>
                      <w:overflowPunct/>
                      <w:topLinePunct w:val="0"/>
                      <w:bidi w:val="0"/>
                      <w:adjustRightInd/>
                      <w:snapToGrid w:val="0"/>
                      <w:spacing w:line="240" w:lineRule="auto"/>
                      <w:ind w:firstLine="0" w:firstLineChars="0"/>
                      <w:textAlignment w:val="auto"/>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C604A">
    <w:pPr>
      <w:tabs>
        <w:tab w:val="center" w:pos="4153"/>
        <w:tab w:val="right" w:pos="8306"/>
      </w:tabs>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FAF9B4">
                          <w:pPr>
                            <w:pStyle w:val="12"/>
                          </w:pPr>
                          <w:r>
                            <w:fldChar w:fldCharType="begin"/>
                          </w:r>
                          <w:r>
                            <w:instrText xml:space="preserve"> PAGE  \* MERGEFORMAT </w:instrText>
                          </w:r>
                          <w:r>
                            <w:fldChar w:fldCharType="separate"/>
                          </w:r>
                          <w:r>
                            <w:t>15</w:t>
                          </w:r>
                          <w:r>
                            <w:fldChar w:fldCharType="end"/>
                          </w:r>
                        </w:p>
                      </w:txbxContent>
                    </wps:txbx>
                    <wps:bodyPr vert="horz" wrap="none" lIns="0" tIns="0" rIns="0" bIns="0" anchor="t" anchorCtr="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AkQtj3gEAAMADAAAOAAAAAAAA&#10;AAEAIAAAAB4BAABkcnMvZTJvRG9jLnhtbFBLBQYAAAAABgAGAFkBAABuBQAAAAA=&#10;">
              <v:fill on="f" focussize="0,0"/>
              <v:stroke on="f"/>
              <v:imagedata o:title=""/>
              <o:lock v:ext="edit" aspectratio="f"/>
              <v:textbox inset="0mm,0mm,0mm,0mm" style="mso-fit-shape-to-text:t;">
                <w:txbxContent>
                  <w:p w14:paraId="10FAF9B4">
                    <w:pPr>
                      <w:pStyle w:val="12"/>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819AD">
    <w:pPr>
      <w:tabs>
        <w:tab w:val="center" w:pos="4153"/>
        <w:tab w:val="right" w:pos="8306"/>
      </w:tabs>
      <w:ind w:firstLine="480"/>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4658EF">
                          <w:pPr>
                            <w:pStyle w:val="12"/>
                            <w:keepNext w:val="0"/>
                            <w:keepLines w:val="0"/>
                            <w:pageBreakBefore w:val="0"/>
                            <w:widowControl w:val="0"/>
                            <w:kinsoku/>
                            <w:wordWrap/>
                            <w:overflowPunct/>
                            <w:topLinePunct w:val="0"/>
                            <w:bidi w:val="0"/>
                            <w:adjustRightInd/>
                            <w:snapToGrid w:val="0"/>
                            <w:ind w:firstLine="0" w:firstLineChars="0"/>
                            <w:textAlignment w:val="auto"/>
                          </w:pPr>
                          <w:r>
                            <w:fldChar w:fldCharType="begin"/>
                          </w:r>
                          <w:r>
                            <w:instrText xml:space="preserve"> PAGE  \* MERGEFORMAT </w:instrText>
                          </w:r>
                          <w:r>
                            <w:fldChar w:fldCharType="separate"/>
                          </w:r>
                          <w:r>
                            <w:t>35</w:t>
                          </w:r>
                          <w:r>
                            <w:fldChar w:fldCharType="end"/>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tuUKit8BAADAAwAADgAAAAAA&#10;AAABACAAAAAeAQAAZHJzL2Uyb0RvYy54bWxQSwUGAAAAAAYABgBZAQAAbwUAAAAA&#10;">
              <v:fill on="f" focussize="0,0"/>
              <v:stroke on="f"/>
              <v:imagedata o:title=""/>
              <o:lock v:ext="edit" aspectratio="f"/>
              <v:textbox inset="0mm,0mm,0mm,0mm" style="mso-fit-shape-to-text:t;">
                <w:txbxContent>
                  <w:p w14:paraId="214658EF">
                    <w:pPr>
                      <w:pStyle w:val="12"/>
                      <w:keepNext w:val="0"/>
                      <w:keepLines w:val="0"/>
                      <w:pageBreakBefore w:val="0"/>
                      <w:widowControl w:val="0"/>
                      <w:kinsoku/>
                      <w:wordWrap/>
                      <w:overflowPunct/>
                      <w:topLinePunct w:val="0"/>
                      <w:bidi w:val="0"/>
                      <w:adjustRightInd/>
                      <w:snapToGrid w:val="0"/>
                      <w:ind w:firstLine="0" w:firstLineChars="0"/>
                      <w:textAlignment w:val="auto"/>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BA3BA">
    <w:pPr>
      <w:pStyle w:val="1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70DDD">
    <w:pPr>
      <w:ind w:left="0" w:leftChars="0" w:firstLine="0" w:firstLineChars="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B4238B"/>
    <w:multiLevelType w:val="multilevel"/>
    <w:tmpl w:val="8CB4238B"/>
    <w:lvl w:ilvl="0" w:tentative="0">
      <w:start w:val="1"/>
      <w:numFmt w:val="chineseCounting"/>
      <w:suff w:val="nothing"/>
      <w:lvlText w:val="%1、"/>
      <w:lvlJc w:val="left"/>
      <w:pPr>
        <w:tabs>
          <w:tab w:val="left" w:pos="0"/>
        </w:tabs>
        <w:ind w:left="0" w:firstLine="0"/>
      </w:pPr>
      <w:rPr>
        <w:rFonts w:hint="eastAsia" w:ascii="宋体" w:hAnsi="宋体" w:eastAsia="黑体" w:cs="宋体"/>
        <w:b w:val="0"/>
        <w:bCs/>
        <w:sz w:val="30"/>
        <w:szCs w:val="30"/>
      </w:rPr>
    </w:lvl>
    <w:lvl w:ilvl="1" w:tentative="0">
      <w:start w:val="1"/>
      <w:numFmt w:val="decimal"/>
      <w:isLgl/>
      <w:suff w:val="space"/>
      <w:lvlText w:val="%1.%2"/>
      <w:lvlJc w:val="left"/>
      <w:pPr>
        <w:tabs>
          <w:tab w:val="left" w:pos="0"/>
        </w:tabs>
        <w:ind w:left="0" w:firstLine="0"/>
      </w:pPr>
      <w:rPr>
        <w:rFonts w:hint="eastAsia" w:ascii="Times New Roman" w:hAnsi="Times New Roman" w:eastAsia="宋体" w:cs="宋体"/>
        <w:b/>
        <w:bCs/>
        <w:sz w:val="30"/>
        <w:szCs w:val="30"/>
      </w:rPr>
    </w:lvl>
    <w:lvl w:ilvl="2" w:tentative="0">
      <w:start w:val="1"/>
      <w:numFmt w:val="decimal"/>
      <w:isLgl/>
      <w:suff w:val="space"/>
      <w:lvlText w:val="%1.%2.%3"/>
      <w:lvlJc w:val="left"/>
      <w:pPr>
        <w:tabs>
          <w:tab w:val="left" w:pos="0"/>
        </w:tabs>
        <w:ind w:left="0" w:firstLine="0"/>
      </w:pPr>
      <w:rPr>
        <w:rFonts w:hint="eastAsia" w:ascii="Times New Roman" w:hAnsi="Times New Roman" w:eastAsia="宋体" w:cs="宋体"/>
        <w:b/>
        <w:bCs/>
        <w:sz w:val="24"/>
        <w:szCs w:val="28"/>
        <w:highlight w:val="none"/>
      </w:rPr>
    </w:lvl>
    <w:lvl w:ilvl="3" w:tentative="0">
      <w:start w:val="1"/>
      <w:numFmt w:val="decimal"/>
      <w:isLgl/>
      <w:suff w:val="space"/>
      <w:lvlText w:val="%1.%2.%3.%4"/>
      <w:lvlJc w:val="left"/>
      <w:pPr>
        <w:tabs>
          <w:tab w:val="left" w:pos="0"/>
        </w:tabs>
        <w:ind w:left="0" w:firstLine="0"/>
      </w:pPr>
      <w:rPr>
        <w:rFonts w:hint="eastAsia" w:ascii="Times New Roman" w:hAnsi="Times New Roman" w:eastAsia="宋体" w:cs="宋体"/>
        <w:sz w:val="24"/>
        <w:szCs w:val="24"/>
      </w:rPr>
    </w:lvl>
    <w:lvl w:ilvl="4" w:tentative="0">
      <w:start w:val="1"/>
      <w:numFmt w:val="none"/>
      <w:pStyle w:val="6"/>
      <w:suff w:val="nothing"/>
      <w:lvlText w:val="%5"/>
      <w:lvlJc w:val="left"/>
      <w:pPr>
        <w:tabs>
          <w:tab w:val="left" w:pos="420"/>
        </w:tabs>
        <w:ind w:left="0" w:firstLine="0"/>
      </w:pPr>
      <w:rPr>
        <w:rFonts w:hint="eastAsia" w:ascii="宋体" w:hAnsi="宋体" w:eastAsia="宋体" w:cs="宋体"/>
        <w:sz w:val="24"/>
        <w:szCs w:val="24"/>
      </w:rPr>
    </w:lvl>
    <w:lvl w:ilvl="5" w:tentative="0">
      <w:start w:val="1"/>
      <w:numFmt w:val="none"/>
      <w:pStyle w:val="7"/>
      <w:suff w:val="nothing"/>
      <w:lvlText w:val="%6"/>
      <w:lvlJc w:val="left"/>
      <w:pPr>
        <w:tabs>
          <w:tab w:val="left" w:pos="420"/>
        </w:tabs>
        <w:ind w:left="1151" w:hanging="1151"/>
      </w:pPr>
      <w:rPr>
        <w:rFonts w:hint="eastAsia" w:ascii="宋体" w:hAnsi="宋体" w:eastAsia="宋体" w:cs="宋体"/>
      </w:rPr>
    </w:lvl>
    <w:lvl w:ilvl="6" w:tentative="0">
      <w:start w:val="1"/>
      <w:numFmt w:val="none"/>
      <w:lvlRestart w:val="2"/>
      <w:suff w:val="nothing"/>
      <w:lvlText w:val=""/>
      <w:lvlJc w:val="left"/>
      <w:pPr>
        <w:tabs>
          <w:tab w:val="left" w:pos="420"/>
        </w:tabs>
        <w:ind w:left="1296" w:hanging="1296"/>
      </w:pPr>
      <w:rPr>
        <w:rFonts w:hint="eastAsia" w:ascii="宋体" w:hAnsi="宋体" w:eastAsia="宋体" w:cs="宋体"/>
      </w:rPr>
    </w:lvl>
    <w:lvl w:ilvl="7" w:tentative="0">
      <w:start w:val="1"/>
      <w:numFmt w:val="decimal"/>
      <w:lvlRestart w:val="2"/>
      <w:isLgl/>
      <w:suff w:val="space"/>
      <w:lvlText w:val="表%1.%2-%8"/>
      <w:lvlJc w:val="left"/>
      <w:pPr>
        <w:tabs>
          <w:tab w:val="left" w:pos="0"/>
        </w:tabs>
        <w:ind w:left="1440" w:hanging="1440"/>
      </w:pPr>
      <w:rPr>
        <w:rFonts w:hint="eastAsia" w:ascii="Times New Roman" w:hAnsi="Times New Roman" w:eastAsia="宋体" w:cs="Cambria"/>
        <w:highlight w:val="none"/>
      </w:rPr>
    </w:lvl>
    <w:lvl w:ilvl="8" w:tentative="0">
      <w:start w:val="1"/>
      <w:numFmt w:val="decimal"/>
      <w:lvlRestart w:val="2"/>
      <w:isLgl/>
      <w:suff w:val="space"/>
      <w:lvlText w:val="图%1.%2-%9"/>
      <w:lvlJc w:val="left"/>
      <w:pPr>
        <w:tabs>
          <w:tab w:val="left" w:pos="420"/>
        </w:tabs>
        <w:ind w:left="1583" w:hanging="1583"/>
      </w:pPr>
      <w:rPr>
        <w:rFonts w:hint="eastAsia" w:ascii="Times New Roman" w:hAnsi="Times New Roman" w:eastAsia="宋体" w:cs="Cambria"/>
      </w:rPr>
    </w:lvl>
  </w:abstractNum>
  <w:abstractNum w:abstractNumId="1">
    <w:nsid w:val="F12391BF"/>
    <w:multiLevelType w:val="singleLevel"/>
    <w:tmpl w:val="F12391BF"/>
    <w:lvl w:ilvl="0" w:tentative="0">
      <w:start w:val="1"/>
      <w:numFmt w:val="upperLetter"/>
      <w:suff w:val="space"/>
      <w:lvlText w:val="%1."/>
      <w:lvlJc w:val="left"/>
    </w:lvl>
  </w:abstractNum>
  <w:abstractNum w:abstractNumId="2">
    <w:nsid w:val="0C388FF6"/>
    <w:multiLevelType w:val="multilevel"/>
    <w:tmpl w:val="0C388FF6"/>
    <w:lvl w:ilvl="0" w:tentative="0">
      <w:start w:val="1"/>
      <w:numFmt w:val="chineseCounting"/>
      <w:pStyle w:val="32"/>
      <w:suff w:val="nothing"/>
      <w:lvlText w:val="%1、"/>
      <w:lvlJc w:val="left"/>
      <w:pPr>
        <w:tabs>
          <w:tab w:val="left" w:pos="0"/>
        </w:tabs>
        <w:ind w:left="0" w:firstLine="0"/>
      </w:pPr>
      <w:rPr>
        <w:rFonts w:hint="eastAsia" w:ascii="黑体" w:hAnsi="黑体" w:eastAsia="黑体" w:cs="宋体"/>
      </w:rPr>
    </w:lvl>
    <w:lvl w:ilvl="1" w:tentative="0">
      <w:start w:val="1"/>
      <w:numFmt w:val="decimal"/>
      <w:pStyle w:val="2"/>
      <w:isLgl/>
      <w:suff w:val="space"/>
      <w:lvlText w:val="%1.%2"/>
      <w:lvlJc w:val="left"/>
      <w:pPr>
        <w:tabs>
          <w:tab w:val="left" w:pos="420"/>
        </w:tabs>
        <w:ind w:left="0" w:firstLine="0"/>
      </w:pPr>
      <w:rPr>
        <w:rFonts w:hint="eastAsia" w:ascii="Times New Roman" w:hAnsi="Times New Roman" w:eastAsia="宋体" w:cs="宋体"/>
      </w:rPr>
    </w:lvl>
    <w:lvl w:ilvl="2" w:tentative="0">
      <w:start w:val="1"/>
      <w:numFmt w:val="decimal"/>
      <w:pStyle w:val="3"/>
      <w:isLgl/>
      <w:suff w:val="space"/>
      <w:lvlText w:val="%1.%2.%3"/>
      <w:lvlJc w:val="left"/>
      <w:pPr>
        <w:tabs>
          <w:tab w:val="left" w:pos="0"/>
        </w:tabs>
        <w:ind w:left="0" w:firstLine="0"/>
      </w:pPr>
      <w:rPr>
        <w:rFonts w:hint="eastAsia" w:ascii="Times New Roman" w:hAnsi="Times New Roman" w:eastAsia="宋体" w:cs="宋体"/>
      </w:rPr>
    </w:lvl>
    <w:lvl w:ilvl="3" w:tentative="0">
      <w:start w:val="1"/>
      <w:numFmt w:val="decimal"/>
      <w:pStyle w:val="4"/>
      <w:isLgl/>
      <w:suff w:val="space"/>
      <w:lvlText w:val="%1.%2.%3.%4"/>
      <w:lvlJc w:val="left"/>
      <w:pPr>
        <w:tabs>
          <w:tab w:val="left" w:pos="420"/>
        </w:tabs>
        <w:ind w:left="0" w:firstLine="0"/>
      </w:pPr>
      <w:rPr>
        <w:rFonts w:hint="eastAsia" w:ascii="Times New Roman" w:hAnsi="Times New Roman" w:eastAsia="宋体" w:cs="宋体"/>
      </w:rPr>
    </w:lvl>
    <w:lvl w:ilvl="4" w:tentative="0">
      <w:start w:val="1"/>
      <w:numFmt w:val="decimal"/>
      <w:lvlRestart w:val="2"/>
      <w:pStyle w:val="30"/>
      <w:isLgl/>
      <w:suff w:val="space"/>
      <w:lvlText w:val="表%1.%2-%5 "/>
      <w:lvlJc w:val="left"/>
      <w:pPr>
        <w:tabs>
          <w:tab w:val="left" w:pos="0"/>
        </w:tabs>
        <w:ind w:left="0" w:firstLine="0"/>
      </w:pPr>
      <w:rPr>
        <w:rFonts w:hint="eastAsia" w:ascii="Times New Roman" w:hAnsi="Times New Roman" w:eastAsia="宋体" w:cs="宋体"/>
      </w:rPr>
    </w:lvl>
    <w:lvl w:ilvl="5" w:tentative="0">
      <w:start w:val="1"/>
      <w:numFmt w:val="decimal"/>
      <w:lvlRestart w:val="2"/>
      <w:pStyle w:val="28"/>
      <w:isLgl/>
      <w:suff w:val="space"/>
      <w:lvlText w:val="图%1.%2-%6 "/>
      <w:lvlJc w:val="left"/>
      <w:pPr>
        <w:tabs>
          <w:tab w:val="left" w:pos="0"/>
        </w:tabs>
        <w:ind w:left="0" w:firstLine="0"/>
      </w:pPr>
      <w:rPr>
        <w:rFonts w:hint="eastAsia" w:ascii="Times New Roman" w:hAnsi="Times New Roman" w:eastAsia="宋体" w:cs="宋体"/>
      </w:rPr>
    </w:lvl>
    <w:lvl w:ilvl="6" w:tentative="0">
      <w:start w:val="1"/>
      <w:numFmt w:val="decimal"/>
      <w:pStyle w:val="8"/>
      <w:lvlText w:val="%1.%2.%3.%4.%5.%6.%7."/>
      <w:lvlJc w:val="left"/>
      <w:pPr>
        <w:tabs>
          <w:tab w:val="left" w:pos="420"/>
        </w:tabs>
        <w:ind w:left="1296" w:hanging="1296"/>
      </w:pPr>
      <w:rPr>
        <w:rFonts w:hint="eastAsia" w:ascii="宋体" w:hAnsi="宋体" w:eastAsia="宋体" w:cs="宋体"/>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3" w:hanging="1583"/>
      </w:pPr>
      <w:rPr>
        <w:rFonts w:hint="eastAsia"/>
      </w:rPr>
    </w:lvl>
  </w:abstractNum>
  <w:num w:numId="1">
    <w:abstractNumId w:val="2"/>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readOnly"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zMGU0MTUzOGViODMwMTI1ZTlkOTRkMjgwN2M3NzgifQ=="/>
  </w:docVars>
  <w:rsids>
    <w:rsidRoot w:val="00A14947"/>
    <w:rsid w:val="000060B3"/>
    <w:rsid w:val="00013DB6"/>
    <w:rsid w:val="000150ED"/>
    <w:rsid w:val="00040EDE"/>
    <w:rsid w:val="00041B57"/>
    <w:rsid w:val="0004364B"/>
    <w:rsid w:val="000500AF"/>
    <w:rsid w:val="000566B6"/>
    <w:rsid w:val="00061B1F"/>
    <w:rsid w:val="000733C4"/>
    <w:rsid w:val="00074783"/>
    <w:rsid w:val="00077BD5"/>
    <w:rsid w:val="0008070B"/>
    <w:rsid w:val="000810AC"/>
    <w:rsid w:val="00081A02"/>
    <w:rsid w:val="00082231"/>
    <w:rsid w:val="00092D38"/>
    <w:rsid w:val="0009377B"/>
    <w:rsid w:val="00094AEE"/>
    <w:rsid w:val="000A20C9"/>
    <w:rsid w:val="000A712D"/>
    <w:rsid w:val="000B058F"/>
    <w:rsid w:val="000B369C"/>
    <w:rsid w:val="000B4467"/>
    <w:rsid w:val="000B4DB9"/>
    <w:rsid w:val="000C09AC"/>
    <w:rsid w:val="000C119D"/>
    <w:rsid w:val="000C3640"/>
    <w:rsid w:val="000C767F"/>
    <w:rsid w:val="000D03D3"/>
    <w:rsid w:val="000D5A44"/>
    <w:rsid w:val="000E3ED2"/>
    <w:rsid w:val="001005DC"/>
    <w:rsid w:val="00100FD2"/>
    <w:rsid w:val="001062FE"/>
    <w:rsid w:val="001074DE"/>
    <w:rsid w:val="001133B7"/>
    <w:rsid w:val="001260FF"/>
    <w:rsid w:val="00131F42"/>
    <w:rsid w:val="001357F1"/>
    <w:rsid w:val="00140FA8"/>
    <w:rsid w:val="001418CB"/>
    <w:rsid w:val="00142FEB"/>
    <w:rsid w:val="00143A2D"/>
    <w:rsid w:val="00145A41"/>
    <w:rsid w:val="00151675"/>
    <w:rsid w:val="001573EA"/>
    <w:rsid w:val="00157435"/>
    <w:rsid w:val="001669D4"/>
    <w:rsid w:val="0017504D"/>
    <w:rsid w:val="0017671A"/>
    <w:rsid w:val="00177422"/>
    <w:rsid w:val="00182E99"/>
    <w:rsid w:val="00184590"/>
    <w:rsid w:val="001870D1"/>
    <w:rsid w:val="0018781E"/>
    <w:rsid w:val="0019262D"/>
    <w:rsid w:val="001968F8"/>
    <w:rsid w:val="001A1944"/>
    <w:rsid w:val="001A1B35"/>
    <w:rsid w:val="001A48A2"/>
    <w:rsid w:val="001A6F61"/>
    <w:rsid w:val="001B72B8"/>
    <w:rsid w:val="001C2D59"/>
    <w:rsid w:val="001C69B3"/>
    <w:rsid w:val="001D2578"/>
    <w:rsid w:val="001D2BE7"/>
    <w:rsid w:val="001D5595"/>
    <w:rsid w:val="001D59B0"/>
    <w:rsid w:val="001D7874"/>
    <w:rsid w:val="001D7F22"/>
    <w:rsid w:val="001E0F48"/>
    <w:rsid w:val="001F0F17"/>
    <w:rsid w:val="001F3347"/>
    <w:rsid w:val="001F3702"/>
    <w:rsid w:val="001F49F6"/>
    <w:rsid w:val="001F69E4"/>
    <w:rsid w:val="002042D4"/>
    <w:rsid w:val="002125B4"/>
    <w:rsid w:val="002155B8"/>
    <w:rsid w:val="00224839"/>
    <w:rsid w:val="002249B2"/>
    <w:rsid w:val="00226574"/>
    <w:rsid w:val="002278EC"/>
    <w:rsid w:val="0023280E"/>
    <w:rsid w:val="002377D1"/>
    <w:rsid w:val="002406E5"/>
    <w:rsid w:val="00247343"/>
    <w:rsid w:val="002506BC"/>
    <w:rsid w:val="00253756"/>
    <w:rsid w:val="00254345"/>
    <w:rsid w:val="00264557"/>
    <w:rsid w:val="0027359D"/>
    <w:rsid w:val="002805AB"/>
    <w:rsid w:val="00284204"/>
    <w:rsid w:val="00287BFF"/>
    <w:rsid w:val="00291773"/>
    <w:rsid w:val="002A168C"/>
    <w:rsid w:val="002A3DC7"/>
    <w:rsid w:val="002B4159"/>
    <w:rsid w:val="002B49E2"/>
    <w:rsid w:val="002B7B00"/>
    <w:rsid w:val="002B7C44"/>
    <w:rsid w:val="002C1D77"/>
    <w:rsid w:val="002C2B17"/>
    <w:rsid w:val="002C486B"/>
    <w:rsid w:val="002D36C8"/>
    <w:rsid w:val="002D3DD0"/>
    <w:rsid w:val="002E1F3A"/>
    <w:rsid w:val="002E298A"/>
    <w:rsid w:val="002F677F"/>
    <w:rsid w:val="002F6A84"/>
    <w:rsid w:val="00301978"/>
    <w:rsid w:val="0030332C"/>
    <w:rsid w:val="003051C2"/>
    <w:rsid w:val="003105DA"/>
    <w:rsid w:val="00312296"/>
    <w:rsid w:val="00314F0E"/>
    <w:rsid w:val="003200F4"/>
    <w:rsid w:val="00321AC6"/>
    <w:rsid w:val="00321D8E"/>
    <w:rsid w:val="00325928"/>
    <w:rsid w:val="00332863"/>
    <w:rsid w:val="0033684D"/>
    <w:rsid w:val="00337B42"/>
    <w:rsid w:val="00341B42"/>
    <w:rsid w:val="0034348F"/>
    <w:rsid w:val="00353FA7"/>
    <w:rsid w:val="00354BF1"/>
    <w:rsid w:val="00356653"/>
    <w:rsid w:val="0035743F"/>
    <w:rsid w:val="00357BE2"/>
    <w:rsid w:val="0036170C"/>
    <w:rsid w:val="00366E0F"/>
    <w:rsid w:val="00375248"/>
    <w:rsid w:val="00376344"/>
    <w:rsid w:val="00376AEF"/>
    <w:rsid w:val="0038152B"/>
    <w:rsid w:val="00381A72"/>
    <w:rsid w:val="00384676"/>
    <w:rsid w:val="00390857"/>
    <w:rsid w:val="003954FA"/>
    <w:rsid w:val="003A4BF3"/>
    <w:rsid w:val="003B2260"/>
    <w:rsid w:val="003B420D"/>
    <w:rsid w:val="003B46BE"/>
    <w:rsid w:val="003C6C16"/>
    <w:rsid w:val="003C6E78"/>
    <w:rsid w:val="003D476F"/>
    <w:rsid w:val="003D6E03"/>
    <w:rsid w:val="003D794D"/>
    <w:rsid w:val="003E3058"/>
    <w:rsid w:val="003E76A9"/>
    <w:rsid w:val="003F0809"/>
    <w:rsid w:val="003F6A8C"/>
    <w:rsid w:val="003F755C"/>
    <w:rsid w:val="00406F01"/>
    <w:rsid w:val="0041430D"/>
    <w:rsid w:val="00415C4F"/>
    <w:rsid w:val="004163AF"/>
    <w:rsid w:val="00416721"/>
    <w:rsid w:val="00416D50"/>
    <w:rsid w:val="00416FD5"/>
    <w:rsid w:val="00417772"/>
    <w:rsid w:val="00420E6A"/>
    <w:rsid w:val="00425697"/>
    <w:rsid w:val="00425A9E"/>
    <w:rsid w:val="00426D6B"/>
    <w:rsid w:val="00427737"/>
    <w:rsid w:val="00431E6C"/>
    <w:rsid w:val="00433CE7"/>
    <w:rsid w:val="00434CCC"/>
    <w:rsid w:val="00442F7A"/>
    <w:rsid w:val="00452738"/>
    <w:rsid w:val="0045494B"/>
    <w:rsid w:val="00456091"/>
    <w:rsid w:val="00466321"/>
    <w:rsid w:val="0047092F"/>
    <w:rsid w:val="00484B9B"/>
    <w:rsid w:val="004855F6"/>
    <w:rsid w:val="0048661E"/>
    <w:rsid w:val="0049347D"/>
    <w:rsid w:val="00494670"/>
    <w:rsid w:val="004957FD"/>
    <w:rsid w:val="004A22C0"/>
    <w:rsid w:val="004A3823"/>
    <w:rsid w:val="004D53C0"/>
    <w:rsid w:val="004E171E"/>
    <w:rsid w:val="004E464B"/>
    <w:rsid w:val="004E6946"/>
    <w:rsid w:val="004F1AD8"/>
    <w:rsid w:val="005039CB"/>
    <w:rsid w:val="0050558F"/>
    <w:rsid w:val="00506286"/>
    <w:rsid w:val="00510813"/>
    <w:rsid w:val="00511990"/>
    <w:rsid w:val="00511DE0"/>
    <w:rsid w:val="00514870"/>
    <w:rsid w:val="00514B9B"/>
    <w:rsid w:val="005166DA"/>
    <w:rsid w:val="00517F02"/>
    <w:rsid w:val="00523E89"/>
    <w:rsid w:val="00524303"/>
    <w:rsid w:val="005258A2"/>
    <w:rsid w:val="00530161"/>
    <w:rsid w:val="005332E5"/>
    <w:rsid w:val="005401AE"/>
    <w:rsid w:val="00540D9F"/>
    <w:rsid w:val="00542E07"/>
    <w:rsid w:val="00544E42"/>
    <w:rsid w:val="00545424"/>
    <w:rsid w:val="00554A7B"/>
    <w:rsid w:val="00554A98"/>
    <w:rsid w:val="0055572C"/>
    <w:rsid w:val="0056106A"/>
    <w:rsid w:val="00564EAF"/>
    <w:rsid w:val="005720AE"/>
    <w:rsid w:val="00593870"/>
    <w:rsid w:val="00593C6F"/>
    <w:rsid w:val="00594D77"/>
    <w:rsid w:val="005969E4"/>
    <w:rsid w:val="005A06B7"/>
    <w:rsid w:val="005A1759"/>
    <w:rsid w:val="005A68A7"/>
    <w:rsid w:val="005C5557"/>
    <w:rsid w:val="005D143F"/>
    <w:rsid w:val="005D36AB"/>
    <w:rsid w:val="005E0E91"/>
    <w:rsid w:val="005E5417"/>
    <w:rsid w:val="005E6D12"/>
    <w:rsid w:val="005F32A7"/>
    <w:rsid w:val="005F7DA6"/>
    <w:rsid w:val="00614091"/>
    <w:rsid w:val="00617CC3"/>
    <w:rsid w:val="0062376A"/>
    <w:rsid w:val="006241B4"/>
    <w:rsid w:val="00626B64"/>
    <w:rsid w:val="006309E7"/>
    <w:rsid w:val="00630EAA"/>
    <w:rsid w:val="006377A6"/>
    <w:rsid w:val="00637A3D"/>
    <w:rsid w:val="006411EF"/>
    <w:rsid w:val="00641E35"/>
    <w:rsid w:val="00656DE9"/>
    <w:rsid w:val="006572DD"/>
    <w:rsid w:val="00661709"/>
    <w:rsid w:val="006748B8"/>
    <w:rsid w:val="006775C3"/>
    <w:rsid w:val="006861A9"/>
    <w:rsid w:val="0069290A"/>
    <w:rsid w:val="00692B71"/>
    <w:rsid w:val="0069529F"/>
    <w:rsid w:val="0069775A"/>
    <w:rsid w:val="00697813"/>
    <w:rsid w:val="006A05C5"/>
    <w:rsid w:val="006A2F9F"/>
    <w:rsid w:val="006A3EE8"/>
    <w:rsid w:val="006A4002"/>
    <w:rsid w:val="006A6A7D"/>
    <w:rsid w:val="006A6A99"/>
    <w:rsid w:val="006A72BF"/>
    <w:rsid w:val="006B03F2"/>
    <w:rsid w:val="006B1885"/>
    <w:rsid w:val="006B37DC"/>
    <w:rsid w:val="006B4F68"/>
    <w:rsid w:val="006C0592"/>
    <w:rsid w:val="006C272E"/>
    <w:rsid w:val="006C2DF8"/>
    <w:rsid w:val="006C3D18"/>
    <w:rsid w:val="006C52BF"/>
    <w:rsid w:val="006C5479"/>
    <w:rsid w:val="006C7F54"/>
    <w:rsid w:val="006D13B5"/>
    <w:rsid w:val="006D1B7A"/>
    <w:rsid w:val="006E12FF"/>
    <w:rsid w:val="006E1FE5"/>
    <w:rsid w:val="006E3839"/>
    <w:rsid w:val="006E607E"/>
    <w:rsid w:val="00706C5D"/>
    <w:rsid w:val="00712379"/>
    <w:rsid w:val="00713A0F"/>
    <w:rsid w:val="00715E44"/>
    <w:rsid w:val="00732922"/>
    <w:rsid w:val="0075162E"/>
    <w:rsid w:val="00754034"/>
    <w:rsid w:val="00756556"/>
    <w:rsid w:val="007570A8"/>
    <w:rsid w:val="007618C4"/>
    <w:rsid w:val="007662BD"/>
    <w:rsid w:val="00767980"/>
    <w:rsid w:val="00770B19"/>
    <w:rsid w:val="0077463F"/>
    <w:rsid w:val="00781478"/>
    <w:rsid w:val="007836EA"/>
    <w:rsid w:val="00784CDA"/>
    <w:rsid w:val="0078768E"/>
    <w:rsid w:val="007906C4"/>
    <w:rsid w:val="007940EA"/>
    <w:rsid w:val="007967E8"/>
    <w:rsid w:val="00796F67"/>
    <w:rsid w:val="007A2170"/>
    <w:rsid w:val="007A22BF"/>
    <w:rsid w:val="007A3323"/>
    <w:rsid w:val="007B4B49"/>
    <w:rsid w:val="007B506A"/>
    <w:rsid w:val="007B72B8"/>
    <w:rsid w:val="007B7A58"/>
    <w:rsid w:val="007C21B5"/>
    <w:rsid w:val="007C21CE"/>
    <w:rsid w:val="007C453B"/>
    <w:rsid w:val="007E05AA"/>
    <w:rsid w:val="007E0EFD"/>
    <w:rsid w:val="007E4BD2"/>
    <w:rsid w:val="007E5A7E"/>
    <w:rsid w:val="007F0743"/>
    <w:rsid w:val="007F1A14"/>
    <w:rsid w:val="00801393"/>
    <w:rsid w:val="00802F88"/>
    <w:rsid w:val="008056A7"/>
    <w:rsid w:val="008109AB"/>
    <w:rsid w:val="0081293E"/>
    <w:rsid w:val="00815465"/>
    <w:rsid w:val="00816122"/>
    <w:rsid w:val="00816D9A"/>
    <w:rsid w:val="00817E9A"/>
    <w:rsid w:val="00820F8F"/>
    <w:rsid w:val="008306BD"/>
    <w:rsid w:val="00831A80"/>
    <w:rsid w:val="00833743"/>
    <w:rsid w:val="008340A4"/>
    <w:rsid w:val="008347C4"/>
    <w:rsid w:val="00837E78"/>
    <w:rsid w:val="00846175"/>
    <w:rsid w:val="0086140A"/>
    <w:rsid w:val="00866C83"/>
    <w:rsid w:val="00867FFD"/>
    <w:rsid w:val="0087135F"/>
    <w:rsid w:val="00872D94"/>
    <w:rsid w:val="008741C4"/>
    <w:rsid w:val="00880364"/>
    <w:rsid w:val="008815CB"/>
    <w:rsid w:val="00883579"/>
    <w:rsid w:val="00885337"/>
    <w:rsid w:val="00885689"/>
    <w:rsid w:val="00886DC7"/>
    <w:rsid w:val="00891592"/>
    <w:rsid w:val="00891E9E"/>
    <w:rsid w:val="00893D06"/>
    <w:rsid w:val="008A2F68"/>
    <w:rsid w:val="008A63FF"/>
    <w:rsid w:val="008B17A5"/>
    <w:rsid w:val="008B4FA6"/>
    <w:rsid w:val="008B5282"/>
    <w:rsid w:val="008B5446"/>
    <w:rsid w:val="008B6924"/>
    <w:rsid w:val="008B7C17"/>
    <w:rsid w:val="008B7C60"/>
    <w:rsid w:val="008C2D01"/>
    <w:rsid w:val="008C40E6"/>
    <w:rsid w:val="008D0F7A"/>
    <w:rsid w:val="008D1EB4"/>
    <w:rsid w:val="008D45B0"/>
    <w:rsid w:val="008D68E4"/>
    <w:rsid w:val="008E0506"/>
    <w:rsid w:val="008E0CFF"/>
    <w:rsid w:val="008E169E"/>
    <w:rsid w:val="008E5D6B"/>
    <w:rsid w:val="008E76F0"/>
    <w:rsid w:val="008F15FE"/>
    <w:rsid w:val="008F2D29"/>
    <w:rsid w:val="008F5187"/>
    <w:rsid w:val="008F60D8"/>
    <w:rsid w:val="008F6E35"/>
    <w:rsid w:val="00902727"/>
    <w:rsid w:val="0090312B"/>
    <w:rsid w:val="009034FB"/>
    <w:rsid w:val="009110C4"/>
    <w:rsid w:val="0091736D"/>
    <w:rsid w:val="0093037A"/>
    <w:rsid w:val="00931EEF"/>
    <w:rsid w:val="0094154D"/>
    <w:rsid w:val="00946ED7"/>
    <w:rsid w:val="009513D1"/>
    <w:rsid w:val="00951439"/>
    <w:rsid w:val="0095155F"/>
    <w:rsid w:val="0095398C"/>
    <w:rsid w:val="00954429"/>
    <w:rsid w:val="009563CE"/>
    <w:rsid w:val="00963589"/>
    <w:rsid w:val="00976328"/>
    <w:rsid w:val="0097680D"/>
    <w:rsid w:val="00980ACF"/>
    <w:rsid w:val="00982438"/>
    <w:rsid w:val="0098404C"/>
    <w:rsid w:val="00985283"/>
    <w:rsid w:val="00993935"/>
    <w:rsid w:val="00995992"/>
    <w:rsid w:val="0099731D"/>
    <w:rsid w:val="009A03E5"/>
    <w:rsid w:val="009A0F3B"/>
    <w:rsid w:val="009A1BB4"/>
    <w:rsid w:val="009A1F39"/>
    <w:rsid w:val="009A2628"/>
    <w:rsid w:val="009A3200"/>
    <w:rsid w:val="009B0897"/>
    <w:rsid w:val="009B7BD9"/>
    <w:rsid w:val="009C7DD5"/>
    <w:rsid w:val="009D0FEE"/>
    <w:rsid w:val="009E227D"/>
    <w:rsid w:val="009E5019"/>
    <w:rsid w:val="009E5253"/>
    <w:rsid w:val="009F58F9"/>
    <w:rsid w:val="00A01AC5"/>
    <w:rsid w:val="00A04F1B"/>
    <w:rsid w:val="00A0501B"/>
    <w:rsid w:val="00A14947"/>
    <w:rsid w:val="00A20D6F"/>
    <w:rsid w:val="00A22342"/>
    <w:rsid w:val="00A2703B"/>
    <w:rsid w:val="00A32A83"/>
    <w:rsid w:val="00A3572D"/>
    <w:rsid w:val="00A368DB"/>
    <w:rsid w:val="00A41EB4"/>
    <w:rsid w:val="00A423AA"/>
    <w:rsid w:val="00A444A9"/>
    <w:rsid w:val="00A53EC6"/>
    <w:rsid w:val="00A54E5B"/>
    <w:rsid w:val="00A55C0F"/>
    <w:rsid w:val="00A5655A"/>
    <w:rsid w:val="00A56967"/>
    <w:rsid w:val="00A576C9"/>
    <w:rsid w:val="00A61FB3"/>
    <w:rsid w:val="00A641FB"/>
    <w:rsid w:val="00A740FC"/>
    <w:rsid w:val="00A8386F"/>
    <w:rsid w:val="00A8713F"/>
    <w:rsid w:val="00A90BA1"/>
    <w:rsid w:val="00A97A9A"/>
    <w:rsid w:val="00AA0671"/>
    <w:rsid w:val="00AA2531"/>
    <w:rsid w:val="00AA751B"/>
    <w:rsid w:val="00AB1E09"/>
    <w:rsid w:val="00AB5330"/>
    <w:rsid w:val="00AB7747"/>
    <w:rsid w:val="00AC14CE"/>
    <w:rsid w:val="00AC2A56"/>
    <w:rsid w:val="00AD055E"/>
    <w:rsid w:val="00AD2054"/>
    <w:rsid w:val="00AD47A7"/>
    <w:rsid w:val="00AD575B"/>
    <w:rsid w:val="00AD6AFC"/>
    <w:rsid w:val="00AE291D"/>
    <w:rsid w:val="00AF003F"/>
    <w:rsid w:val="00AF0CBF"/>
    <w:rsid w:val="00AF257F"/>
    <w:rsid w:val="00AF33CF"/>
    <w:rsid w:val="00AF4D50"/>
    <w:rsid w:val="00AF56FB"/>
    <w:rsid w:val="00AF6179"/>
    <w:rsid w:val="00B12080"/>
    <w:rsid w:val="00B128DD"/>
    <w:rsid w:val="00B1295A"/>
    <w:rsid w:val="00B12E88"/>
    <w:rsid w:val="00B17FB0"/>
    <w:rsid w:val="00B20A45"/>
    <w:rsid w:val="00B22C5C"/>
    <w:rsid w:val="00B24F30"/>
    <w:rsid w:val="00B31ABF"/>
    <w:rsid w:val="00B3380D"/>
    <w:rsid w:val="00B33BE3"/>
    <w:rsid w:val="00B3556F"/>
    <w:rsid w:val="00B43428"/>
    <w:rsid w:val="00B44183"/>
    <w:rsid w:val="00B4648B"/>
    <w:rsid w:val="00B53B5D"/>
    <w:rsid w:val="00B57FDE"/>
    <w:rsid w:val="00B6055E"/>
    <w:rsid w:val="00B60DDB"/>
    <w:rsid w:val="00B6317D"/>
    <w:rsid w:val="00B63B6F"/>
    <w:rsid w:val="00B6403F"/>
    <w:rsid w:val="00B659A7"/>
    <w:rsid w:val="00B7723F"/>
    <w:rsid w:val="00B775C1"/>
    <w:rsid w:val="00B80534"/>
    <w:rsid w:val="00B8180B"/>
    <w:rsid w:val="00B8390D"/>
    <w:rsid w:val="00B8433C"/>
    <w:rsid w:val="00B87491"/>
    <w:rsid w:val="00B91147"/>
    <w:rsid w:val="00B9774A"/>
    <w:rsid w:val="00BA29E9"/>
    <w:rsid w:val="00BA7142"/>
    <w:rsid w:val="00BB1443"/>
    <w:rsid w:val="00BB237C"/>
    <w:rsid w:val="00BB2492"/>
    <w:rsid w:val="00BB41A3"/>
    <w:rsid w:val="00BB4E23"/>
    <w:rsid w:val="00BC32DC"/>
    <w:rsid w:val="00BC35B6"/>
    <w:rsid w:val="00BD1B51"/>
    <w:rsid w:val="00BD4596"/>
    <w:rsid w:val="00BE1405"/>
    <w:rsid w:val="00BE312D"/>
    <w:rsid w:val="00BF1C20"/>
    <w:rsid w:val="00C00AF9"/>
    <w:rsid w:val="00C10578"/>
    <w:rsid w:val="00C13547"/>
    <w:rsid w:val="00C135BC"/>
    <w:rsid w:val="00C14B91"/>
    <w:rsid w:val="00C15C95"/>
    <w:rsid w:val="00C16D96"/>
    <w:rsid w:val="00C2596A"/>
    <w:rsid w:val="00C27537"/>
    <w:rsid w:val="00C328FE"/>
    <w:rsid w:val="00C33507"/>
    <w:rsid w:val="00C4409D"/>
    <w:rsid w:val="00C44E72"/>
    <w:rsid w:val="00C45A06"/>
    <w:rsid w:val="00C4762A"/>
    <w:rsid w:val="00C47E5B"/>
    <w:rsid w:val="00C52DD6"/>
    <w:rsid w:val="00C57EBB"/>
    <w:rsid w:val="00C61E4B"/>
    <w:rsid w:val="00C64BFF"/>
    <w:rsid w:val="00C65D27"/>
    <w:rsid w:val="00C67C87"/>
    <w:rsid w:val="00C67F8B"/>
    <w:rsid w:val="00C704E9"/>
    <w:rsid w:val="00C763C9"/>
    <w:rsid w:val="00C80057"/>
    <w:rsid w:val="00C82232"/>
    <w:rsid w:val="00C82913"/>
    <w:rsid w:val="00C94135"/>
    <w:rsid w:val="00C972B1"/>
    <w:rsid w:val="00C978A8"/>
    <w:rsid w:val="00CA2CCE"/>
    <w:rsid w:val="00CA43FD"/>
    <w:rsid w:val="00CA7EF8"/>
    <w:rsid w:val="00CB5002"/>
    <w:rsid w:val="00CC489B"/>
    <w:rsid w:val="00CD2A33"/>
    <w:rsid w:val="00CD2BCD"/>
    <w:rsid w:val="00CD3A4C"/>
    <w:rsid w:val="00CE10E9"/>
    <w:rsid w:val="00CE2910"/>
    <w:rsid w:val="00CE5393"/>
    <w:rsid w:val="00CE6CD5"/>
    <w:rsid w:val="00CE7177"/>
    <w:rsid w:val="00CF2259"/>
    <w:rsid w:val="00CF36BE"/>
    <w:rsid w:val="00CF6000"/>
    <w:rsid w:val="00D003F3"/>
    <w:rsid w:val="00D008F3"/>
    <w:rsid w:val="00D0364F"/>
    <w:rsid w:val="00D06834"/>
    <w:rsid w:val="00D15112"/>
    <w:rsid w:val="00D245A4"/>
    <w:rsid w:val="00D308ED"/>
    <w:rsid w:val="00D31571"/>
    <w:rsid w:val="00D36D86"/>
    <w:rsid w:val="00D428AA"/>
    <w:rsid w:val="00D45BBF"/>
    <w:rsid w:val="00D50A34"/>
    <w:rsid w:val="00D525B9"/>
    <w:rsid w:val="00D53EFA"/>
    <w:rsid w:val="00D877C8"/>
    <w:rsid w:val="00D94A7C"/>
    <w:rsid w:val="00D95896"/>
    <w:rsid w:val="00D97760"/>
    <w:rsid w:val="00DB032D"/>
    <w:rsid w:val="00DB2983"/>
    <w:rsid w:val="00DB3425"/>
    <w:rsid w:val="00DC1257"/>
    <w:rsid w:val="00DC3DC0"/>
    <w:rsid w:val="00DC5B2B"/>
    <w:rsid w:val="00DC6AB1"/>
    <w:rsid w:val="00DD318D"/>
    <w:rsid w:val="00DD7536"/>
    <w:rsid w:val="00DE3995"/>
    <w:rsid w:val="00DF217B"/>
    <w:rsid w:val="00DF2E12"/>
    <w:rsid w:val="00DF3269"/>
    <w:rsid w:val="00DF514A"/>
    <w:rsid w:val="00DF6690"/>
    <w:rsid w:val="00DF6804"/>
    <w:rsid w:val="00E01990"/>
    <w:rsid w:val="00E02630"/>
    <w:rsid w:val="00E02C89"/>
    <w:rsid w:val="00E0358D"/>
    <w:rsid w:val="00E04323"/>
    <w:rsid w:val="00E070A2"/>
    <w:rsid w:val="00E1323E"/>
    <w:rsid w:val="00E2656A"/>
    <w:rsid w:val="00E2752D"/>
    <w:rsid w:val="00E36010"/>
    <w:rsid w:val="00E412D0"/>
    <w:rsid w:val="00E56322"/>
    <w:rsid w:val="00E60982"/>
    <w:rsid w:val="00E61CFA"/>
    <w:rsid w:val="00E62C62"/>
    <w:rsid w:val="00E654C1"/>
    <w:rsid w:val="00E65D97"/>
    <w:rsid w:val="00E72A5A"/>
    <w:rsid w:val="00E73141"/>
    <w:rsid w:val="00E73354"/>
    <w:rsid w:val="00E7523A"/>
    <w:rsid w:val="00E9242D"/>
    <w:rsid w:val="00E96BDF"/>
    <w:rsid w:val="00EB5255"/>
    <w:rsid w:val="00EB5C47"/>
    <w:rsid w:val="00EC332E"/>
    <w:rsid w:val="00ED0639"/>
    <w:rsid w:val="00ED2FA8"/>
    <w:rsid w:val="00ED64CA"/>
    <w:rsid w:val="00EF3297"/>
    <w:rsid w:val="00EF4755"/>
    <w:rsid w:val="00EF7135"/>
    <w:rsid w:val="00F0244B"/>
    <w:rsid w:val="00F027DB"/>
    <w:rsid w:val="00F06167"/>
    <w:rsid w:val="00F14A7A"/>
    <w:rsid w:val="00F16279"/>
    <w:rsid w:val="00F22985"/>
    <w:rsid w:val="00F32FF8"/>
    <w:rsid w:val="00F3383E"/>
    <w:rsid w:val="00F44E64"/>
    <w:rsid w:val="00F465A7"/>
    <w:rsid w:val="00F50B7C"/>
    <w:rsid w:val="00F51ED4"/>
    <w:rsid w:val="00F53303"/>
    <w:rsid w:val="00F550E6"/>
    <w:rsid w:val="00F70C59"/>
    <w:rsid w:val="00F74345"/>
    <w:rsid w:val="00F755E6"/>
    <w:rsid w:val="00F80A0A"/>
    <w:rsid w:val="00F82B19"/>
    <w:rsid w:val="00F9212D"/>
    <w:rsid w:val="00F965DA"/>
    <w:rsid w:val="00F96819"/>
    <w:rsid w:val="00FA2391"/>
    <w:rsid w:val="00FA406A"/>
    <w:rsid w:val="00FB503A"/>
    <w:rsid w:val="00FB516C"/>
    <w:rsid w:val="00FB5674"/>
    <w:rsid w:val="00FB5F7E"/>
    <w:rsid w:val="00FC24AD"/>
    <w:rsid w:val="00FD0236"/>
    <w:rsid w:val="00FD18F4"/>
    <w:rsid w:val="00FD54DB"/>
    <w:rsid w:val="00FD619F"/>
    <w:rsid w:val="00FE532C"/>
    <w:rsid w:val="00FE764F"/>
    <w:rsid w:val="00FF5B8C"/>
    <w:rsid w:val="01001B5E"/>
    <w:rsid w:val="01011432"/>
    <w:rsid w:val="01080A12"/>
    <w:rsid w:val="010B405F"/>
    <w:rsid w:val="01290F7E"/>
    <w:rsid w:val="01405FC8"/>
    <w:rsid w:val="01422176"/>
    <w:rsid w:val="01496D8B"/>
    <w:rsid w:val="0159126E"/>
    <w:rsid w:val="015D1E09"/>
    <w:rsid w:val="0169490C"/>
    <w:rsid w:val="01826A17"/>
    <w:rsid w:val="01922277"/>
    <w:rsid w:val="019F1377"/>
    <w:rsid w:val="01AF5332"/>
    <w:rsid w:val="01B168A7"/>
    <w:rsid w:val="01B473F6"/>
    <w:rsid w:val="01B57AC6"/>
    <w:rsid w:val="01C20BC1"/>
    <w:rsid w:val="01D31020"/>
    <w:rsid w:val="01D5731C"/>
    <w:rsid w:val="01D9415D"/>
    <w:rsid w:val="01D94672"/>
    <w:rsid w:val="01DE3E81"/>
    <w:rsid w:val="01E36428"/>
    <w:rsid w:val="01E37BCD"/>
    <w:rsid w:val="01F571E8"/>
    <w:rsid w:val="01FB4824"/>
    <w:rsid w:val="01FD7E4B"/>
    <w:rsid w:val="022B2C0A"/>
    <w:rsid w:val="023F0464"/>
    <w:rsid w:val="023F66B6"/>
    <w:rsid w:val="024A6146"/>
    <w:rsid w:val="02521EB3"/>
    <w:rsid w:val="025263E9"/>
    <w:rsid w:val="02557C87"/>
    <w:rsid w:val="025657AD"/>
    <w:rsid w:val="0263458C"/>
    <w:rsid w:val="02697903"/>
    <w:rsid w:val="028629EB"/>
    <w:rsid w:val="0288005D"/>
    <w:rsid w:val="02963DFC"/>
    <w:rsid w:val="02987B74"/>
    <w:rsid w:val="02AD7AC3"/>
    <w:rsid w:val="02AE1145"/>
    <w:rsid w:val="02B50726"/>
    <w:rsid w:val="02BC563D"/>
    <w:rsid w:val="02BD2550"/>
    <w:rsid w:val="02BE2562"/>
    <w:rsid w:val="02BE52E4"/>
    <w:rsid w:val="02C26B15"/>
    <w:rsid w:val="02D037B2"/>
    <w:rsid w:val="02DA018C"/>
    <w:rsid w:val="02E33B30"/>
    <w:rsid w:val="02E828A9"/>
    <w:rsid w:val="02F240C9"/>
    <w:rsid w:val="02F53218"/>
    <w:rsid w:val="02F91AE3"/>
    <w:rsid w:val="02F96569"/>
    <w:rsid w:val="03004097"/>
    <w:rsid w:val="030B6598"/>
    <w:rsid w:val="03125B78"/>
    <w:rsid w:val="03214D7A"/>
    <w:rsid w:val="03372BDE"/>
    <w:rsid w:val="034169E5"/>
    <w:rsid w:val="03465822"/>
    <w:rsid w:val="0351106D"/>
    <w:rsid w:val="03575C81"/>
    <w:rsid w:val="035A307B"/>
    <w:rsid w:val="036B29F3"/>
    <w:rsid w:val="036C4B53"/>
    <w:rsid w:val="03753F6D"/>
    <w:rsid w:val="03766107"/>
    <w:rsid w:val="037B196F"/>
    <w:rsid w:val="037F58E9"/>
    <w:rsid w:val="0382266C"/>
    <w:rsid w:val="038A570F"/>
    <w:rsid w:val="03950DC1"/>
    <w:rsid w:val="03A32C74"/>
    <w:rsid w:val="03AA4003"/>
    <w:rsid w:val="03B5141C"/>
    <w:rsid w:val="03B64756"/>
    <w:rsid w:val="03B804CE"/>
    <w:rsid w:val="03B94246"/>
    <w:rsid w:val="03C274D5"/>
    <w:rsid w:val="03C32B30"/>
    <w:rsid w:val="03C545F8"/>
    <w:rsid w:val="03CE5A7E"/>
    <w:rsid w:val="03E22177"/>
    <w:rsid w:val="03EA7B21"/>
    <w:rsid w:val="03EE2141"/>
    <w:rsid w:val="03FE7EAB"/>
    <w:rsid w:val="03FF60FC"/>
    <w:rsid w:val="0401626A"/>
    <w:rsid w:val="040D2A74"/>
    <w:rsid w:val="041B6CAE"/>
    <w:rsid w:val="0422003D"/>
    <w:rsid w:val="042711AF"/>
    <w:rsid w:val="042913CB"/>
    <w:rsid w:val="042E0790"/>
    <w:rsid w:val="04447FB3"/>
    <w:rsid w:val="044758F3"/>
    <w:rsid w:val="044A30F0"/>
    <w:rsid w:val="044B1342"/>
    <w:rsid w:val="045301F6"/>
    <w:rsid w:val="04565DCE"/>
    <w:rsid w:val="045D72C7"/>
    <w:rsid w:val="046248DD"/>
    <w:rsid w:val="04675A50"/>
    <w:rsid w:val="046777BE"/>
    <w:rsid w:val="04730C08"/>
    <w:rsid w:val="047F0FEB"/>
    <w:rsid w:val="048605CC"/>
    <w:rsid w:val="04877EA0"/>
    <w:rsid w:val="048D0B13"/>
    <w:rsid w:val="04A24703"/>
    <w:rsid w:val="04B5429C"/>
    <w:rsid w:val="04BA2023"/>
    <w:rsid w:val="04C44C50"/>
    <w:rsid w:val="04C74740"/>
    <w:rsid w:val="04D07A99"/>
    <w:rsid w:val="04D5142D"/>
    <w:rsid w:val="04D70E27"/>
    <w:rsid w:val="04D72BD5"/>
    <w:rsid w:val="04E470A0"/>
    <w:rsid w:val="04ED41A7"/>
    <w:rsid w:val="04F25C61"/>
    <w:rsid w:val="04F83C91"/>
    <w:rsid w:val="050339CA"/>
    <w:rsid w:val="05104339"/>
    <w:rsid w:val="05123C0E"/>
    <w:rsid w:val="0527306C"/>
    <w:rsid w:val="052D4B75"/>
    <w:rsid w:val="052E3BE3"/>
    <w:rsid w:val="05453CD6"/>
    <w:rsid w:val="05457681"/>
    <w:rsid w:val="054E09BE"/>
    <w:rsid w:val="0550438A"/>
    <w:rsid w:val="05571F68"/>
    <w:rsid w:val="055A7363"/>
    <w:rsid w:val="056D178C"/>
    <w:rsid w:val="056D6381"/>
    <w:rsid w:val="056F62BA"/>
    <w:rsid w:val="057723B1"/>
    <w:rsid w:val="057B0BA9"/>
    <w:rsid w:val="057C552B"/>
    <w:rsid w:val="058A7C48"/>
    <w:rsid w:val="058C659D"/>
    <w:rsid w:val="05926AFC"/>
    <w:rsid w:val="0599432F"/>
    <w:rsid w:val="05996D46"/>
    <w:rsid w:val="05AA653C"/>
    <w:rsid w:val="05AF3BC6"/>
    <w:rsid w:val="05B542FC"/>
    <w:rsid w:val="05B9677F"/>
    <w:rsid w:val="05BE770D"/>
    <w:rsid w:val="05C67BBC"/>
    <w:rsid w:val="05F41E27"/>
    <w:rsid w:val="05F83EAE"/>
    <w:rsid w:val="05FE4192"/>
    <w:rsid w:val="0600615C"/>
    <w:rsid w:val="060C049A"/>
    <w:rsid w:val="06147E59"/>
    <w:rsid w:val="062C318E"/>
    <w:rsid w:val="0631095C"/>
    <w:rsid w:val="06367DD0"/>
    <w:rsid w:val="063E7D85"/>
    <w:rsid w:val="06436049"/>
    <w:rsid w:val="064B3938"/>
    <w:rsid w:val="064D303D"/>
    <w:rsid w:val="065169B7"/>
    <w:rsid w:val="06585F98"/>
    <w:rsid w:val="065F10D4"/>
    <w:rsid w:val="0664493D"/>
    <w:rsid w:val="066F06E3"/>
    <w:rsid w:val="067259C4"/>
    <w:rsid w:val="067462FF"/>
    <w:rsid w:val="0686333C"/>
    <w:rsid w:val="068F128E"/>
    <w:rsid w:val="069F3FEC"/>
    <w:rsid w:val="06A901AC"/>
    <w:rsid w:val="06AD62E4"/>
    <w:rsid w:val="06BD229F"/>
    <w:rsid w:val="06BF7DC5"/>
    <w:rsid w:val="06C21663"/>
    <w:rsid w:val="06C305A8"/>
    <w:rsid w:val="06D422E1"/>
    <w:rsid w:val="06D81EAD"/>
    <w:rsid w:val="06DC0977"/>
    <w:rsid w:val="06E93094"/>
    <w:rsid w:val="06EC66E0"/>
    <w:rsid w:val="06F21F49"/>
    <w:rsid w:val="06FA012E"/>
    <w:rsid w:val="06FA0280"/>
    <w:rsid w:val="06FD269B"/>
    <w:rsid w:val="06FD3724"/>
    <w:rsid w:val="07012DD8"/>
    <w:rsid w:val="07041C7C"/>
    <w:rsid w:val="070754D4"/>
    <w:rsid w:val="07092F46"/>
    <w:rsid w:val="071C6FC5"/>
    <w:rsid w:val="072158D6"/>
    <w:rsid w:val="07293586"/>
    <w:rsid w:val="07295285"/>
    <w:rsid w:val="072E255A"/>
    <w:rsid w:val="072E6CF9"/>
    <w:rsid w:val="07380EAF"/>
    <w:rsid w:val="07500A1D"/>
    <w:rsid w:val="076170CE"/>
    <w:rsid w:val="07636392"/>
    <w:rsid w:val="076B5857"/>
    <w:rsid w:val="076D5A73"/>
    <w:rsid w:val="07770C56"/>
    <w:rsid w:val="0781653C"/>
    <w:rsid w:val="078B414B"/>
    <w:rsid w:val="07966D78"/>
    <w:rsid w:val="0797489E"/>
    <w:rsid w:val="07AD2EBD"/>
    <w:rsid w:val="07B471FE"/>
    <w:rsid w:val="07BB058C"/>
    <w:rsid w:val="07C00C84"/>
    <w:rsid w:val="07C02047"/>
    <w:rsid w:val="07D50D76"/>
    <w:rsid w:val="07E74B89"/>
    <w:rsid w:val="07FE491D"/>
    <w:rsid w:val="07FF4EC7"/>
    <w:rsid w:val="08002443"/>
    <w:rsid w:val="081B3BDB"/>
    <w:rsid w:val="082C4FE6"/>
    <w:rsid w:val="08395955"/>
    <w:rsid w:val="083B16CD"/>
    <w:rsid w:val="083D3697"/>
    <w:rsid w:val="084560A8"/>
    <w:rsid w:val="084C7436"/>
    <w:rsid w:val="08655D3C"/>
    <w:rsid w:val="08681565"/>
    <w:rsid w:val="0874239D"/>
    <w:rsid w:val="087B5F6E"/>
    <w:rsid w:val="08897431"/>
    <w:rsid w:val="088C1F29"/>
    <w:rsid w:val="089239B9"/>
    <w:rsid w:val="08935065"/>
    <w:rsid w:val="089E23CF"/>
    <w:rsid w:val="08A3174E"/>
    <w:rsid w:val="08AE00F1"/>
    <w:rsid w:val="08B02390"/>
    <w:rsid w:val="08BB280E"/>
    <w:rsid w:val="08BF674A"/>
    <w:rsid w:val="08C416C3"/>
    <w:rsid w:val="08C43471"/>
    <w:rsid w:val="08DB2A4B"/>
    <w:rsid w:val="08EE6353"/>
    <w:rsid w:val="08F12565"/>
    <w:rsid w:val="08FB2C0B"/>
    <w:rsid w:val="0905164C"/>
    <w:rsid w:val="09095327"/>
    <w:rsid w:val="09104908"/>
    <w:rsid w:val="091066B6"/>
    <w:rsid w:val="092217DD"/>
    <w:rsid w:val="09232DC9"/>
    <w:rsid w:val="09271EEA"/>
    <w:rsid w:val="092A7288"/>
    <w:rsid w:val="092A73FE"/>
    <w:rsid w:val="093700E7"/>
    <w:rsid w:val="093A1985"/>
    <w:rsid w:val="093A7294"/>
    <w:rsid w:val="093D6089"/>
    <w:rsid w:val="094C3466"/>
    <w:rsid w:val="09554A11"/>
    <w:rsid w:val="095C5D9F"/>
    <w:rsid w:val="097E5D15"/>
    <w:rsid w:val="09812927"/>
    <w:rsid w:val="09886B94"/>
    <w:rsid w:val="099A2423"/>
    <w:rsid w:val="099B68C7"/>
    <w:rsid w:val="099D4981"/>
    <w:rsid w:val="09A432A2"/>
    <w:rsid w:val="09A84B40"/>
    <w:rsid w:val="09A908B8"/>
    <w:rsid w:val="09B7508A"/>
    <w:rsid w:val="09BB0D18"/>
    <w:rsid w:val="09C015D2"/>
    <w:rsid w:val="09D04097"/>
    <w:rsid w:val="09D52DA7"/>
    <w:rsid w:val="09D973F0"/>
    <w:rsid w:val="09ED2E9B"/>
    <w:rsid w:val="09F70EB4"/>
    <w:rsid w:val="0A0422A1"/>
    <w:rsid w:val="0A0A189F"/>
    <w:rsid w:val="0A14667A"/>
    <w:rsid w:val="0A170392"/>
    <w:rsid w:val="0A263993"/>
    <w:rsid w:val="0A287A2F"/>
    <w:rsid w:val="0A2D3AC2"/>
    <w:rsid w:val="0A2F5262"/>
    <w:rsid w:val="0A442EC0"/>
    <w:rsid w:val="0A4F1460"/>
    <w:rsid w:val="0A6D7B38"/>
    <w:rsid w:val="0A782765"/>
    <w:rsid w:val="0A7D7218"/>
    <w:rsid w:val="0A83110A"/>
    <w:rsid w:val="0A970391"/>
    <w:rsid w:val="0A9D041D"/>
    <w:rsid w:val="0AA03A6A"/>
    <w:rsid w:val="0AA755DF"/>
    <w:rsid w:val="0AAE6186"/>
    <w:rsid w:val="0AD11E75"/>
    <w:rsid w:val="0AD16319"/>
    <w:rsid w:val="0AD4037F"/>
    <w:rsid w:val="0AD55E09"/>
    <w:rsid w:val="0ADA341F"/>
    <w:rsid w:val="0ADD081A"/>
    <w:rsid w:val="0AE95411"/>
    <w:rsid w:val="0AF10769"/>
    <w:rsid w:val="0AFD5C61"/>
    <w:rsid w:val="0B0017F5"/>
    <w:rsid w:val="0B043FF8"/>
    <w:rsid w:val="0B094FB3"/>
    <w:rsid w:val="0B097861"/>
    <w:rsid w:val="0B120D44"/>
    <w:rsid w:val="0B1323C2"/>
    <w:rsid w:val="0B1A2369"/>
    <w:rsid w:val="0B212DFC"/>
    <w:rsid w:val="0B2B07DE"/>
    <w:rsid w:val="0B325009"/>
    <w:rsid w:val="0B460AB5"/>
    <w:rsid w:val="0B534F80"/>
    <w:rsid w:val="0B5964AA"/>
    <w:rsid w:val="0B7218AA"/>
    <w:rsid w:val="0B7F2691"/>
    <w:rsid w:val="0B884D71"/>
    <w:rsid w:val="0B9178BD"/>
    <w:rsid w:val="0B925AA8"/>
    <w:rsid w:val="0B9730BE"/>
    <w:rsid w:val="0B9C1F64"/>
    <w:rsid w:val="0BBB4168"/>
    <w:rsid w:val="0BC32105"/>
    <w:rsid w:val="0BCB720C"/>
    <w:rsid w:val="0BD27BF6"/>
    <w:rsid w:val="0BD47E6F"/>
    <w:rsid w:val="0BED7182"/>
    <w:rsid w:val="0BF16C73"/>
    <w:rsid w:val="0BFE6C9A"/>
    <w:rsid w:val="0C017A0A"/>
    <w:rsid w:val="0C0B7609"/>
    <w:rsid w:val="0C1709F2"/>
    <w:rsid w:val="0C2F4286"/>
    <w:rsid w:val="0C3841E3"/>
    <w:rsid w:val="0C3B3C7D"/>
    <w:rsid w:val="0C430B50"/>
    <w:rsid w:val="0C445650"/>
    <w:rsid w:val="0C48237A"/>
    <w:rsid w:val="0C4A1EDF"/>
    <w:rsid w:val="0C501833"/>
    <w:rsid w:val="0C526FE5"/>
    <w:rsid w:val="0C5F6A12"/>
    <w:rsid w:val="0C644263"/>
    <w:rsid w:val="0C820A5E"/>
    <w:rsid w:val="0C876014"/>
    <w:rsid w:val="0C8C5AF5"/>
    <w:rsid w:val="0C8F3FF0"/>
    <w:rsid w:val="0C9329CD"/>
    <w:rsid w:val="0CA23AC9"/>
    <w:rsid w:val="0CA95036"/>
    <w:rsid w:val="0CAA0BCF"/>
    <w:rsid w:val="0CAB2EAE"/>
    <w:rsid w:val="0CBE467B"/>
    <w:rsid w:val="0CBF1222"/>
    <w:rsid w:val="0CC87E35"/>
    <w:rsid w:val="0CCA6AC2"/>
    <w:rsid w:val="0CCB5842"/>
    <w:rsid w:val="0CCD3CE8"/>
    <w:rsid w:val="0CD65E68"/>
    <w:rsid w:val="0CDD2D53"/>
    <w:rsid w:val="0CDE6ACB"/>
    <w:rsid w:val="0CDF2F6F"/>
    <w:rsid w:val="0CEC743A"/>
    <w:rsid w:val="0CEE4F60"/>
    <w:rsid w:val="0CF7448F"/>
    <w:rsid w:val="0D1B1ACD"/>
    <w:rsid w:val="0D240982"/>
    <w:rsid w:val="0D29243C"/>
    <w:rsid w:val="0D4845F9"/>
    <w:rsid w:val="0D4B23B2"/>
    <w:rsid w:val="0D5A43A4"/>
    <w:rsid w:val="0D5C66D4"/>
    <w:rsid w:val="0D621C7D"/>
    <w:rsid w:val="0D631FB0"/>
    <w:rsid w:val="0D7731A8"/>
    <w:rsid w:val="0D7B050D"/>
    <w:rsid w:val="0D8060B9"/>
    <w:rsid w:val="0D815DD4"/>
    <w:rsid w:val="0D86163D"/>
    <w:rsid w:val="0D8D4779"/>
    <w:rsid w:val="0D9773A6"/>
    <w:rsid w:val="0D9B1F83"/>
    <w:rsid w:val="0DD203DE"/>
    <w:rsid w:val="0DD4209D"/>
    <w:rsid w:val="0DDA54E4"/>
    <w:rsid w:val="0DDF0BC9"/>
    <w:rsid w:val="0DEB76F2"/>
    <w:rsid w:val="0E097B78"/>
    <w:rsid w:val="0E0C69F8"/>
    <w:rsid w:val="0E0D68F4"/>
    <w:rsid w:val="0E0E518E"/>
    <w:rsid w:val="0E1236BA"/>
    <w:rsid w:val="0E19079C"/>
    <w:rsid w:val="0E1A1A66"/>
    <w:rsid w:val="0E1F1E5B"/>
    <w:rsid w:val="0E324DA3"/>
    <w:rsid w:val="0E370B89"/>
    <w:rsid w:val="0E63536F"/>
    <w:rsid w:val="0E6D0107"/>
    <w:rsid w:val="0E6F0323"/>
    <w:rsid w:val="0E73034D"/>
    <w:rsid w:val="0E903DF5"/>
    <w:rsid w:val="0E9574BA"/>
    <w:rsid w:val="0E963B01"/>
    <w:rsid w:val="0EAC50D3"/>
    <w:rsid w:val="0EE21BE3"/>
    <w:rsid w:val="0EF645A0"/>
    <w:rsid w:val="0EF822A0"/>
    <w:rsid w:val="0EFA16AF"/>
    <w:rsid w:val="0F0740B7"/>
    <w:rsid w:val="0F13775A"/>
    <w:rsid w:val="0F203F97"/>
    <w:rsid w:val="0F225395"/>
    <w:rsid w:val="0F254CC3"/>
    <w:rsid w:val="0F256C33"/>
    <w:rsid w:val="0F260ECC"/>
    <w:rsid w:val="0F264E85"/>
    <w:rsid w:val="0F2904D1"/>
    <w:rsid w:val="0F497417"/>
    <w:rsid w:val="0F4E618A"/>
    <w:rsid w:val="0F574D73"/>
    <w:rsid w:val="0F5930CB"/>
    <w:rsid w:val="0F5F45FE"/>
    <w:rsid w:val="0F672951"/>
    <w:rsid w:val="0F877A6C"/>
    <w:rsid w:val="0F96368D"/>
    <w:rsid w:val="0F987405"/>
    <w:rsid w:val="0F9A112B"/>
    <w:rsid w:val="0FA05580"/>
    <w:rsid w:val="0FAD1102"/>
    <w:rsid w:val="0FAE3209"/>
    <w:rsid w:val="0FAE7D24"/>
    <w:rsid w:val="0FAF40D2"/>
    <w:rsid w:val="0FB726D8"/>
    <w:rsid w:val="0FBC5B35"/>
    <w:rsid w:val="0FC93A62"/>
    <w:rsid w:val="0FD03043"/>
    <w:rsid w:val="0FD546BE"/>
    <w:rsid w:val="0FDF3171"/>
    <w:rsid w:val="0FDF6DE2"/>
    <w:rsid w:val="0FF24D67"/>
    <w:rsid w:val="0FF87EA4"/>
    <w:rsid w:val="10093E5F"/>
    <w:rsid w:val="10152C44"/>
    <w:rsid w:val="10374AE2"/>
    <w:rsid w:val="10545A22"/>
    <w:rsid w:val="105E23FD"/>
    <w:rsid w:val="10613C9B"/>
    <w:rsid w:val="106317C1"/>
    <w:rsid w:val="1064458A"/>
    <w:rsid w:val="106A6D8A"/>
    <w:rsid w:val="106B1DBB"/>
    <w:rsid w:val="106C2D6C"/>
    <w:rsid w:val="106D2F64"/>
    <w:rsid w:val="10833C11"/>
    <w:rsid w:val="10967DE9"/>
    <w:rsid w:val="10B63710"/>
    <w:rsid w:val="10C83D1A"/>
    <w:rsid w:val="10D40911"/>
    <w:rsid w:val="10D66B5E"/>
    <w:rsid w:val="10ED552F"/>
    <w:rsid w:val="10F10820"/>
    <w:rsid w:val="110F305C"/>
    <w:rsid w:val="111331E7"/>
    <w:rsid w:val="11183DCA"/>
    <w:rsid w:val="111C2F7A"/>
    <w:rsid w:val="112356D1"/>
    <w:rsid w:val="112D27A2"/>
    <w:rsid w:val="1134772A"/>
    <w:rsid w:val="11391602"/>
    <w:rsid w:val="113E3FDC"/>
    <w:rsid w:val="114F7F97"/>
    <w:rsid w:val="11515ABE"/>
    <w:rsid w:val="115D4462"/>
    <w:rsid w:val="11665CA1"/>
    <w:rsid w:val="116972AB"/>
    <w:rsid w:val="11871DB2"/>
    <w:rsid w:val="1193256C"/>
    <w:rsid w:val="119921B4"/>
    <w:rsid w:val="11A227BD"/>
    <w:rsid w:val="11AB066B"/>
    <w:rsid w:val="11AE5AE4"/>
    <w:rsid w:val="11C16C99"/>
    <w:rsid w:val="11CE35B2"/>
    <w:rsid w:val="11D30BC8"/>
    <w:rsid w:val="11D63789"/>
    <w:rsid w:val="11E44B84"/>
    <w:rsid w:val="11E84674"/>
    <w:rsid w:val="12015736"/>
    <w:rsid w:val="1202325C"/>
    <w:rsid w:val="12080872"/>
    <w:rsid w:val="12086AC4"/>
    <w:rsid w:val="120B0362"/>
    <w:rsid w:val="12156369"/>
    <w:rsid w:val="12160F3D"/>
    <w:rsid w:val="12174F59"/>
    <w:rsid w:val="121F3E0E"/>
    <w:rsid w:val="122D652B"/>
    <w:rsid w:val="12305C29"/>
    <w:rsid w:val="12326DC2"/>
    <w:rsid w:val="12344AE2"/>
    <w:rsid w:val="123E2AB8"/>
    <w:rsid w:val="123F0758"/>
    <w:rsid w:val="12451AC1"/>
    <w:rsid w:val="125C471A"/>
    <w:rsid w:val="125F6FC1"/>
    <w:rsid w:val="126B0E01"/>
    <w:rsid w:val="127F0CDB"/>
    <w:rsid w:val="127F48AC"/>
    <w:rsid w:val="1284513F"/>
    <w:rsid w:val="128F4AEF"/>
    <w:rsid w:val="12977E48"/>
    <w:rsid w:val="1299033E"/>
    <w:rsid w:val="12AA36D7"/>
    <w:rsid w:val="12BD4182"/>
    <w:rsid w:val="12C306CC"/>
    <w:rsid w:val="12CB18A0"/>
    <w:rsid w:val="12D3225F"/>
    <w:rsid w:val="12D60970"/>
    <w:rsid w:val="12E14C45"/>
    <w:rsid w:val="12EA441C"/>
    <w:rsid w:val="12F42BA4"/>
    <w:rsid w:val="13091A27"/>
    <w:rsid w:val="131A50EE"/>
    <w:rsid w:val="131D6018"/>
    <w:rsid w:val="13424385"/>
    <w:rsid w:val="134A3724"/>
    <w:rsid w:val="134F0723"/>
    <w:rsid w:val="13597570"/>
    <w:rsid w:val="135F0966"/>
    <w:rsid w:val="13653AA2"/>
    <w:rsid w:val="13675A6C"/>
    <w:rsid w:val="137361BF"/>
    <w:rsid w:val="13741F37"/>
    <w:rsid w:val="13951726"/>
    <w:rsid w:val="139879D4"/>
    <w:rsid w:val="13B15D72"/>
    <w:rsid w:val="13BB7412"/>
    <w:rsid w:val="13D32467"/>
    <w:rsid w:val="13D84582"/>
    <w:rsid w:val="13EC7D20"/>
    <w:rsid w:val="13EE325E"/>
    <w:rsid w:val="13F07810"/>
    <w:rsid w:val="14213E6D"/>
    <w:rsid w:val="142C17AA"/>
    <w:rsid w:val="1430785A"/>
    <w:rsid w:val="143735C0"/>
    <w:rsid w:val="1439614A"/>
    <w:rsid w:val="14396509"/>
    <w:rsid w:val="143B6AC6"/>
    <w:rsid w:val="14414227"/>
    <w:rsid w:val="14504D2A"/>
    <w:rsid w:val="145F4995"/>
    <w:rsid w:val="1461070D"/>
    <w:rsid w:val="14643D5A"/>
    <w:rsid w:val="147F0843"/>
    <w:rsid w:val="148D32B1"/>
    <w:rsid w:val="149616BF"/>
    <w:rsid w:val="14A32AD4"/>
    <w:rsid w:val="14A807EB"/>
    <w:rsid w:val="14AC691B"/>
    <w:rsid w:val="14AE44A9"/>
    <w:rsid w:val="14D07641"/>
    <w:rsid w:val="14DD2C3C"/>
    <w:rsid w:val="14DD7449"/>
    <w:rsid w:val="14DF31D7"/>
    <w:rsid w:val="14F25809"/>
    <w:rsid w:val="14F72E20"/>
    <w:rsid w:val="14FD0AA8"/>
    <w:rsid w:val="1505553D"/>
    <w:rsid w:val="151267BE"/>
    <w:rsid w:val="151632A6"/>
    <w:rsid w:val="151E65FF"/>
    <w:rsid w:val="152061BD"/>
    <w:rsid w:val="154222ED"/>
    <w:rsid w:val="15453B8B"/>
    <w:rsid w:val="154A11A2"/>
    <w:rsid w:val="15597637"/>
    <w:rsid w:val="156C736A"/>
    <w:rsid w:val="15883A78"/>
    <w:rsid w:val="15BD5E17"/>
    <w:rsid w:val="15C15269"/>
    <w:rsid w:val="15D373E9"/>
    <w:rsid w:val="15DF5676"/>
    <w:rsid w:val="15F31839"/>
    <w:rsid w:val="16087E1D"/>
    <w:rsid w:val="160D45E4"/>
    <w:rsid w:val="161377E5"/>
    <w:rsid w:val="16186C75"/>
    <w:rsid w:val="16191F76"/>
    <w:rsid w:val="161A0B74"/>
    <w:rsid w:val="16290DB7"/>
    <w:rsid w:val="16304421"/>
    <w:rsid w:val="163759E4"/>
    <w:rsid w:val="163F4A7E"/>
    <w:rsid w:val="16493207"/>
    <w:rsid w:val="16551BAC"/>
    <w:rsid w:val="16557DFE"/>
    <w:rsid w:val="16685D83"/>
    <w:rsid w:val="16691AFB"/>
    <w:rsid w:val="169C1A19"/>
    <w:rsid w:val="169C77DB"/>
    <w:rsid w:val="169E11D0"/>
    <w:rsid w:val="16BC60CF"/>
    <w:rsid w:val="16C7125F"/>
    <w:rsid w:val="16D03928"/>
    <w:rsid w:val="16D056D6"/>
    <w:rsid w:val="16D51DC9"/>
    <w:rsid w:val="16D9034E"/>
    <w:rsid w:val="16DE4297"/>
    <w:rsid w:val="16DF591A"/>
    <w:rsid w:val="16F92E7F"/>
    <w:rsid w:val="16F94C2D"/>
    <w:rsid w:val="17017F86"/>
    <w:rsid w:val="17171557"/>
    <w:rsid w:val="1732013F"/>
    <w:rsid w:val="17340ABF"/>
    <w:rsid w:val="173C5F6B"/>
    <w:rsid w:val="175A2D44"/>
    <w:rsid w:val="175E7186"/>
    <w:rsid w:val="17654071"/>
    <w:rsid w:val="176F4EEF"/>
    <w:rsid w:val="17701D14"/>
    <w:rsid w:val="17735226"/>
    <w:rsid w:val="17800EAB"/>
    <w:rsid w:val="17822E75"/>
    <w:rsid w:val="17886AF5"/>
    <w:rsid w:val="178D3D52"/>
    <w:rsid w:val="178F5592"/>
    <w:rsid w:val="179D1A5D"/>
    <w:rsid w:val="17A0779F"/>
    <w:rsid w:val="17A67D78"/>
    <w:rsid w:val="17B172B6"/>
    <w:rsid w:val="17B95CD2"/>
    <w:rsid w:val="17B95FAA"/>
    <w:rsid w:val="17BE6B34"/>
    <w:rsid w:val="17C214C3"/>
    <w:rsid w:val="17CE7E68"/>
    <w:rsid w:val="17CF1259"/>
    <w:rsid w:val="17DB07D7"/>
    <w:rsid w:val="17E059C9"/>
    <w:rsid w:val="17E40529"/>
    <w:rsid w:val="17EA592D"/>
    <w:rsid w:val="17F04282"/>
    <w:rsid w:val="17FC5FFB"/>
    <w:rsid w:val="181635BD"/>
    <w:rsid w:val="18226406"/>
    <w:rsid w:val="18250A27"/>
    <w:rsid w:val="183F7CF1"/>
    <w:rsid w:val="1852266C"/>
    <w:rsid w:val="185432A0"/>
    <w:rsid w:val="18890233"/>
    <w:rsid w:val="18916A00"/>
    <w:rsid w:val="1892733D"/>
    <w:rsid w:val="18980476"/>
    <w:rsid w:val="189C7F66"/>
    <w:rsid w:val="189F624C"/>
    <w:rsid w:val="18A91DC6"/>
    <w:rsid w:val="18C63235"/>
    <w:rsid w:val="18D05E62"/>
    <w:rsid w:val="18D4152F"/>
    <w:rsid w:val="18DB72CC"/>
    <w:rsid w:val="18E611E1"/>
    <w:rsid w:val="18E90CD1"/>
    <w:rsid w:val="18EB33A0"/>
    <w:rsid w:val="18F03E0E"/>
    <w:rsid w:val="18FC6C57"/>
    <w:rsid w:val="190653E0"/>
    <w:rsid w:val="191F2AF7"/>
    <w:rsid w:val="192B4E46"/>
    <w:rsid w:val="193261D5"/>
    <w:rsid w:val="19365AF2"/>
    <w:rsid w:val="19395731"/>
    <w:rsid w:val="19397563"/>
    <w:rsid w:val="193E2B88"/>
    <w:rsid w:val="193E2DCB"/>
    <w:rsid w:val="193F0548"/>
    <w:rsid w:val="194128BC"/>
    <w:rsid w:val="194211B8"/>
    <w:rsid w:val="19426FDE"/>
    <w:rsid w:val="19462D97"/>
    <w:rsid w:val="194851AB"/>
    <w:rsid w:val="194F6D87"/>
    <w:rsid w:val="19516FA3"/>
    <w:rsid w:val="196B50DB"/>
    <w:rsid w:val="196E748C"/>
    <w:rsid w:val="19726F19"/>
    <w:rsid w:val="197D7D98"/>
    <w:rsid w:val="198253AE"/>
    <w:rsid w:val="19866520"/>
    <w:rsid w:val="198714A8"/>
    <w:rsid w:val="19882298"/>
    <w:rsid w:val="198A6011"/>
    <w:rsid w:val="19946E8F"/>
    <w:rsid w:val="199B32D2"/>
    <w:rsid w:val="19A115A6"/>
    <w:rsid w:val="19B50D47"/>
    <w:rsid w:val="19C640C9"/>
    <w:rsid w:val="19C72DC1"/>
    <w:rsid w:val="19CC3B6E"/>
    <w:rsid w:val="19CE23A1"/>
    <w:rsid w:val="19CE28BF"/>
    <w:rsid w:val="19D06DBD"/>
    <w:rsid w:val="19D95A09"/>
    <w:rsid w:val="19E75211"/>
    <w:rsid w:val="19E94791"/>
    <w:rsid w:val="19F45B80"/>
    <w:rsid w:val="1A02204B"/>
    <w:rsid w:val="1A082EDA"/>
    <w:rsid w:val="1A0D279E"/>
    <w:rsid w:val="1A11532C"/>
    <w:rsid w:val="1A197394"/>
    <w:rsid w:val="1A1C66C0"/>
    <w:rsid w:val="1A206975"/>
    <w:rsid w:val="1A240213"/>
    <w:rsid w:val="1A34698A"/>
    <w:rsid w:val="1A3A0951"/>
    <w:rsid w:val="1A42393B"/>
    <w:rsid w:val="1A4C32C6"/>
    <w:rsid w:val="1A4E703E"/>
    <w:rsid w:val="1A5B5BFF"/>
    <w:rsid w:val="1A5D37A7"/>
    <w:rsid w:val="1A6E5932"/>
    <w:rsid w:val="1A736AA5"/>
    <w:rsid w:val="1A766595"/>
    <w:rsid w:val="1A867657"/>
    <w:rsid w:val="1A89451A"/>
    <w:rsid w:val="1A911621"/>
    <w:rsid w:val="1AA41354"/>
    <w:rsid w:val="1AAA7E1A"/>
    <w:rsid w:val="1AAD45DE"/>
    <w:rsid w:val="1AB81E57"/>
    <w:rsid w:val="1ABA1D83"/>
    <w:rsid w:val="1AC60382"/>
    <w:rsid w:val="1AC90DBB"/>
    <w:rsid w:val="1AE14356"/>
    <w:rsid w:val="1AF40580"/>
    <w:rsid w:val="1AFD6130"/>
    <w:rsid w:val="1B046F80"/>
    <w:rsid w:val="1B117292"/>
    <w:rsid w:val="1B2C3630"/>
    <w:rsid w:val="1B3267B5"/>
    <w:rsid w:val="1B363D89"/>
    <w:rsid w:val="1B40161D"/>
    <w:rsid w:val="1B441859"/>
    <w:rsid w:val="1B530660"/>
    <w:rsid w:val="1B553E36"/>
    <w:rsid w:val="1B5C74C6"/>
    <w:rsid w:val="1B6606B1"/>
    <w:rsid w:val="1B7374FE"/>
    <w:rsid w:val="1B754E72"/>
    <w:rsid w:val="1B8F790E"/>
    <w:rsid w:val="1BB11F7A"/>
    <w:rsid w:val="1BB90274"/>
    <w:rsid w:val="1BC34DBA"/>
    <w:rsid w:val="1BCA6B98"/>
    <w:rsid w:val="1BD16179"/>
    <w:rsid w:val="1BD610B9"/>
    <w:rsid w:val="1BDD4B1E"/>
    <w:rsid w:val="1BEC092D"/>
    <w:rsid w:val="1BF14125"/>
    <w:rsid w:val="1BF34341"/>
    <w:rsid w:val="1BFF50AF"/>
    <w:rsid w:val="1C021FA2"/>
    <w:rsid w:val="1C146536"/>
    <w:rsid w:val="1C4032FE"/>
    <w:rsid w:val="1C4050AC"/>
    <w:rsid w:val="1C426E48"/>
    <w:rsid w:val="1C47643B"/>
    <w:rsid w:val="1C4C6F1D"/>
    <w:rsid w:val="1C533032"/>
    <w:rsid w:val="1C557AC3"/>
    <w:rsid w:val="1C5D2183"/>
    <w:rsid w:val="1C5E7925"/>
    <w:rsid w:val="1C760ACE"/>
    <w:rsid w:val="1C76287C"/>
    <w:rsid w:val="1C8054A9"/>
    <w:rsid w:val="1C920B5A"/>
    <w:rsid w:val="1C983AFB"/>
    <w:rsid w:val="1CB34AB7"/>
    <w:rsid w:val="1CB533A4"/>
    <w:rsid w:val="1CB57848"/>
    <w:rsid w:val="1CC013DD"/>
    <w:rsid w:val="1CCD5D2F"/>
    <w:rsid w:val="1CDB49E6"/>
    <w:rsid w:val="1CE04199"/>
    <w:rsid w:val="1CE42735"/>
    <w:rsid w:val="1CEB326A"/>
    <w:rsid w:val="1CEE1205"/>
    <w:rsid w:val="1CFD070F"/>
    <w:rsid w:val="1D1207F7"/>
    <w:rsid w:val="1D2357FE"/>
    <w:rsid w:val="1D291FE4"/>
    <w:rsid w:val="1D317F46"/>
    <w:rsid w:val="1D370008"/>
    <w:rsid w:val="1D3A7D4E"/>
    <w:rsid w:val="1D5F6196"/>
    <w:rsid w:val="1D601827"/>
    <w:rsid w:val="1D6132A5"/>
    <w:rsid w:val="1D7274E7"/>
    <w:rsid w:val="1D7C0366"/>
    <w:rsid w:val="1D7E7C3A"/>
    <w:rsid w:val="1D81597C"/>
    <w:rsid w:val="1D85139D"/>
    <w:rsid w:val="1D882867"/>
    <w:rsid w:val="1D8E56D5"/>
    <w:rsid w:val="1D9B4C90"/>
    <w:rsid w:val="1DA578BD"/>
    <w:rsid w:val="1DB7314C"/>
    <w:rsid w:val="1DBE44DB"/>
    <w:rsid w:val="1DC1221D"/>
    <w:rsid w:val="1DE2466D"/>
    <w:rsid w:val="1DFE03F9"/>
    <w:rsid w:val="1E326C0D"/>
    <w:rsid w:val="1E3A3D1A"/>
    <w:rsid w:val="1E3E516A"/>
    <w:rsid w:val="1E4470D6"/>
    <w:rsid w:val="1E4C749D"/>
    <w:rsid w:val="1E5D4F5C"/>
    <w:rsid w:val="1E652BA8"/>
    <w:rsid w:val="1E703F46"/>
    <w:rsid w:val="1E7A43DA"/>
    <w:rsid w:val="1E7B23CC"/>
    <w:rsid w:val="1E837C87"/>
    <w:rsid w:val="1E8F1470"/>
    <w:rsid w:val="1E8F1FB7"/>
    <w:rsid w:val="1E917E41"/>
    <w:rsid w:val="1EA71413"/>
    <w:rsid w:val="1EAC07D7"/>
    <w:rsid w:val="1EB11208"/>
    <w:rsid w:val="1EB4768C"/>
    <w:rsid w:val="1EB63404"/>
    <w:rsid w:val="1EB853CE"/>
    <w:rsid w:val="1EBA3D92"/>
    <w:rsid w:val="1EBB69FA"/>
    <w:rsid w:val="1EC52F05"/>
    <w:rsid w:val="1EC94B5F"/>
    <w:rsid w:val="1EDB10BC"/>
    <w:rsid w:val="1EDD1822"/>
    <w:rsid w:val="1EDE4BB1"/>
    <w:rsid w:val="1EEB1A92"/>
    <w:rsid w:val="1EF53F2C"/>
    <w:rsid w:val="1EFB350D"/>
    <w:rsid w:val="1F095C2A"/>
    <w:rsid w:val="1F1A70AB"/>
    <w:rsid w:val="1F394761"/>
    <w:rsid w:val="1F4C5F76"/>
    <w:rsid w:val="1F4E5D32"/>
    <w:rsid w:val="1F533349"/>
    <w:rsid w:val="1F5350F7"/>
    <w:rsid w:val="1F6B68E4"/>
    <w:rsid w:val="1F8A4FBC"/>
    <w:rsid w:val="1F901EA7"/>
    <w:rsid w:val="1F99070B"/>
    <w:rsid w:val="1FA31BDA"/>
    <w:rsid w:val="1FD0253C"/>
    <w:rsid w:val="1FD55B0C"/>
    <w:rsid w:val="1FDB5818"/>
    <w:rsid w:val="1FE02E2E"/>
    <w:rsid w:val="1FE30229"/>
    <w:rsid w:val="1FE43FA1"/>
    <w:rsid w:val="1FE7539E"/>
    <w:rsid w:val="1FFF7069"/>
    <w:rsid w:val="200D303E"/>
    <w:rsid w:val="2019768C"/>
    <w:rsid w:val="20200378"/>
    <w:rsid w:val="202C422E"/>
    <w:rsid w:val="202C43D1"/>
    <w:rsid w:val="20327B9C"/>
    <w:rsid w:val="20407429"/>
    <w:rsid w:val="204750FD"/>
    <w:rsid w:val="2052555B"/>
    <w:rsid w:val="205C6534"/>
    <w:rsid w:val="20633F0E"/>
    <w:rsid w:val="2063580D"/>
    <w:rsid w:val="20671BE0"/>
    <w:rsid w:val="206749B4"/>
    <w:rsid w:val="206770AC"/>
    <w:rsid w:val="207812B9"/>
    <w:rsid w:val="207D067D"/>
    <w:rsid w:val="208262C6"/>
    <w:rsid w:val="208337BA"/>
    <w:rsid w:val="208B4A40"/>
    <w:rsid w:val="208C266E"/>
    <w:rsid w:val="208F03B0"/>
    <w:rsid w:val="2094221A"/>
    <w:rsid w:val="20963CB8"/>
    <w:rsid w:val="209D2ACD"/>
    <w:rsid w:val="20A65B06"/>
    <w:rsid w:val="20A81A1B"/>
    <w:rsid w:val="20A976C4"/>
    <w:rsid w:val="20AC2A57"/>
    <w:rsid w:val="20B07FB6"/>
    <w:rsid w:val="20B646FB"/>
    <w:rsid w:val="20BA367F"/>
    <w:rsid w:val="20BD4F1E"/>
    <w:rsid w:val="20C15F5C"/>
    <w:rsid w:val="20C24443"/>
    <w:rsid w:val="20C36C4E"/>
    <w:rsid w:val="20C718F8"/>
    <w:rsid w:val="20CA4F92"/>
    <w:rsid w:val="20D12777"/>
    <w:rsid w:val="20D860E5"/>
    <w:rsid w:val="20E34258"/>
    <w:rsid w:val="20E424AA"/>
    <w:rsid w:val="20E97AC1"/>
    <w:rsid w:val="20EB0D12"/>
    <w:rsid w:val="20EF2CE3"/>
    <w:rsid w:val="20F841A8"/>
    <w:rsid w:val="20FA3A7C"/>
    <w:rsid w:val="20FA6B22"/>
    <w:rsid w:val="20FE4B52"/>
    <w:rsid w:val="211014F1"/>
    <w:rsid w:val="211803A6"/>
    <w:rsid w:val="212154AC"/>
    <w:rsid w:val="212F0925"/>
    <w:rsid w:val="212F7D7B"/>
    <w:rsid w:val="213B74B1"/>
    <w:rsid w:val="214116AB"/>
    <w:rsid w:val="215123A0"/>
    <w:rsid w:val="215A2310"/>
    <w:rsid w:val="21623153"/>
    <w:rsid w:val="2164510E"/>
    <w:rsid w:val="21725D08"/>
    <w:rsid w:val="2178236A"/>
    <w:rsid w:val="21787096"/>
    <w:rsid w:val="217C0935"/>
    <w:rsid w:val="217D46AD"/>
    <w:rsid w:val="21954223"/>
    <w:rsid w:val="2197576F"/>
    <w:rsid w:val="21A51B5B"/>
    <w:rsid w:val="21B87493"/>
    <w:rsid w:val="21BE490A"/>
    <w:rsid w:val="21C422DC"/>
    <w:rsid w:val="21D10545"/>
    <w:rsid w:val="21D4251F"/>
    <w:rsid w:val="21DE318A"/>
    <w:rsid w:val="21DF0EC4"/>
    <w:rsid w:val="21E64000"/>
    <w:rsid w:val="21EC4122"/>
    <w:rsid w:val="21EF5B80"/>
    <w:rsid w:val="21FC77BC"/>
    <w:rsid w:val="21FE18B7"/>
    <w:rsid w:val="220562F4"/>
    <w:rsid w:val="220B1CB9"/>
    <w:rsid w:val="22182089"/>
    <w:rsid w:val="221851E6"/>
    <w:rsid w:val="221A409F"/>
    <w:rsid w:val="2221772E"/>
    <w:rsid w:val="2227662B"/>
    <w:rsid w:val="2245341D"/>
    <w:rsid w:val="22484CBB"/>
    <w:rsid w:val="22561186"/>
    <w:rsid w:val="22576990"/>
    <w:rsid w:val="22665141"/>
    <w:rsid w:val="226B7745"/>
    <w:rsid w:val="22802ED0"/>
    <w:rsid w:val="229677D4"/>
    <w:rsid w:val="229E0D7F"/>
    <w:rsid w:val="22A10B6B"/>
    <w:rsid w:val="22A77C33"/>
    <w:rsid w:val="22AB1C1C"/>
    <w:rsid w:val="22AE4E63"/>
    <w:rsid w:val="22AF4D3A"/>
    <w:rsid w:val="22D36C7A"/>
    <w:rsid w:val="22DE784D"/>
    <w:rsid w:val="22E42C35"/>
    <w:rsid w:val="22E449E3"/>
    <w:rsid w:val="22F27762"/>
    <w:rsid w:val="22F34C27"/>
    <w:rsid w:val="22F47480"/>
    <w:rsid w:val="22FC2EF1"/>
    <w:rsid w:val="23007343"/>
    <w:rsid w:val="231E77CA"/>
    <w:rsid w:val="23201794"/>
    <w:rsid w:val="232272BA"/>
    <w:rsid w:val="233D7EA0"/>
    <w:rsid w:val="23474F72"/>
    <w:rsid w:val="2351194D"/>
    <w:rsid w:val="23541FE2"/>
    <w:rsid w:val="23566F63"/>
    <w:rsid w:val="235E264A"/>
    <w:rsid w:val="23773E1A"/>
    <w:rsid w:val="23810484"/>
    <w:rsid w:val="23A979DB"/>
    <w:rsid w:val="23AB1196"/>
    <w:rsid w:val="23AB72AF"/>
    <w:rsid w:val="23DE1C48"/>
    <w:rsid w:val="23EC280B"/>
    <w:rsid w:val="23F0560A"/>
    <w:rsid w:val="23F07684"/>
    <w:rsid w:val="23F90EA7"/>
    <w:rsid w:val="23F913C8"/>
    <w:rsid w:val="23FE1AD5"/>
    <w:rsid w:val="23FF27EC"/>
    <w:rsid w:val="240210CD"/>
    <w:rsid w:val="2405562D"/>
    <w:rsid w:val="240D5902"/>
    <w:rsid w:val="240D7F6A"/>
    <w:rsid w:val="24134E54"/>
    <w:rsid w:val="242F7EE0"/>
    <w:rsid w:val="2434180E"/>
    <w:rsid w:val="243E7C05"/>
    <w:rsid w:val="24521E21"/>
    <w:rsid w:val="245473A9"/>
    <w:rsid w:val="24666CC3"/>
    <w:rsid w:val="246851A0"/>
    <w:rsid w:val="246A0F18"/>
    <w:rsid w:val="24773635"/>
    <w:rsid w:val="248A3369"/>
    <w:rsid w:val="2490320E"/>
    <w:rsid w:val="2492046F"/>
    <w:rsid w:val="24920FB1"/>
    <w:rsid w:val="24AE34FB"/>
    <w:rsid w:val="24BB5C18"/>
    <w:rsid w:val="24BC729A"/>
    <w:rsid w:val="24BF09F7"/>
    <w:rsid w:val="24EB1EDB"/>
    <w:rsid w:val="24EC2700"/>
    <w:rsid w:val="24EF35A7"/>
    <w:rsid w:val="24F2504C"/>
    <w:rsid w:val="24FB7DC2"/>
    <w:rsid w:val="250273A3"/>
    <w:rsid w:val="250936AF"/>
    <w:rsid w:val="25145328"/>
    <w:rsid w:val="251946ED"/>
    <w:rsid w:val="25201F1F"/>
    <w:rsid w:val="25237C41"/>
    <w:rsid w:val="25276E09"/>
    <w:rsid w:val="25277829"/>
    <w:rsid w:val="252A68FA"/>
    <w:rsid w:val="252D53FE"/>
    <w:rsid w:val="252E0198"/>
    <w:rsid w:val="25311A36"/>
    <w:rsid w:val="254454DE"/>
    <w:rsid w:val="254E083A"/>
    <w:rsid w:val="255A7294"/>
    <w:rsid w:val="25643BBA"/>
    <w:rsid w:val="257162D7"/>
    <w:rsid w:val="257A162F"/>
    <w:rsid w:val="25900E53"/>
    <w:rsid w:val="2598150D"/>
    <w:rsid w:val="259D0E7A"/>
    <w:rsid w:val="25A72B61"/>
    <w:rsid w:val="25AE5B79"/>
    <w:rsid w:val="25B11EFB"/>
    <w:rsid w:val="25B2181C"/>
    <w:rsid w:val="25CA6327"/>
    <w:rsid w:val="25D56865"/>
    <w:rsid w:val="25DD571A"/>
    <w:rsid w:val="25E92311"/>
    <w:rsid w:val="25EC2D81"/>
    <w:rsid w:val="25ED78CC"/>
    <w:rsid w:val="25EF0DCD"/>
    <w:rsid w:val="25F0369F"/>
    <w:rsid w:val="25FE400E"/>
    <w:rsid w:val="260165F3"/>
    <w:rsid w:val="2604714B"/>
    <w:rsid w:val="26062EC3"/>
    <w:rsid w:val="26063EA9"/>
    <w:rsid w:val="260A4BA1"/>
    <w:rsid w:val="26190E48"/>
    <w:rsid w:val="26193B7B"/>
    <w:rsid w:val="2622325B"/>
    <w:rsid w:val="26233A75"/>
    <w:rsid w:val="26235823"/>
    <w:rsid w:val="26282E39"/>
    <w:rsid w:val="26326FB4"/>
    <w:rsid w:val="265359DC"/>
    <w:rsid w:val="26541E80"/>
    <w:rsid w:val="26751DF6"/>
    <w:rsid w:val="2679460E"/>
    <w:rsid w:val="267C4F33"/>
    <w:rsid w:val="267E514F"/>
    <w:rsid w:val="26826B2B"/>
    <w:rsid w:val="26832765"/>
    <w:rsid w:val="268A0133"/>
    <w:rsid w:val="268F2EB8"/>
    <w:rsid w:val="26906C30"/>
    <w:rsid w:val="26A237BB"/>
    <w:rsid w:val="26A45CEF"/>
    <w:rsid w:val="26A61FB0"/>
    <w:rsid w:val="26AB75C6"/>
    <w:rsid w:val="26C64400"/>
    <w:rsid w:val="26DB434F"/>
    <w:rsid w:val="26E73BFF"/>
    <w:rsid w:val="26F45411"/>
    <w:rsid w:val="26F9578B"/>
    <w:rsid w:val="270F224B"/>
    <w:rsid w:val="2728378E"/>
    <w:rsid w:val="274F43F6"/>
    <w:rsid w:val="275A34C6"/>
    <w:rsid w:val="275B34F0"/>
    <w:rsid w:val="27624129"/>
    <w:rsid w:val="2767173F"/>
    <w:rsid w:val="277057A2"/>
    <w:rsid w:val="27736336"/>
    <w:rsid w:val="27782CEE"/>
    <w:rsid w:val="277D524A"/>
    <w:rsid w:val="27886BE0"/>
    <w:rsid w:val="27893DAB"/>
    <w:rsid w:val="279B2F41"/>
    <w:rsid w:val="279B763B"/>
    <w:rsid w:val="27D03788"/>
    <w:rsid w:val="27D112AE"/>
    <w:rsid w:val="27D50D9F"/>
    <w:rsid w:val="27F5307A"/>
    <w:rsid w:val="280775F5"/>
    <w:rsid w:val="282569DC"/>
    <w:rsid w:val="28304227"/>
    <w:rsid w:val="2838132E"/>
    <w:rsid w:val="284E4E83"/>
    <w:rsid w:val="286A4109"/>
    <w:rsid w:val="287405B8"/>
    <w:rsid w:val="289447B6"/>
    <w:rsid w:val="28A360BD"/>
    <w:rsid w:val="28B210E0"/>
    <w:rsid w:val="28BA4B13"/>
    <w:rsid w:val="28C66952"/>
    <w:rsid w:val="28CD5F1A"/>
    <w:rsid w:val="28D41056"/>
    <w:rsid w:val="28DE0127"/>
    <w:rsid w:val="28DE0430"/>
    <w:rsid w:val="28E219C5"/>
    <w:rsid w:val="28F17E5A"/>
    <w:rsid w:val="28F60FCD"/>
    <w:rsid w:val="28F811E9"/>
    <w:rsid w:val="28F93E11"/>
    <w:rsid w:val="28FB65E3"/>
    <w:rsid w:val="28FE60D3"/>
    <w:rsid w:val="29064F88"/>
    <w:rsid w:val="290922FE"/>
    <w:rsid w:val="29206EB8"/>
    <w:rsid w:val="29256DEA"/>
    <w:rsid w:val="292C69EB"/>
    <w:rsid w:val="29313F58"/>
    <w:rsid w:val="293F112D"/>
    <w:rsid w:val="295668F0"/>
    <w:rsid w:val="29595666"/>
    <w:rsid w:val="29695916"/>
    <w:rsid w:val="29820AB2"/>
    <w:rsid w:val="29874881"/>
    <w:rsid w:val="298C36DF"/>
    <w:rsid w:val="298F31CF"/>
    <w:rsid w:val="299140AD"/>
    <w:rsid w:val="2995461C"/>
    <w:rsid w:val="29BE5A62"/>
    <w:rsid w:val="29D37560"/>
    <w:rsid w:val="29D82DC8"/>
    <w:rsid w:val="29DF7417"/>
    <w:rsid w:val="29E259F5"/>
    <w:rsid w:val="29E325E0"/>
    <w:rsid w:val="29EE6148"/>
    <w:rsid w:val="29F319B0"/>
    <w:rsid w:val="2A173091"/>
    <w:rsid w:val="2A1A6F3D"/>
    <w:rsid w:val="2A32274B"/>
    <w:rsid w:val="2A337FFE"/>
    <w:rsid w:val="2A3C5105"/>
    <w:rsid w:val="2A425E5E"/>
    <w:rsid w:val="2A452503"/>
    <w:rsid w:val="2A4E4E38"/>
    <w:rsid w:val="2A5266D7"/>
    <w:rsid w:val="2A6141D9"/>
    <w:rsid w:val="2A622692"/>
    <w:rsid w:val="2A703001"/>
    <w:rsid w:val="2A704DAF"/>
    <w:rsid w:val="2A7523C5"/>
    <w:rsid w:val="2A7938E7"/>
    <w:rsid w:val="2A8116E5"/>
    <w:rsid w:val="2A895E70"/>
    <w:rsid w:val="2A90644F"/>
    <w:rsid w:val="2AA07E80"/>
    <w:rsid w:val="2ABD206C"/>
    <w:rsid w:val="2AE03284"/>
    <w:rsid w:val="2AE75007"/>
    <w:rsid w:val="2AEC6585"/>
    <w:rsid w:val="2AF9465D"/>
    <w:rsid w:val="2B005BEA"/>
    <w:rsid w:val="2B0A6FB1"/>
    <w:rsid w:val="2B0F6A50"/>
    <w:rsid w:val="2B1166DD"/>
    <w:rsid w:val="2B14398C"/>
    <w:rsid w:val="2B165956"/>
    <w:rsid w:val="2B1716CE"/>
    <w:rsid w:val="2B1C0A93"/>
    <w:rsid w:val="2B2B1B0B"/>
    <w:rsid w:val="2B2D4A4E"/>
    <w:rsid w:val="2B33475A"/>
    <w:rsid w:val="2B397896"/>
    <w:rsid w:val="2B4D6E9E"/>
    <w:rsid w:val="2B717030"/>
    <w:rsid w:val="2B724877"/>
    <w:rsid w:val="2B73264A"/>
    <w:rsid w:val="2B882BA5"/>
    <w:rsid w:val="2B9866A5"/>
    <w:rsid w:val="2BA936A8"/>
    <w:rsid w:val="2BBA09D7"/>
    <w:rsid w:val="2BCC49D1"/>
    <w:rsid w:val="2BDF21EC"/>
    <w:rsid w:val="2BE07D12"/>
    <w:rsid w:val="2BE23CBF"/>
    <w:rsid w:val="2BEE0681"/>
    <w:rsid w:val="2BFB2D9E"/>
    <w:rsid w:val="2C0D1E81"/>
    <w:rsid w:val="2C161986"/>
    <w:rsid w:val="2C1A138D"/>
    <w:rsid w:val="2C1B6A0E"/>
    <w:rsid w:val="2C1B6F9C"/>
    <w:rsid w:val="2C315A5A"/>
    <w:rsid w:val="2C343D1B"/>
    <w:rsid w:val="2C3B112F"/>
    <w:rsid w:val="2C4036CA"/>
    <w:rsid w:val="2C476666"/>
    <w:rsid w:val="2C484235"/>
    <w:rsid w:val="2C4B1C25"/>
    <w:rsid w:val="2C4C5F9B"/>
    <w:rsid w:val="2C532BDA"/>
    <w:rsid w:val="2C536736"/>
    <w:rsid w:val="2C5A1872"/>
    <w:rsid w:val="2C5D75B5"/>
    <w:rsid w:val="2C646B95"/>
    <w:rsid w:val="2C653CB2"/>
    <w:rsid w:val="2C695F59"/>
    <w:rsid w:val="2C697D08"/>
    <w:rsid w:val="2C736742"/>
    <w:rsid w:val="2C7A413A"/>
    <w:rsid w:val="2C7F2476"/>
    <w:rsid w:val="2C7F39CF"/>
    <w:rsid w:val="2C816A00"/>
    <w:rsid w:val="2C901738"/>
    <w:rsid w:val="2C916BA6"/>
    <w:rsid w:val="2C9D5C03"/>
    <w:rsid w:val="2CA64B3B"/>
    <w:rsid w:val="2CB573F1"/>
    <w:rsid w:val="2CD77367"/>
    <w:rsid w:val="2CD86C3B"/>
    <w:rsid w:val="2CEF46B1"/>
    <w:rsid w:val="2CFB12A7"/>
    <w:rsid w:val="2CFC6DCE"/>
    <w:rsid w:val="2CFE2B46"/>
    <w:rsid w:val="2D2325AC"/>
    <w:rsid w:val="2D3D6EF0"/>
    <w:rsid w:val="2D46629B"/>
    <w:rsid w:val="2D522E91"/>
    <w:rsid w:val="2D642419"/>
    <w:rsid w:val="2D71212B"/>
    <w:rsid w:val="2D773B83"/>
    <w:rsid w:val="2D8017AD"/>
    <w:rsid w:val="2D8172D3"/>
    <w:rsid w:val="2D825525"/>
    <w:rsid w:val="2D8566CB"/>
    <w:rsid w:val="2D8A262B"/>
    <w:rsid w:val="2D900726"/>
    <w:rsid w:val="2D9139BA"/>
    <w:rsid w:val="2D917516"/>
    <w:rsid w:val="2D92328E"/>
    <w:rsid w:val="2D94105E"/>
    <w:rsid w:val="2D965109"/>
    <w:rsid w:val="2D9E56F5"/>
    <w:rsid w:val="2D9E7E85"/>
    <w:rsid w:val="2DA21723"/>
    <w:rsid w:val="2DA76D39"/>
    <w:rsid w:val="2DB256DE"/>
    <w:rsid w:val="2DB62E83"/>
    <w:rsid w:val="2DBC0D30"/>
    <w:rsid w:val="2DBD10F2"/>
    <w:rsid w:val="2DBE22D5"/>
    <w:rsid w:val="2DC23B73"/>
    <w:rsid w:val="2DC31699"/>
    <w:rsid w:val="2DCB42F0"/>
    <w:rsid w:val="2DE25FC3"/>
    <w:rsid w:val="2DE76AEF"/>
    <w:rsid w:val="2DEE6A6A"/>
    <w:rsid w:val="2DF27576"/>
    <w:rsid w:val="2DFC2F3E"/>
    <w:rsid w:val="2E0425E4"/>
    <w:rsid w:val="2E073C7C"/>
    <w:rsid w:val="2E141EF5"/>
    <w:rsid w:val="2E1B14D5"/>
    <w:rsid w:val="2E400F3C"/>
    <w:rsid w:val="2E5642BC"/>
    <w:rsid w:val="2E667F96"/>
    <w:rsid w:val="2E693FEF"/>
    <w:rsid w:val="2E6C334E"/>
    <w:rsid w:val="2E7C6418"/>
    <w:rsid w:val="2E7D5411"/>
    <w:rsid w:val="2E8226AB"/>
    <w:rsid w:val="2E880366"/>
    <w:rsid w:val="2E8928E3"/>
    <w:rsid w:val="2E8C4181"/>
    <w:rsid w:val="2E9F34E6"/>
    <w:rsid w:val="2EA06558"/>
    <w:rsid w:val="2EAE2349"/>
    <w:rsid w:val="2EB57234"/>
    <w:rsid w:val="2EB647AF"/>
    <w:rsid w:val="2EB77450"/>
    <w:rsid w:val="2EB909D8"/>
    <w:rsid w:val="2EBA2A9C"/>
    <w:rsid w:val="2EE30245"/>
    <w:rsid w:val="2EF75A9F"/>
    <w:rsid w:val="2F106B60"/>
    <w:rsid w:val="2F4F58DB"/>
    <w:rsid w:val="2F57546C"/>
    <w:rsid w:val="2F595CF5"/>
    <w:rsid w:val="2F615F65"/>
    <w:rsid w:val="2F662C24"/>
    <w:rsid w:val="2F6B1E11"/>
    <w:rsid w:val="2F6D3FB3"/>
    <w:rsid w:val="2F6D6DE5"/>
    <w:rsid w:val="2F6F3887"/>
    <w:rsid w:val="2F6F7D2B"/>
    <w:rsid w:val="2F7E0BA6"/>
    <w:rsid w:val="2F8119E7"/>
    <w:rsid w:val="2F853B70"/>
    <w:rsid w:val="2FA86D99"/>
    <w:rsid w:val="2FBA5A52"/>
    <w:rsid w:val="2FBD7BBB"/>
    <w:rsid w:val="2FC31E25"/>
    <w:rsid w:val="2FC75471"/>
    <w:rsid w:val="2FCA31B3"/>
    <w:rsid w:val="2FCC2A87"/>
    <w:rsid w:val="2FD065E6"/>
    <w:rsid w:val="2FD63906"/>
    <w:rsid w:val="2FD933F6"/>
    <w:rsid w:val="2FD96870"/>
    <w:rsid w:val="2FDB6D4A"/>
    <w:rsid w:val="2FDE6C5E"/>
    <w:rsid w:val="2FDF7ED1"/>
    <w:rsid w:val="2FE42E28"/>
    <w:rsid w:val="2FE71487"/>
    <w:rsid w:val="2FEC3129"/>
    <w:rsid w:val="2FEF2C1A"/>
    <w:rsid w:val="2FF811E4"/>
    <w:rsid w:val="2FF95846"/>
    <w:rsid w:val="2FFE1C9F"/>
    <w:rsid w:val="30091776"/>
    <w:rsid w:val="300A00B2"/>
    <w:rsid w:val="301349D9"/>
    <w:rsid w:val="301461DC"/>
    <w:rsid w:val="301B6385"/>
    <w:rsid w:val="30204020"/>
    <w:rsid w:val="3025663B"/>
    <w:rsid w:val="303D5733"/>
    <w:rsid w:val="30444929"/>
    <w:rsid w:val="30556F21"/>
    <w:rsid w:val="30580BC9"/>
    <w:rsid w:val="30695770"/>
    <w:rsid w:val="30751371"/>
    <w:rsid w:val="30781792"/>
    <w:rsid w:val="30881BCD"/>
    <w:rsid w:val="308C0468"/>
    <w:rsid w:val="309E0A3D"/>
    <w:rsid w:val="30A46B51"/>
    <w:rsid w:val="30A5135F"/>
    <w:rsid w:val="30A734F4"/>
    <w:rsid w:val="30AE3EC3"/>
    <w:rsid w:val="30B023A9"/>
    <w:rsid w:val="30BF083E"/>
    <w:rsid w:val="30C23E8A"/>
    <w:rsid w:val="30C25A2F"/>
    <w:rsid w:val="30C900AE"/>
    <w:rsid w:val="30CE4366"/>
    <w:rsid w:val="30D43636"/>
    <w:rsid w:val="311855BA"/>
    <w:rsid w:val="31197F4E"/>
    <w:rsid w:val="311E2ED7"/>
    <w:rsid w:val="31276ED5"/>
    <w:rsid w:val="312F22E4"/>
    <w:rsid w:val="31314594"/>
    <w:rsid w:val="3149244A"/>
    <w:rsid w:val="314E699A"/>
    <w:rsid w:val="31523460"/>
    <w:rsid w:val="315619EE"/>
    <w:rsid w:val="315762F7"/>
    <w:rsid w:val="315C449C"/>
    <w:rsid w:val="315F1BCF"/>
    <w:rsid w:val="31633AA7"/>
    <w:rsid w:val="316B2774"/>
    <w:rsid w:val="31741628"/>
    <w:rsid w:val="317E5CD3"/>
    <w:rsid w:val="318500D0"/>
    <w:rsid w:val="318A49A8"/>
    <w:rsid w:val="31943A92"/>
    <w:rsid w:val="31945827"/>
    <w:rsid w:val="31994BEB"/>
    <w:rsid w:val="31AD72BE"/>
    <w:rsid w:val="31B82709"/>
    <w:rsid w:val="31BB7257"/>
    <w:rsid w:val="31CA749A"/>
    <w:rsid w:val="31CD0D39"/>
    <w:rsid w:val="31D05482"/>
    <w:rsid w:val="31D40319"/>
    <w:rsid w:val="31D7673C"/>
    <w:rsid w:val="31DC194E"/>
    <w:rsid w:val="31E06CBE"/>
    <w:rsid w:val="31E4710E"/>
    <w:rsid w:val="31E83DC4"/>
    <w:rsid w:val="31FE7144"/>
    <w:rsid w:val="32021A78"/>
    <w:rsid w:val="320749F4"/>
    <w:rsid w:val="320A3D3B"/>
    <w:rsid w:val="320F1351"/>
    <w:rsid w:val="320F30FF"/>
    <w:rsid w:val="321C75CA"/>
    <w:rsid w:val="322119EE"/>
    <w:rsid w:val="32257D14"/>
    <w:rsid w:val="32315AE5"/>
    <w:rsid w:val="32325C26"/>
    <w:rsid w:val="323279F9"/>
    <w:rsid w:val="32400B34"/>
    <w:rsid w:val="327A0EC0"/>
    <w:rsid w:val="32817C7D"/>
    <w:rsid w:val="328A09D8"/>
    <w:rsid w:val="328E7867"/>
    <w:rsid w:val="32902F25"/>
    <w:rsid w:val="329E00B3"/>
    <w:rsid w:val="329E6876"/>
    <w:rsid w:val="32A15C04"/>
    <w:rsid w:val="32A33145"/>
    <w:rsid w:val="32AE2918"/>
    <w:rsid w:val="32B55A55"/>
    <w:rsid w:val="32C043F9"/>
    <w:rsid w:val="32CB171C"/>
    <w:rsid w:val="32CC460C"/>
    <w:rsid w:val="32F316B0"/>
    <w:rsid w:val="32F3657D"/>
    <w:rsid w:val="32F522F5"/>
    <w:rsid w:val="32F6606D"/>
    <w:rsid w:val="3301513E"/>
    <w:rsid w:val="330A0092"/>
    <w:rsid w:val="330F7CB3"/>
    <w:rsid w:val="33221FAD"/>
    <w:rsid w:val="333015F2"/>
    <w:rsid w:val="3344327C"/>
    <w:rsid w:val="33466FF4"/>
    <w:rsid w:val="334B6320"/>
    <w:rsid w:val="3353526D"/>
    <w:rsid w:val="336F6858"/>
    <w:rsid w:val="337A4E51"/>
    <w:rsid w:val="337B7B8C"/>
    <w:rsid w:val="337C6572"/>
    <w:rsid w:val="3383112B"/>
    <w:rsid w:val="3392223A"/>
    <w:rsid w:val="33923FE8"/>
    <w:rsid w:val="339C1A45"/>
    <w:rsid w:val="339D4A7A"/>
    <w:rsid w:val="339E298D"/>
    <w:rsid w:val="339F04B3"/>
    <w:rsid w:val="33A1247D"/>
    <w:rsid w:val="33A53D1B"/>
    <w:rsid w:val="33AD0E22"/>
    <w:rsid w:val="33B004AE"/>
    <w:rsid w:val="33B069B3"/>
    <w:rsid w:val="33B45D0C"/>
    <w:rsid w:val="33B629B4"/>
    <w:rsid w:val="33B977C6"/>
    <w:rsid w:val="33BA1EA1"/>
    <w:rsid w:val="33BF2903"/>
    <w:rsid w:val="33C9777E"/>
    <w:rsid w:val="33CD5020"/>
    <w:rsid w:val="33CE43FC"/>
    <w:rsid w:val="33CF2B46"/>
    <w:rsid w:val="33D7723F"/>
    <w:rsid w:val="33D934D4"/>
    <w:rsid w:val="33F70C34"/>
    <w:rsid w:val="33FE2F6A"/>
    <w:rsid w:val="340547BA"/>
    <w:rsid w:val="340A6274"/>
    <w:rsid w:val="340E07E5"/>
    <w:rsid w:val="340E0B64"/>
    <w:rsid w:val="34111AC4"/>
    <w:rsid w:val="341E3ACD"/>
    <w:rsid w:val="34235BF7"/>
    <w:rsid w:val="34280772"/>
    <w:rsid w:val="343E715C"/>
    <w:rsid w:val="34433534"/>
    <w:rsid w:val="34453762"/>
    <w:rsid w:val="34485542"/>
    <w:rsid w:val="344A48C2"/>
    <w:rsid w:val="344D6161"/>
    <w:rsid w:val="34592D57"/>
    <w:rsid w:val="346A0935"/>
    <w:rsid w:val="346F5009"/>
    <w:rsid w:val="346F60D7"/>
    <w:rsid w:val="347B2CCE"/>
    <w:rsid w:val="34A51AF9"/>
    <w:rsid w:val="34AC2E87"/>
    <w:rsid w:val="34AF6AD4"/>
    <w:rsid w:val="34B166F0"/>
    <w:rsid w:val="34BE62A5"/>
    <w:rsid w:val="34D523DE"/>
    <w:rsid w:val="34D8154C"/>
    <w:rsid w:val="34D8668A"/>
    <w:rsid w:val="34E155CF"/>
    <w:rsid w:val="34EC50F6"/>
    <w:rsid w:val="34F547BB"/>
    <w:rsid w:val="34F81455"/>
    <w:rsid w:val="350228EC"/>
    <w:rsid w:val="350F4C5A"/>
    <w:rsid w:val="35123632"/>
    <w:rsid w:val="3518112A"/>
    <w:rsid w:val="352F1848"/>
    <w:rsid w:val="35301D0A"/>
    <w:rsid w:val="35327483"/>
    <w:rsid w:val="35531538"/>
    <w:rsid w:val="35586B6B"/>
    <w:rsid w:val="355E0625"/>
    <w:rsid w:val="35606541"/>
    <w:rsid w:val="356F4547"/>
    <w:rsid w:val="357D65D2"/>
    <w:rsid w:val="358C5FA8"/>
    <w:rsid w:val="359304E6"/>
    <w:rsid w:val="35A83098"/>
    <w:rsid w:val="35AC49DC"/>
    <w:rsid w:val="35BA6F58"/>
    <w:rsid w:val="35C15DF1"/>
    <w:rsid w:val="35CD7559"/>
    <w:rsid w:val="35CE6E2D"/>
    <w:rsid w:val="35D07049"/>
    <w:rsid w:val="35D94150"/>
    <w:rsid w:val="35E6686D"/>
    <w:rsid w:val="35EA1EB9"/>
    <w:rsid w:val="35F72828"/>
    <w:rsid w:val="35F9034E"/>
    <w:rsid w:val="35FA7C22"/>
    <w:rsid w:val="36074A7F"/>
    <w:rsid w:val="36081A1A"/>
    <w:rsid w:val="3619454C"/>
    <w:rsid w:val="361F2389"/>
    <w:rsid w:val="36303539"/>
    <w:rsid w:val="36325D12"/>
    <w:rsid w:val="36372C24"/>
    <w:rsid w:val="36380B2B"/>
    <w:rsid w:val="363B44C3"/>
    <w:rsid w:val="363E3FB3"/>
    <w:rsid w:val="366854D4"/>
    <w:rsid w:val="366B28CE"/>
    <w:rsid w:val="36703F22"/>
    <w:rsid w:val="36761943"/>
    <w:rsid w:val="367B0D63"/>
    <w:rsid w:val="368340BC"/>
    <w:rsid w:val="36923549"/>
    <w:rsid w:val="36932551"/>
    <w:rsid w:val="3693500F"/>
    <w:rsid w:val="369D4A54"/>
    <w:rsid w:val="36AE738B"/>
    <w:rsid w:val="36B75FBF"/>
    <w:rsid w:val="36BC2F97"/>
    <w:rsid w:val="36BD0C45"/>
    <w:rsid w:val="36D15C9E"/>
    <w:rsid w:val="36E126E7"/>
    <w:rsid w:val="36EC1FA0"/>
    <w:rsid w:val="36F4364C"/>
    <w:rsid w:val="36F9749B"/>
    <w:rsid w:val="3701395E"/>
    <w:rsid w:val="37055D8F"/>
    <w:rsid w:val="37142A9A"/>
    <w:rsid w:val="371E0226"/>
    <w:rsid w:val="372A70E2"/>
    <w:rsid w:val="37314AA5"/>
    <w:rsid w:val="37362EDC"/>
    <w:rsid w:val="37380BE0"/>
    <w:rsid w:val="373B04F2"/>
    <w:rsid w:val="373C4996"/>
    <w:rsid w:val="373D070E"/>
    <w:rsid w:val="37425D25"/>
    <w:rsid w:val="374B578D"/>
    <w:rsid w:val="374D235F"/>
    <w:rsid w:val="374E46CA"/>
    <w:rsid w:val="37515F68"/>
    <w:rsid w:val="376712E7"/>
    <w:rsid w:val="376B527C"/>
    <w:rsid w:val="37757D3A"/>
    <w:rsid w:val="377C4D93"/>
    <w:rsid w:val="37823846"/>
    <w:rsid w:val="37826121"/>
    <w:rsid w:val="37861808"/>
    <w:rsid w:val="37866434"/>
    <w:rsid w:val="378A279C"/>
    <w:rsid w:val="378B76CC"/>
    <w:rsid w:val="37A91900"/>
    <w:rsid w:val="37AD7642"/>
    <w:rsid w:val="37B115BA"/>
    <w:rsid w:val="37B26A07"/>
    <w:rsid w:val="37B409D1"/>
    <w:rsid w:val="37C4673A"/>
    <w:rsid w:val="37D83F93"/>
    <w:rsid w:val="37DB1478"/>
    <w:rsid w:val="37DC7F27"/>
    <w:rsid w:val="37E00298"/>
    <w:rsid w:val="37E13493"/>
    <w:rsid w:val="37E2675F"/>
    <w:rsid w:val="37ED5F36"/>
    <w:rsid w:val="37F54499"/>
    <w:rsid w:val="37FC4126"/>
    <w:rsid w:val="380A1C38"/>
    <w:rsid w:val="380B3B25"/>
    <w:rsid w:val="381C0324"/>
    <w:rsid w:val="38206066"/>
    <w:rsid w:val="38211DDE"/>
    <w:rsid w:val="38267884"/>
    <w:rsid w:val="38327B47"/>
    <w:rsid w:val="384A6C3F"/>
    <w:rsid w:val="38553213"/>
    <w:rsid w:val="38637D01"/>
    <w:rsid w:val="38653A79"/>
    <w:rsid w:val="386C3059"/>
    <w:rsid w:val="386D5023"/>
    <w:rsid w:val="38846555"/>
    <w:rsid w:val="38871C41"/>
    <w:rsid w:val="388D1222"/>
    <w:rsid w:val="388F6D48"/>
    <w:rsid w:val="3890394B"/>
    <w:rsid w:val="3894610C"/>
    <w:rsid w:val="38B302F9"/>
    <w:rsid w:val="38C56AB8"/>
    <w:rsid w:val="38CC0E6B"/>
    <w:rsid w:val="38D05004"/>
    <w:rsid w:val="38D35896"/>
    <w:rsid w:val="38D90360"/>
    <w:rsid w:val="38DF0C5D"/>
    <w:rsid w:val="38E250CA"/>
    <w:rsid w:val="38E928FC"/>
    <w:rsid w:val="38F12CD3"/>
    <w:rsid w:val="38F17A02"/>
    <w:rsid w:val="38F47D90"/>
    <w:rsid w:val="38F80D91"/>
    <w:rsid w:val="38F94775"/>
    <w:rsid w:val="39174072"/>
    <w:rsid w:val="391D07F7"/>
    <w:rsid w:val="39200B35"/>
    <w:rsid w:val="39231616"/>
    <w:rsid w:val="3925145A"/>
    <w:rsid w:val="392971ED"/>
    <w:rsid w:val="392C29C6"/>
    <w:rsid w:val="39325651"/>
    <w:rsid w:val="39347264"/>
    <w:rsid w:val="3942025E"/>
    <w:rsid w:val="39495149"/>
    <w:rsid w:val="39535FC7"/>
    <w:rsid w:val="396401D4"/>
    <w:rsid w:val="39657AA9"/>
    <w:rsid w:val="396B1563"/>
    <w:rsid w:val="396E6EBE"/>
    <w:rsid w:val="397523E2"/>
    <w:rsid w:val="397639BE"/>
    <w:rsid w:val="398268AC"/>
    <w:rsid w:val="398E70F5"/>
    <w:rsid w:val="3995462E"/>
    <w:rsid w:val="399B5945"/>
    <w:rsid w:val="399D36E6"/>
    <w:rsid w:val="39A42825"/>
    <w:rsid w:val="39A64349"/>
    <w:rsid w:val="39B63EB2"/>
    <w:rsid w:val="39C60475"/>
    <w:rsid w:val="39C61730"/>
    <w:rsid w:val="39CB1924"/>
    <w:rsid w:val="39CD7B28"/>
    <w:rsid w:val="39D0586A"/>
    <w:rsid w:val="39DB72F7"/>
    <w:rsid w:val="39E621E8"/>
    <w:rsid w:val="39F350B4"/>
    <w:rsid w:val="39F634E7"/>
    <w:rsid w:val="3A013C75"/>
    <w:rsid w:val="3A033549"/>
    <w:rsid w:val="3A361F20"/>
    <w:rsid w:val="3A3F654C"/>
    <w:rsid w:val="3A41466D"/>
    <w:rsid w:val="3A44426D"/>
    <w:rsid w:val="3A4B20C9"/>
    <w:rsid w:val="3A5C0EAC"/>
    <w:rsid w:val="3A61177C"/>
    <w:rsid w:val="3A685735"/>
    <w:rsid w:val="3A6A181A"/>
    <w:rsid w:val="3A6A35C8"/>
    <w:rsid w:val="3A701D21"/>
    <w:rsid w:val="3A726F59"/>
    <w:rsid w:val="3A7532B8"/>
    <w:rsid w:val="3A7B57D6"/>
    <w:rsid w:val="3A7F0863"/>
    <w:rsid w:val="3A804B9A"/>
    <w:rsid w:val="3A872856"/>
    <w:rsid w:val="3A8B1791"/>
    <w:rsid w:val="3A9F780D"/>
    <w:rsid w:val="3AB02FA5"/>
    <w:rsid w:val="3ACC4911"/>
    <w:rsid w:val="3ACD60ED"/>
    <w:rsid w:val="3AD469B9"/>
    <w:rsid w:val="3ADF7B8B"/>
    <w:rsid w:val="3AF51284"/>
    <w:rsid w:val="3AF6651C"/>
    <w:rsid w:val="3B051B7D"/>
    <w:rsid w:val="3B0949EF"/>
    <w:rsid w:val="3B3360B0"/>
    <w:rsid w:val="3B374E9C"/>
    <w:rsid w:val="3B3763D1"/>
    <w:rsid w:val="3B3F2CA7"/>
    <w:rsid w:val="3B3F32BB"/>
    <w:rsid w:val="3B5953EB"/>
    <w:rsid w:val="3B660234"/>
    <w:rsid w:val="3B6B3A9C"/>
    <w:rsid w:val="3B70547B"/>
    <w:rsid w:val="3B776E1C"/>
    <w:rsid w:val="3B7F22DB"/>
    <w:rsid w:val="3B817F89"/>
    <w:rsid w:val="3B8E34F5"/>
    <w:rsid w:val="3B9574F3"/>
    <w:rsid w:val="3B9B137D"/>
    <w:rsid w:val="3B9B5A04"/>
    <w:rsid w:val="3B9C44B2"/>
    <w:rsid w:val="3B9D5C20"/>
    <w:rsid w:val="3BAD60C9"/>
    <w:rsid w:val="3BAE1BDB"/>
    <w:rsid w:val="3BB64CD5"/>
    <w:rsid w:val="3BB80364"/>
    <w:rsid w:val="3BB93BC1"/>
    <w:rsid w:val="3BBA40DC"/>
    <w:rsid w:val="3BC037A4"/>
    <w:rsid w:val="3BD77A63"/>
    <w:rsid w:val="3BDA477E"/>
    <w:rsid w:val="3BE23632"/>
    <w:rsid w:val="3BE86E9B"/>
    <w:rsid w:val="3BF03FA1"/>
    <w:rsid w:val="3BF11537"/>
    <w:rsid w:val="3C123F18"/>
    <w:rsid w:val="3C1277A8"/>
    <w:rsid w:val="3C1852A6"/>
    <w:rsid w:val="3C1C245F"/>
    <w:rsid w:val="3C2F6E1E"/>
    <w:rsid w:val="3C325D6C"/>
    <w:rsid w:val="3C37397E"/>
    <w:rsid w:val="3C4F64BA"/>
    <w:rsid w:val="3C5067EE"/>
    <w:rsid w:val="3C543D8E"/>
    <w:rsid w:val="3C5C1823"/>
    <w:rsid w:val="3C6109FB"/>
    <w:rsid w:val="3C636521"/>
    <w:rsid w:val="3C683B38"/>
    <w:rsid w:val="3C6B3628"/>
    <w:rsid w:val="3C6C495E"/>
    <w:rsid w:val="3C700CB3"/>
    <w:rsid w:val="3C8446EA"/>
    <w:rsid w:val="3C9963E7"/>
    <w:rsid w:val="3CB00DAE"/>
    <w:rsid w:val="3CB23005"/>
    <w:rsid w:val="3CD66855"/>
    <w:rsid w:val="3CD70CBD"/>
    <w:rsid w:val="3CDA245A"/>
    <w:rsid w:val="3CE9336C"/>
    <w:rsid w:val="3CEF24AB"/>
    <w:rsid w:val="3CF11D7F"/>
    <w:rsid w:val="3D162357"/>
    <w:rsid w:val="3D1E06B7"/>
    <w:rsid w:val="3D24633C"/>
    <w:rsid w:val="3D3969FD"/>
    <w:rsid w:val="3D3C0B2E"/>
    <w:rsid w:val="3D483969"/>
    <w:rsid w:val="3D4C16AB"/>
    <w:rsid w:val="3D4C603E"/>
    <w:rsid w:val="3D5E0CB0"/>
    <w:rsid w:val="3D605157"/>
    <w:rsid w:val="3D6E33D0"/>
    <w:rsid w:val="3D6E4C98"/>
    <w:rsid w:val="3D701A3B"/>
    <w:rsid w:val="3D787406"/>
    <w:rsid w:val="3D7F0B45"/>
    <w:rsid w:val="3D800CF3"/>
    <w:rsid w:val="3D8250CD"/>
    <w:rsid w:val="3D8E75CE"/>
    <w:rsid w:val="3D9170BE"/>
    <w:rsid w:val="3DA23079"/>
    <w:rsid w:val="3DB80AEF"/>
    <w:rsid w:val="3DBB771F"/>
    <w:rsid w:val="3DCB0822"/>
    <w:rsid w:val="3DCE20C0"/>
    <w:rsid w:val="3DDC5E7F"/>
    <w:rsid w:val="3DFF227A"/>
    <w:rsid w:val="3E047890"/>
    <w:rsid w:val="3E09134A"/>
    <w:rsid w:val="3E0C379A"/>
    <w:rsid w:val="3E135D25"/>
    <w:rsid w:val="3E145877"/>
    <w:rsid w:val="3E171CB9"/>
    <w:rsid w:val="3E295549"/>
    <w:rsid w:val="3E3216D4"/>
    <w:rsid w:val="3E3C1720"/>
    <w:rsid w:val="3E4928E7"/>
    <w:rsid w:val="3E4E0DD4"/>
    <w:rsid w:val="3E4E68F8"/>
    <w:rsid w:val="3E554590"/>
    <w:rsid w:val="3E5A1BA6"/>
    <w:rsid w:val="3E5A7DF8"/>
    <w:rsid w:val="3E7201E0"/>
    <w:rsid w:val="3E7321A7"/>
    <w:rsid w:val="3E74259F"/>
    <w:rsid w:val="3E7569E0"/>
    <w:rsid w:val="3E7C7D6E"/>
    <w:rsid w:val="3E80785E"/>
    <w:rsid w:val="3E860BED"/>
    <w:rsid w:val="3E99447C"/>
    <w:rsid w:val="3EA041C2"/>
    <w:rsid w:val="3EA21DFC"/>
    <w:rsid w:val="3EA81193"/>
    <w:rsid w:val="3EB94F4F"/>
    <w:rsid w:val="3ECB0721"/>
    <w:rsid w:val="3ECF7E9E"/>
    <w:rsid w:val="3EDA0523"/>
    <w:rsid w:val="3EDC4C1F"/>
    <w:rsid w:val="3EDF4135"/>
    <w:rsid w:val="3EE15E23"/>
    <w:rsid w:val="3EE26782"/>
    <w:rsid w:val="3EEA664C"/>
    <w:rsid w:val="3EED2A1A"/>
    <w:rsid w:val="3F06588A"/>
    <w:rsid w:val="3F1E2BD3"/>
    <w:rsid w:val="3F2A1578"/>
    <w:rsid w:val="3F2F6B8F"/>
    <w:rsid w:val="3F4A5777"/>
    <w:rsid w:val="3F4C1203"/>
    <w:rsid w:val="3F581743"/>
    <w:rsid w:val="3F79189D"/>
    <w:rsid w:val="3F80563C"/>
    <w:rsid w:val="3F9E0124"/>
    <w:rsid w:val="3FA04B59"/>
    <w:rsid w:val="3FAA4467"/>
    <w:rsid w:val="3FB63D7C"/>
    <w:rsid w:val="3FBE44C2"/>
    <w:rsid w:val="3FC4377B"/>
    <w:rsid w:val="3FD00372"/>
    <w:rsid w:val="3FD6525C"/>
    <w:rsid w:val="3FDB2873"/>
    <w:rsid w:val="3FE206D5"/>
    <w:rsid w:val="3FE71217"/>
    <w:rsid w:val="3FF27982"/>
    <w:rsid w:val="3FF84A5E"/>
    <w:rsid w:val="400F37CF"/>
    <w:rsid w:val="40210BCD"/>
    <w:rsid w:val="40295CD4"/>
    <w:rsid w:val="4037305B"/>
    <w:rsid w:val="403D2262"/>
    <w:rsid w:val="403F0E94"/>
    <w:rsid w:val="40786313"/>
    <w:rsid w:val="407A6407"/>
    <w:rsid w:val="407F4BE6"/>
    <w:rsid w:val="408353E4"/>
    <w:rsid w:val="40844CB8"/>
    <w:rsid w:val="408B24EB"/>
    <w:rsid w:val="408D1DBF"/>
    <w:rsid w:val="40923879"/>
    <w:rsid w:val="40990FA9"/>
    <w:rsid w:val="40A11D0E"/>
    <w:rsid w:val="40B7360A"/>
    <w:rsid w:val="40B7508E"/>
    <w:rsid w:val="40BC4452"/>
    <w:rsid w:val="40C7232D"/>
    <w:rsid w:val="40C963C1"/>
    <w:rsid w:val="40D07EFD"/>
    <w:rsid w:val="40D53766"/>
    <w:rsid w:val="40DE6ABE"/>
    <w:rsid w:val="40EE65D6"/>
    <w:rsid w:val="4105404B"/>
    <w:rsid w:val="410D4CAE"/>
    <w:rsid w:val="41146C6B"/>
    <w:rsid w:val="411C3143"/>
    <w:rsid w:val="411F7C23"/>
    <w:rsid w:val="412A5860"/>
    <w:rsid w:val="412C397A"/>
    <w:rsid w:val="412D224A"/>
    <w:rsid w:val="41401527"/>
    <w:rsid w:val="41405083"/>
    <w:rsid w:val="414F176A"/>
    <w:rsid w:val="41515B30"/>
    <w:rsid w:val="4153125A"/>
    <w:rsid w:val="415428DD"/>
    <w:rsid w:val="41554EFC"/>
    <w:rsid w:val="4157154C"/>
    <w:rsid w:val="415D3E87"/>
    <w:rsid w:val="41605725"/>
    <w:rsid w:val="416A57F5"/>
    <w:rsid w:val="416D399E"/>
    <w:rsid w:val="417F067C"/>
    <w:rsid w:val="4182569C"/>
    <w:rsid w:val="41886B90"/>
    <w:rsid w:val="418B3DDD"/>
    <w:rsid w:val="418E2292"/>
    <w:rsid w:val="418F6FC8"/>
    <w:rsid w:val="41943621"/>
    <w:rsid w:val="419A76AA"/>
    <w:rsid w:val="41A33F03"/>
    <w:rsid w:val="41AE06E8"/>
    <w:rsid w:val="41DD0B24"/>
    <w:rsid w:val="41E57C16"/>
    <w:rsid w:val="41EA4FEF"/>
    <w:rsid w:val="41F7547A"/>
    <w:rsid w:val="4200449D"/>
    <w:rsid w:val="420129C0"/>
    <w:rsid w:val="42167C36"/>
    <w:rsid w:val="421D3616"/>
    <w:rsid w:val="42277FF1"/>
    <w:rsid w:val="422C1AAB"/>
    <w:rsid w:val="423439CD"/>
    <w:rsid w:val="423A3BCC"/>
    <w:rsid w:val="423B0441"/>
    <w:rsid w:val="423F358D"/>
    <w:rsid w:val="424B0183"/>
    <w:rsid w:val="424B3CDF"/>
    <w:rsid w:val="424E4538"/>
    <w:rsid w:val="424E57D2"/>
    <w:rsid w:val="42521512"/>
    <w:rsid w:val="425270EF"/>
    <w:rsid w:val="425F59DD"/>
    <w:rsid w:val="42626F1C"/>
    <w:rsid w:val="426A2ADF"/>
    <w:rsid w:val="426A51A2"/>
    <w:rsid w:val="426C62D9"/>
    <w:rsid w:val="427B20EB"/>
    <w:rsid w:val="427D6F5C"/>
    <w:rsid w:val="42935686"/>
    <w:rsid w:val="429E4757"/>
    <w:rsid w:val="42A258CA"/>
    <w:rsid w:val="42A72C25"/>
    <w:rsid w:val="42A930FC"/>
    <w:rsid w:val="42B26C49"/>
    <w:rsid w:val="42BB0811"/>
    <w:rsid w:val="42C65A5C"/>
    <w:rsid w:val="42C67ECA"/>
    <w:rsid w:val="42CD6DEA"/>
    <w:rsid w:val="42D812EB"/>
    <w:rsid w:val="42DA32B5"/>
    <w:rsid w:val="42DC2341"/>
    <w:rsid w:val="42E14644"/>
    <w:rsid w:val="42E252FE"/>
    <w:rsid w:val="42E34F87"/>
    <w:rsid w:val="42EF6D61"/>
    <w:rsid w:val="42FC147E"/>
    <w:rsid w:val="43010842"/>
    <w:rsid w:val="43055BD2"/>
    <w:rsid w:val="43162488"/>
    <w:rsid w:val="43212C92"/>
    <w:rsid w:val="43234EA3"/>
    <w:rsid w:val="432636BD"/>
    <w:rsid w:val="43317379"/>
    <w:rsid w:val="43340E95"/>
    <w:rsid w:val="43346E69"/>
    <w:rsid w:val="433A6FE6"/>
    <w:rsid w:val="43480868"/>
    <w:rsid w:val="434D3A87"/>
    <w:rsid w:val="434E3BCE"/>
    <w:rsid w:val="43503578"/>
    <w:rsid w:val="4350713C"/>
    <w:rsid w:val="43544E16"/>
    <w:rsid w:val="436653E0"/>
    <w:rsid w:val="436D5ED7"/>
    <w:rsid w:val="4370541C"/>
    <w:rsid w:val="43827BD5"/>
    <w:rsid w:val="438D0328"/>
    <w:rsid w:val="4392593E"/>
    <w:rsid w:val="439C056B"/>
    <w:rsid w:val="439C1EB7"/>
    <w:rsid w:val="43A169EA"/>
    <w:rsid w:val="43A93066"/>
    <w:rsid w:val="43AA0EDA"/>
    <w:rsid w:val="43AA2C88"/>
    <w:rsid w:val="43AD04A2"/>
    <w:rsid w:val="43B12268"/>
    <w:rsid w:val="43B5701A"/>
    <w:rsid w:val="43B65AD0"/>
    <w:rsid w:val="43C4431A"/>
    <w:rsid w:val="43CE2E1A"/>
    <w:rsid w:val="43D917BF"/>
    <w:rsid w:val="43E268C5"/>
    <w:rsid w:val="43E770AD"/>
    <w:rsid w:val="43EA577A"/>
    <w:rsid w:val="43ED101F"/>
    <w:rsid w:val="43FE4D82"/>
    <w:rsid w:val="44093E52"/>
    <w:rsid w:val="440A1978"/>
    <w:rsid w:val="441A7E0D"/>
    <w:rsid w:val="441C4494"/>
    <w:rsid w:val="44274886"/>
    <w:rsid w:val="44316F05"/>
    <w:rsid w:val="443609BF"/>
    <w:rsid w:val="44380293"/>
    <w:rsid w:val="443F7874"/>
    <w:rsid w:val="444404EC"/>
    <w:rsid w:val="4447497A"/>
    <w:rsid w:val="444A37DF"/>
    <w:rsid w:val="445157F9"/>
    <w:rsid w:val="44562E10"/>
    <w:rsid w:val="445826E4"/>
    <w:rsid w:val="4467501D"/>
    <w:rsid w:val="447924E4"/>
    <w:rsid w:val="447C516A"/>
    <w:rsid w:val="44873BD2"/>
    <w:rsid w:val="448B4867"/>
    <w:rsid w:val="44935E12"/>
    <w:rsid w:val="449D459A"/>
    <w:rsid w:val="44A973E3"/>
    <w:rsid w:val="44AE67A8"/>
    <w:rsid w:val="44B951CC"/>
    <w:rsid w:val="44BA514C"/>
    <w:rsid w:val="44C12D9B"/>
    <w:rsid w:val="44C71484"/>
    <w:rsid w:val="44CD14E0"/>
    <w:rsid w:val="44DF602D"/>
    <w:rsid w:val="44E126D9"/>
    <w:rsid w:val="44E67CEF"/>
    <w:rsid w:val="44F017BA"/>
    <w:rsid w:val="44F1301F"/>
    <w:rsid w:val="44F20B0B"/>
    <w:rsid w:val="450B59A8"/>
    <w:rsid w:val="45164489"/>
    <w:rsid w:val="452115EA"/>
    <w:rsid w:val="452E5F4C"/>
    <w:rsid w:val="453F5652"/>
    <w:rsid w:val="4545710C"/>
    <w:rsid w:val="45485320"/>
    <w:rsid w:val="45494D5F"/>
    <w:rsid w:val="454D4212"/>
    <w:rsid w:val="4550785F"/>
    <w:rsid w:val="455E1A7E"/>
    <w:rsid w:val="45612018"/>
    <w:rsid w:val="45782A05"/>
    <w:rsid w:val="4579725D"/>
    <w:rsid w:val="458946E9"/>
    <w:rsid w:val="458E44FE"/>
    <w:rsid w:val="458F482B"/>
    <w:rsid w:val="45A35BE1"/>
    <w:rsid w:val="45A47C0E"/>
    <w:rsid w:val="45EA1BE0"/>
    <w:rsid w:val="45FB77CB"/>
    <w:rsid w:val="46001EB5"/>
    <w:rsid w:val="46017EC5"/>
    <w:rsid w:val="46162856"/>
    <w:rsid w:val="462036D5"/>
    <w:rsid w:val="46342CDD"/>
    <w:rsid w:val="46386C71"/>
    <w:rsid w:val="463E3B5B"/>
    <w:rsid w:val="46447D97"/>
    <w:rsid w:val="464C1083"/>
    <w:rsid w:val="464D2076"/>
    <w:rsid w:val="46577FD6"/>
    <w:rsid w:val="465F62BF"/>
    <w:rsid w:val="467365A9"/>
    <w:rsid w:val="46753A21"/>
    <w:rsid w:val="468C29CF"/>
    <w:rsid w:val="46996A73"/>
    <w:rsid w:val="469C39E0"/>
    <w:rsid w:val="46A55B1E"/>
    <w:rsid w:val="46A93778"/>
    <w:rsid w:val="46D1677D"/>
    <w:rsid w:val="46D70BC2"/>
    <w:rsid w:val="46D955A7"/>
    <w:rsid w:val="46E91D19"/>
    <w:rsid w:val="46ED1809"/>
    <w:rsid w:val="46F3049E"/>
    <w:rsid w:val="46F4079E"/>
    <w:rsid w:val="46F821B8"/>
    <w:rsid w:val="47040901"/>
    <w:rsid w:val="4710374A"/>
    <w:rsid w:val="47133957"/>
    <w:rsid w:val="47262F6D"/>
    <w:rsid w:val="472D26D5"/>
    <w:rsid w:val="47347391"/>
    <w:rsid w:val="47354F5E"/>
    <w:rsid w:val="473C01FF"/>
    <w:rsid w:val="474131A7"/>
    <w:rsid w:val="474B4782"/>
    <w:rsid w:val="47590C4D"/>
    <w:rsid w:val="475A7C23"/>
    <w:rsid w:val="475C75A4"/>
    <w:rsid w:val="475E2707"/>
    <w:rsid w:val="476B4739"/>
    <w:rsid w:val="47737835"/>
    <w:rsid w:val="477A0BC3"/>
    <w:rsid w:val="47841A42"/>
    <w:rsid w:val="47A07E0C"/>
    <w:rsid w:val="47A829EE"/>
    <w:rsid w:val="47BB2337"/>
    <w:rsid w:val="47BD6A22"/>
    <w:rsid w:val="47CD7852"/>
    <w:rsid w:val="47D44777"/>
    <w:rsid w:val="47DA0ACD"/>
    <w:rsid w:val="47EA5D49"/>
    <w:rsid w:val="47F22E4F"/>
    <w:rsid w:val="47F44E19"/>
    <w:rsid w:val="47F90C2D"/>
    <w:rsid w:val="47F9221B"/>
    <w:rsid w:val="47FD6D5D"/>
    <w:rsid w:val="48023C26"/>
    <w:rsid w:val="480432CD"/>
    <w:rsid w:val="48155FF3"/>
    <w:rsid w:val="481C49F5"/>
    <w:rsid w:val="48214987"/>
    <w:rsid w:val="482E20D9"/>
    <w:rsid w:val="48345216"/>
    <w:rsid w:val="48390A7E"/>
    <w:rsid w:val="483D056E"/>
    <w:rsid w:val="484713ED"/>
    <w:rsid w:val="48495129"/>
    <w:rsid w:val="485E04E5"/>
    <w:rsid w:val="486414CE"/>
    <w:rsid w:val="48667B2A"/>
    <w:rsid w:val="4870272E"/>
    <w:rsid w:val="4871646A"/>
    <w:rsid w:val="487806ED"/>
    <w:rsid w:val="48790E7B"/>
    <w:rsid w:val="48907EB9"/>
    <w:rsid w:val="489D100D"/>
    <w:rsid w:val="48A1579D"/>
    <w:rsid w:val="48A42D55"/>
    <w:rsid w:val="48A979B2"/>
    <w:rsid w:val="48C12F4D"/>
    <w:rsid w:val="48C7608A"/>
    <w:rsid w:val="48D30EE5"/>
    <w:rsid w:val="48E409EA"/>
    <w:rsid w:val="48FA645F"/>
    <w:rsid w:val="49102CF1"/>
    <w:rsid w:val="49105C83"/>
    <w:rsid w:val="491C4628"/>
    <w:rsid w:val="491D214E"/>
    <w:rsid w:val="492027A5"/>
    <w:rsid w:val="49260292"/>
    <w:rsid w:val="49285078"/>
    <w:rsid w:val="492C413F"/>
    <w:rsid w:val="492E6109"/>
    <w:rsid w:val="49357497"/>
    <w:rsid w:val="493C0826"/>
    <w:rsid w:val="493F20C4"/>
    <w:rsid w:val="49410E6F"/>
    <w:rsid w:val="49437E06"/>
    <w:rsid w:val="49492F43"/>
    <w:rsid w:val="494D62C3"/>
    <w:rsid w:val="4950607F"/>
    <w:rsid w:val="495A166F"/>
    <w:rsid w:val="495F62C2"/>
    <w:rsid w:val="497270BE"/>
    <w:rsid w:val="497F6965"/>
    <w:rsid w:val="498472FD"/>
    <w:rsid w:val="49891D5F"/>
    <w:rsid w:val="49936C90"/>
    <w:rsid w:val="49975A5C"/>
    <w:rsid w:val="499A750D"/>
    <w:rsid w:val="499E6DEB"/>
    <w:rsid w:val="49B303BC"/>
    <w:rsid w:val="49C9317F"/>
    <w:rsid w:val="49D4280C"/>
    <w:rsid w:val="49D547D7"/>
    <w:rsid w:val="49DA0653"/>
    <w:rsid w:val="49DB1DED"/>
    <w:rsid w:val="49DC7715"/>
    <w:rsid w:val="49E14F29"/>
    <w:rsid w:val="49E52C6C"/>
    <w:rsid w:val="49EC363F"/>
    <w:rsid w:val="49F25388"/>
    <w:rsid w:val="4A023139"/>
    <w:rsid w:val="4A062BE2"/>
    <w:rsid w:val="4A0A4480"/>
    <w:rsid w:val="4A0D0166"/>
    <w:rsid w:val="4A235542"/>
    <w:rsid w:val="4A273BB8"/>
    <w:rsid w:val="4A2A68D0"/>
    <w:rsid w:val="4A2A75AB"/>
    <w:rsid w:val="4A2C3CD4"/>
    <w:rsid w:val="4A2D4613"/>
    <w:rsid w:val="4A3165AB"/>
    <w:rsid w:val="4A4D0811"/>
    <w:rsid w:val="4A4D25BF"/>
    <w:rsid w:val="4A5477E6"/>
    <w:rsid w:val="4A572D17"/>
    <w:rsid w:val="4A58168F"/>
    <w:rsid w:val="4A62606A"/>
    <w:rsid w:val="4A710AA3"/>
    <w:rsid w:val="4A7B576F"/>
    <w:rsid w:val="4A7E06C0"/>
    <w:rsid w:val="4A8561FD"/>
    <w:rsid w:val="4A8D4611"/>
    <w:rsid w:val="4A8F2BD7"/>
    <w:rsid w:val="4A9B332A"/>
    <w:rsid w:val="4AB304F5"/>
    <w:rsid w:val="4AB56AE2"/>
    <w:rsid w:val="4ACC3E2B"/>
    <w:rsid w:val="4AD7277A"/>
    <w:rsid w:val="4AE47DFD"/>
    <w:rsid w:val="4AEA6060"/>
    <w:rsid w:val="4AEB2504"/>
    <w:rsid w:val="4AF561A9"/>
    <w:rsid w:val="4B0B6702"/>
    <w:rsid w:val="4B0E1D4E"/>
    <w:rsid w:val="4B103D18"/>
    <w:rsid w:val="4B4C2876"/>
    <w:rsid w:val="4B5856BF"/>
    <w:rsid w:val="4B674293"/>
    <w:rsid w:val="4B693428"/>
    <w:rsid w:val="4B6D116B"/>
    <w:rsid w:val="4B6D2E97"/>
    <w:rsid w:val="4B775281"/>
    <w:rsid w:val="4B7A3887"/>
    <w:rsid w:val="4B7E5126"/>
    <w:rsid w:val="4B8169C4"/>
    <w:rsid w:val="4B8756B2"/>
    <w:rsid w:val="4B920BD1"/>
    <w:rsid w:val="4B9A544D"/>
    <w:rsid w:val="4B9C68B8"/>
    <w:rsid w:val="4BA40904"/>
    <w:rsid w:val="4BB2621C"/>
    <w:rsid w:val="4BBA3675"/>
    <w:rsid w:val="4BC32EDC"/>
    <w:rsid w:val="4BC761A1"/>
    <w:rsid w:val="4BD415AA"/>
    <w:rsid w:val="4BD56D10"/>
    <w:rsid w:val="4BE46785"/>
    <w:rsid w:val="4BE56B11"/>
    <w:rsid w:val="4BFF36FD"/>
    <w:rsid w:val="4C177328"/>
    <w:rsid w:val="4C207F8B"/>
    <w:rsid w:val="4C341C88"/>
    <w:rsid w:val="4C3E6663"/>
    <w:rsid w:val="4C4A0649"/>
    <w:rsid w:val="4C4F4AC5"/>
    <w:rsid w:val="4C516396"/>
    <w:rsid w:val="4C52038E"/>
    <w:rsid w:val="4C576AC3"/>
    <w:rsid w:val="4C5D5DFE"/>
    <w:rsid w:val="4C5E4F57"/>
    <w:rsid w:val="4C7B0D3F"/>
    <w:rsid w:val="4C7D53DD"/>
    <w:rsid w:val="4C7E1155"/>
    <w:rsid w:val="4C7E5ECA"/>
    <w:rsid w:val="4C876AA5"/>
    <w:rsid w:val="4C8C6185"/>
    <w:rsid w:val="4C9170DB"/>
    <w:rsid w:val="4C9269AF"/>
    <w:rsid w:val="4C9501F1"/>
    <w:rsid w:val="4CA54934"/>
    <w:rsid w:val="4CAA3CF8"/>
    <w:rsid w:val="4CAC679C"/>
    <w:rsid w:val="4CCF19B1"/>
    <w:rsid w:val="4CD54770"/>
    <w:rsid w:val="4CD55219"/>
    <w:rsid w:val="4CD80866"/>
    <w:rsid w:val="4CDF0176"/>
    <w:rsid w:val="4CF4309A"/>
    <w:rsid w:val="4CF51418"/>
    <w:rsid w:val="4CF80F08"/>
    <w:rsid w:val="4D0E00FB"/>
    <w:rsid w:val="4D176606"/>
    <w:rsid w:val="4D186EB4"/>
    <w:rsid w:val="4D2676B4"/>
    <w:rsid w:val="4D2910C1"/>
    <w:rsid w:val="4D2C295F"/>
    <w:rsid w:val="4D314B3F"/>
    <w:rsid w:val="4D3A32CE"/>
    <w:rsid w:val="4D3B1ABC"/>
    <w:rsid w:val="4D3E5E49"/>
    <w:rsid w:val="4D422183"/>
    <w:rsid w:val="4D554A5F"/>
    <w:rsid w:val="4D55711F"/>
    <w:rsid w:val="4D612577"/>
    <w:rsid w:val="4D615438"/>
    <w:rsid w:val="4D7209C1"/>
    <w:rsid w:val="4D783DF7"/>
    <w:rsid w:val="4D7A191D"/>
    <w:rsid w:val="4D7F33D7"/>
    <w:rsid w:val="4D834C75"/>
    <w:rsid w:val="4D8B6D06"/>
    <w:rsid w:val="4D9C5EA4"/>
    <w:rsid w:val="4DA263D2"/>
    <w:rsid w:val="4DBC05B9"/>
    <w:rsid w:val="4DBE3EFF"/>
    <w:rsid w:val="4DD10FAB"/>
    <w:rsid w:val="4DD728CB"/>
    <w:rsid w:val="4DDD0570"/>
    <w:rsid w:val="4DE52D91"/>
    <w:rsid w:val="4DE80F7C"/>
    <w:rsid w:val="4DEC4FB0"/>
    <w:rsid w:val="4DF87EF4"/>
    <w:rsid w:val="4DFF1E22"/>
    <w:rsid w:val="4E075D8A"/>
    <w:rsid w:val="4E0E3CB6"/>
    <w:rsid w:val="4E1E04FA"/>
    <w:rsid w:val="4E22607B"/>
    <w:rsid w:val="4E296E9F"/>
    <w:rsid w:val="4E393586"/>
    <w:rsid w:val="4E435D26"/>
    <w:rsid w:val="4E4650C1"/>
    <w:rsid w:val="4E481E04"/>
    <w:rsid w:val="4E4A5793"/>
    <w:rsid w:val="4E5C54C6"/>
    <w:rsid w:val="4E5E4D9B"/>
    <w:rsid w:val="4E65437B"/>
    <w:rsid w:val="4E6D3230"/>
    <w:rsid w:val="4E6F0A6A"/>
    <w:rsid w:val="4E772300"/>
    <w:rsid w:val="4E90218C"/>
    <w:rsid w:val="4E915170"/>
    <w:rsid w:val="4E920EE8"/>
    <w:rsid w:val="4E9E5FEA"/>
    <w:rsid w:val="4EA20562"/>
    <w:rsid w:val="4EA361BE"/>
    <w:rsid w:val="4EB2452C"/>
    <w:rsid w:val="4EB32F14"/>
    <w:rsid w:val="4EB8094F"/>
    <w:rsid w:val="4EB90223"/>
    <w:rsid w:val="4EC00FAD"/>
    <w:rsid w:val="4ECD55DA"/>
    <w:rsid w:val="4ED41501"/>
    <w:rsid w:val="4EE14D9C"/>
    <w:rsid w:val="4EE704D8"/>
    <w:rsid w:val="4EEE4370"/>
    <w:rsid w:val="4EF13E61"/>
    <w:rsid w:val="4EF16274"/>
    <w:rsid w:val="4EF86F9D"/>
    <w:rsid w:val="4EF92D15"/>
    <w:rsid w:val="4F05790C"/>
    <w:rsid w:val="4F2935FA"/>
    <w:rsid w:val="4F42646A"/>
    <w:rsid w:val="4F4E3A95"/>
    <w:rsid w:val="4F512B51"/>
    <w:rsid w:val="4F6B3C13"/>
    <w:rsid w:val="4F6C34E7"/>
    <w:rsid w:val="4F8A3D9F"/>
    <w:rsid w:val="4F8F6A22"/>
    <w:rsid w:val="4F9843DC"/>
    <w:rsid w:val="4F9D0C0C"/>
    <w:rsid w:val="4FAA2A0F"/>
    <w:rsid w:val="4FB651F3"/>
    <w:rsid w:val="4FBC3B47"/>
    <w:rsid w:val="4FBE7D1A"/>
    <w:rsid w:val="4FC62A8C"/>
    <w:rsid w:val="4FCC3F86"/>
    <w:rsid w:val="4FD55530"/>
    <w:rsid w:val="4FE20F0D"/>
    <w:rsid w:val="4FE51552"/>
    <w:rsid w:val="4FE666F1"/>
    <w:rsid w:val="50067498"/>
    <w:rsid w:val="500B2D00"/>
    <w:rsid w:val="500C6796"/>
    <w:rsid w:val="50125E3D"/>
    <w:rsid w:val="5019366F"/>
    <w:rsid w:val="501E3E9C"/>
    <w:rsid w:val="50243DC2"/>
    <w:rsid w:val="502846A3"/>
    <w:rsid w:val="502A587C"/>
    <w:rsid w:val="503E1327"/>
    <w:rsid w:val="50504C4B"/>
    <w:rsid w:val="50583EA5"/>
    <w:rsid w:val="505C090C"/>
    <w:rsid w:val="505E1082"/>
    <w:rsid w:val="50632B3C"/>
    <w:rsid w:val="506F7733"/>
    <w:rsid w:val="50700DB5"/>
    <w:rsid w:val="5086130F"/>
    <w:rsid w:val="509C6E7C"/>
    <w:rsid w:val="50BE4216"/>
    <w:rsid w:val="50C51101"/>
    <w:rsid w:val="50CD4459"/>
    <w:rsid w:val="50E27F05"/>
    <w:rsid w:val="50E579F5"/>
    <w:rsid w:val="50E766D3"/>
    <w:rsid w:val="50FB0FC7"/>
    <w:rsid w:val="50FB11BA"/>
    <w:rsid w:val="510C31D4"/>
    <w:rsid w:val="510D2AA8"/>
    <w:rsid w:val="512611B8"/>
    <w:rsid w:val="512C7D0E"/>
    <w:rsid w:val="512D4760"/>
    <w:rsid w:val="512E314A"/>
    <w:rsid w:val="514C35D0"/>
    <w:rsid w:val="515E090B"/>
    <w:rsid w:val="5162104E"/>
    <w:rsid w:val="51672662"/>
    <w:rsid w:val="51694182"/>
    <w:rsid w:val="516A3A56"/>
    <w:rsid w:val="516E1E1B"/>
    <w:rsid w:val="517F5246"/>
    <w:rsid w:val="519A2F0D"/>
    <w:rsid w:val="51AD119B"/>
    <w:rsid w:val="51AE3901"/>
    <w:rsid w:val="51B315E9"/>
    <w:rsid w:val="51B57EE1"/>
    <w:rsid w:val="51BC47D8"/>
    <w:rsid w:val="51C4653B"/>
    <w:rsid w:val="51D32A1D"/>
    <w:rsid w:val="51D610EC"/>
    <w:rsid w:val="51E563EF"/>
    <w:rsid w:val="51F37EF0"/>
    <w:rsid w:val="51FF1685"/>
    <w:rsid w:val="52065E75"/>
    <w:rsid w:val="52081BED"/>
    <w:rsid w:val="520D11E2"/>
    <w:rsid w:val="5221680B"/>
    <w:rsid w:val="522462FB"/>
    <w:rsid w:val="522E42D1"/>
    <w:rsid w:val="52302EF2"/>
    <w:rsid w:val="523F3135"/>
    <w:rsid w:val="524424F9"/>
    <w:rsid w:val="524E5126"/>
    <w:rsid w:val="52610D67"/>
    <w:rsid w:val="52650DED"/>
    <w:rsid w:val="52727066"/>
    <w:rsid w:val="52732285"/>
    <w:rsid w:val="52742DDF"/>
    <w:rsid w:val="527B159C"/>
    <w:rsid w:val="527B23BF"/>
    <w:rsid w:val="528A7DA4"/>
    <w:rsid w:val="528D20F2"/>
    <w:rsid w:val="52AD25E0"/>
    <w:rsid w:val="52B14033"/>
    <w:rsid w:val="52BF4222"/>
    <w:rsid w:val="52C06024"/>
    <w:rsid w:val="52C2401E"/>
    <w:rsid w:val="52C553E8"/>
    <w:rsid w:val="52C61160"/>
    <w:rsid w:val="52C6305F"/>
    <w:rsid w:val="52E02B99"/>
    <w:rsid w:val="52EC3AC3"/>
    <w:rsid w:val="52F12681"/>
    <w:rsid w:val="52F21F55"/>
    <w:rsid w:val="52F45CCD"/>
    <w:rsid w:val="52F911AE"/>
    <w:rsid w:val="5302485D"/>
    <w:rsid w:val="5305612D"/>
    <w:rsid w:val="531719BC"/>
    <w:rsid w:val="531E71EE"/>
    <w:rsid w:val="53234805"/>
    <w:rsid w:val="5338205E"/>
    <w:rsid w:val="533B58F9"/>
    <w:rsid w:val="533F09A2"/>
    <w:rsid w:val="53446C55"/>
    <w:rsid w:val="53582700"/>
    <w:rsid w:val="53656A60"/>
    <w:rsid w:val="536C636E"/>
    <w:rsid w:val="537137C2"/>
    <w:rsid w:val="53733096"/>
    <w:rsid w:val="53760DD8"/>
    <w:rsid w:val="537856E5"/>
    <w:rsid w:val="537868FE"/>
    <w:rsid w:val="53804754"/>
    <w:rsid w:val="53852B8F"/>
    <w:rsid w:val="53A039CC"/>
    <w:rsid w:val="53A1505A"/>
    <w:rsid w:val="53A92F5C"/>
    <w:rsid w:val="53AC47FA"/>
    <w:rsid w:val="53B13FB6"/>
    <w:rsid w:val="53DA1367"/>
    <w:rsid w:val="53DD68BF"/>
    <w:rsid w:val="53E915AA"/>
    <w:rsid w:val="53FD0BB2"/>
    <w:rsid w:val="54063E08"/>
    <w:rsid w:val="54085ED4"/>
    <w:rsid w:val="541A1764"/>
    <w:rsid w:val="541F321E"/>
    <w:rsid w:val="542645AC"/>
    <w:rsid w:val="542A0974"/>
    <w:rsid w:val="54336CC9"/>
    <w:rsid w:val="543437E8"/>
    <w:rsid w:val="544418C9"/>
    <w:rsid w:val="54443D0A"/>
    <w:rsid w:val="544607AB"/>
    <w:rsid w:val="54482775"/>
    <w:rsid w:val="544D2410"/>
    <w:rsid w:val="544F3B03"/>
    <w:rsid w:val="5454111A"/>
    <w:rsid w:val="5463310B"/>
    <w:rsid w:val="546724CF"/>
    <w:rsid w:val="546B0211"/>
    <w:rsid w:val="546C3713"/>
    <w:rsid w:val="546D21DB"/>
    <w:rsid w:val="54A0435F"/>
    <w:rsid w:val="54A454D1"/>
    <w:rsid w:val="54B0031A"/>
    <w:rsid w:val="54B020C8"/>
    <w:rsid w:val="54B03E76"/>
    <w:rsid w:val="54BA4CF5"/>
    <w:rsid w:val="54C406BB"/>
    <w:rsid w:val="54CF56D2"/>
    <w:rsid w:val="54D41BFD"/>
    <w:rsid w:val="54D76BEE"/>
    <w:rsid w:val="54DE406C"/>
    <w:rsid w:val="54E0526D"/>
    <w:rsid w:val="54E12281"/>
    <w:rsid w:val="54ED6E78"/>
    <w:rsid w:val="54EE51F3"/>
    <w:rsid w:val="54F116B0"/>
    <w:rsid w:val="54F41FB5"/>
    <w:rsid w:val="54F73313"/>
    <w:rsid w:val="54F80955"/>
    <w:rsid w:val="54FC530D"/>
    <w:rsid w:val="55041442"/>
    <w:rsid w:val="551255ED"/>
    <w:rsid w:val="551E7032"/>
    <w:rsid w:val="551F04A1"/>
    <w:rsid w:val="552F4988"/>
    <w:rsid w:val="554271C4"/>
    <w:rsid w:val="554443E0"/>
    <w:rsid w:val="555170A7"/>
    <w:rsid w:val="55531E25"/>
    <w:rsid w:val="55674FA4"/>
    <w:rsid w:val="557355CF"/>
    <w:rsid w:val="55766B43"/>
    <w:rsid w:val="557C1FAA"/>
    <w:rsid w:val="5587536D"/>
    <w:rsid w:val="559B174B"/>
    <w:rsid w:val="559E0172"/>
    <w:rsid w:val="55A03EEB"/>
    <w:rsid w:val="55A3710B"/>
    <w:rsid w:val="55A82D9F"/>
    <w:rsid w:val="55AA32A4"/>
    <w:rsid w:val="55AE2AAB"/>
    <w:rsid w:val="55AF05D2"/>
    <w:rsid w:val="55B1434A"/>
    <w:rsid w:val="55BA7E9F"/>
    <w:rsid w:val="55C0534A"/>
    <w:rsid w:val="55C23E61"/>
    <w:rsid w:val="55CE0A58"/>
    <w:rsid w:val="55CE0CF4"/>
    <w:rsid w:val="55D9128F"/>
    <w:rsid w:val="55DD513F"/>
    <w:rsid w:val="55DD576B"/>
    <w:rsid w:val="55DF0EB7"/>
    <w:rsid w:val="55FB7373"/>
    <w:rsid w:val="560501F2"/>
    <w:rsid w:val="56181CBC"/>
    <w:rsid w:val="56460F02"/>
    <w:rsid w:val="564E6D54"/>
    <w:rsid w:val="566D3C07"/>
    <w:rsid w:val="566E5D97"/>
    <w:rsid w:val="568D14E7"/>
    <w:rsid w:val="56981066"/>
    <w:rsid w:val="569864A3"/>
    <w:rsid w:val="56995020"/>
    <w:rsid w:val="56A07C3F"/>
    <w:rsid w:val="56B22A9C"/>
    <w:rsid w:val="56B714EC"/>
    <w:rsid w:val="56BC6B02"/>
    <w:rsid w:val="56CE6835"/>
    <w:rsid w:val="56DC0F52"/>
    <w:rsid w:val="56E878F7"/>
    <w:rsid w:val="56F12ACC"/>
    <w:rsid w:val="570D1A54"/>
    <w:rsid w:val="570E0F11"/>
    <w:rsid w:val="570F1328"/>
    <w:rsid w:val="57131060"/>
    <w:rsid w:val="57193F55"/>
    <w:rsid w:val="571C1D42"/>
    <w:rsid w:val="57284198"/>
    <w:rsid w:val="573E6CF4"/>
    <w:rsid w:val="574134AB"/>
    <w:rsid w:val="57471324"/>
    <w:rsid w:val="57497BC3"/>
    <w:rsid w:val="574F3B38"/>
    <w:rsid w:val="57560D05"/>
    <w:rsid w:val="577B076B"/>
    <w:rsid w:val="577C44E3"/>
    <w:rsid w:val="577E1251"/>
    <w:rsid w:val="57827D4C"/>
    <w:rsid w:val="57945CD1"/>
    <w:rsid w:val="57AC287A"/>
    <w:rsid w:val="57B72A76"/>
    <w:rsid w:val="57B819BF"/>
    <w:rsid w:val="57BB500C"/>
    <w:rsid w:val="57C05802"/>
    <w:rsid w:val="57C245DE"/>
    <w:rsid w:val="57C3426C"/>
    <w:rsid w:val="57CA6C3D"/>
    <w:rsid w:val="57CE1F93"/>
    <w:rsid w:val="57D61E46"/>
    <w:rsid w:val="57EA58F1"/>
    <w:rsid w:val="57ED34CA"/>
    <w:rsid w:val="57F66044"/>
    <w:rsid w:val="57F8000E"/>
    <w:rsid w:val="57FE314A"/>
    <w:rsid w:val="580A1AEF"/>
    <w:rsid w:val="581A7F84"/>
    <w:rsid w:val="581B1F4E"/>
    <w:rsid w:val="582165A1"/>
    <w:rsid w:val="58242BB1"/>
    <w:rsid w:val="582C3C1A"/>
    <w:rsid w:val="584C587A"/>
    <w:rsid w:val="5855720E"/>
    <w:rsid w:val="585711D8"/>
    <w:rsid w:val="585729AA"/>
    <w:rsid w:val="58735883"/>
    <w:rsid w:val="587A4EC7"/>
    <w:rsid w:val="5885417B"/>
    <w:rsid w:val="58871675"/>
    <w:rsid w:val="588743D1"/>
    <w:rsid w:val="5887701A"/>
    <w:rsid w:val="58897B2A"/>
    <w:rsid w:val="588B2C30"/>
    <w:rsid w:val="58A03F94"/>
    <w:rsid w:val="58A261CC"/>
    <w:rsid w:val="58AB5080"/>
    <w:rsid w:val="58B350CE"/>
    <w:rsid w:val="58B55EFF"/>
    <w:rsid w:val="58BA11D2"/>
    <w:rsid w:val="58BB67A0"/>
    <w:rsid w:val="58BC658C"/>
    <w:rsid w:val="58ED7447"/>
    <w:rsid w:val="58F22CAF"/>
    <w:rsid w:val="58FA7241"/>
    <w:rsid w:val="58FC3B2E"/>
    <w:rsid w:val="59036C6A"/>
    <w:rsid w:val="590D1897"/>
    <w:rsid w:val="59154BEF"/>
    <w:rsid w:val="591E3AA4"/>
    <w:rsid w:val="5927612C"/>
    <w:rsid w:val="59276802"/>
    <w:rsid w:val="59301E5D"/>
    <w:rsid w:val="59352B9C"/>
    <w:rsid w:val="59376914"/>
    <w:rsid w:val="593C29E1"/>
    <w:rsid w:val="595E0345"/>
    <w:rsid w:val="596040BD"/>
    <w:rsid w:val="59653481"/>
    <w:rsid w:val="596671F9"/>
    <w:rsid w:val="5981018A"/>
    <w:rsid w:val="59861649"/>
    <w:rsid w:val="598D4786"/>
    <w:rsid w:val="598F49A2"/>
    <w:rsid w:val="59995821"/>
    <w:rsid w:val="599E293F"/>
    <w:rsid w:val="59AD4808"/>
    <w:rsid w:val="59AF64A1"/>
    <w:rsid w:val="59B14DD1"/>
    <w:rsid w:val="59C0439F"/>
    <w:rsid w:val="59D145A3"/>
    <w:rsid w:val="59D40607"/>
    <w:rsid w:val="59E44DC2"/>
    <w:rsid w:val="59E46F2F"/>
    <w:rsid w:val="59EA607C"/>
    <w:rsid w:val="59EC3BA2"/>
    <w:rsid w:val="5A0013FC"/>
    <w:rsid w:val="5A02695A"/>
    <w:rsid w:val="5A037476"/>
    <w:rsid w:val="5A0E1D6B"/>
    <w:rsid w:val="5A0F2BFE"/>
    <w:rsid w:val="5A1804F3"/>
    <w:rsid w:val="5A1E5753"/>
    <w:rsid w:val="5A212108"/>
    <w:rsid w:val="5A250E62"/>
    <w:rsid w:val="5A404403"/>
    <w:rsid w:val="5A484E3A"/>
    <w:rsid w:val="5A4B6B1B"/>
    <w:rsid w:val="5A4F7C8D"/>
    <w:rsid w:val="5A596C40"/>
    <w:rsid w:val="5A7140A7"/>
    <w:rsid w:val="5A74255F"/>
    <w:rsid w:val="5A7D0C9E"/>
    <w:rsid w:val="5A860620"/>
    <w:rsid w:val="5A8839D9"/>
    <w:rsid w:val="5A957D96"/>
    <w:rsid w:val="5AA44A38"/>
    <w:rsid w:val="5AA91A93"/>
    <w:rsid w:val="5AAE70AA"/>
    <w:rsid w:val="5AB26B9A"/>
    <w:rsid w:val="5AB80FEF"/>
    <w:rsid w:val="5AB83A84"/>
    <w:rsid w:val="5ABE2233"/>
    <w:rsid w:val="5ABF3065"/>
    <w:rsid w:val="5AC20B9A"/>
    <w:rsid w:val="5AD97B91"/>
    <w:rsid w:val="5ADA7E9F"/>
    <w:rsid w:val="5AE76118"/>
    <w:rsid w:val="5AE8436A"/>
    <w:rsid w:val="5AEC54B7"/>
    <w:rsid w:val="5AF078D1"/>
    <w:rsid w:val="5B023912"/>
    <w:rsid w:val="5B0824F2"/>
    <w:rsid w:val="5B084A0C"/>
    <w:rsid w:val="5B092532"/>
    <w:rsid w:val="5B0B0058"/>
    <w:rsid w:val="5B122002"/>
    <w:rsid w:val="5B1433B1"/>
    <w:rsid w:val="5B2B4256"/>
    <w:rsid w:val="5B2F01EA"/>
    <w:rsid w:val="5B305D11"/>
    <w:rsid w:val="5B3E6680"/>
    <w:rsid w:val="5B442C01"/>
    <w:rsid w:val="5B490290"/>
    <w:rsid w:val="5B547C51"/>
    <w:rsid w:val="5B5D1E77"/>
    <w:rsid w:val="5B5E462C"/>
    <w:rsid w:val="5B6D0D13"/>
    <w:rsid w:val="5B800A46"/>
    <w:rsid w:val="5B8305C0"/>
    <w:rsid w:val="5B835E40"/>
    <w:rsid w:val="5B8D6CBF"/>
    <w:rsid w:val="5B9067AF"/>
    <w:rsid w:val="5B977B3E"/>
    <w:rsid w:val="5B9B762E"/>
    <w:rsid w:val="5BAA161F"/>
    <w:rsid w:val="5BB16E51"/>
    <w:rsid w:val="5BB57FC4"/>
    <w:rsid w:val="5BB66216"/>
    <w:rsid w:val="5BB75BFE"/>
    <w:rsid w:val="5BBA2F60"/>
    <w:rsid w:val="5BC07095"/>
    <w:rsid w:val="5BC36B85"/>
    <w:rsid w:val="5BC724FF"/>
    <w:rsid w:val="5BCA3A6F"/>
    <w:rsid w:val="5BCF72D8"/>
    <w:rsid w:val="5BD3501A"/>
    <w:rsid w:val="5BD72387"/>
    <w:rsid w:val="5BDF5D95"/>
    <w:rsid w:val="5BE014E5"/>
    <w:rsid w:val="5BFE7528"/>
    <w:rsid w:val="5C0F19B6"/>
    <w:rsid w:val="5C14580B"/>
    <w:rsid w:val="5C3073F7"/>
    <w:rsid w:val="5C321615"/>
    <w:rsid w:val="5C337866"/>
    <w:rsid w:val="5C384E7D"/>
    <w:rsid w:val="5C4772E1"/>
    <w:rsid w:val="5C533A65"/>
    <w:rsid w:val="5C572BAD"/>
    <w:rsid w:val="5C5B262F"/>
    <w:rsid w:val="5C5F065B"/>
    <w:rsid w:val="5C602D32"/>
    <w:rsid w:val="5C622F18"/>
    <w:rsid w:val="5C657C3C"/>
    <w:rsid w:val="5C672AA9"/>
    <w:rsid w:val="5C6C2D78"/>
    <w:rsid w:val="5C6F0E66"/>
    <w:rsid w:val="5C7165E1"/>
    <w:rsid w:val="5C936557"/>
    <w:rsid w:val="5CB77601"/>
    <w:rsid w:val="5CB84210"/>
    <w:rsid w:val="5CB9533F"/>
    <w:rsid w:val="5CC06FCC"/>
    <w:rsid w:val="5CC42454"/>
    <w:rsid w:val="5CC52489"/>
    <w:rsid w:val="5CCB3F43"/>
    <w:rsid w:val="5CDE61E5"/>
    <w:rsid w:val="5CF3349A"/>
    <w:rsid w:val="5CF91064"/>
    <w:rsid w:val="5D086F45"/>
    <w:rsid w:val="5D0E5BDE"/>
    <w:rsid w:val="5D133C1C"/>
    <w:rsid w:val="5D212CED"/>
    <w:rsid w:val="5D26561D"/>
    <w:rsid w:val="5D270CED"/>
    <w:rsid w:val="5D2B4EC5"/>
    <w:rsid w:val="5D3E30FC"/>
    <w:rsid w:val="5D442091"/>
    <w:rsid w:val="5D59154F"/>
    <w:rsid w:val="5D633BC6"/>
    <w:rsid w:val="5D63417B"/>
    <w:rsid w:val="5D704D3A"/>
    <w:rsid w:val="5D775E79"/>
    <w:rsid w:val="5D791175"/>
    <w:rsid w:val="5D814602"/>
    <w:rsid w:val="5D824951"/>
    <w:rsid w:val="5D95403F"/>
    <w:rsid w:val="5D9E6F62"/>
    <w:rsid w:val="5DA16A52"/>
    <w:rsid w:val="5DA402F0"/>
    <w:rsid w:val="5DA70AA8"/>
    <w:rsid w:val="5DB04EE7"/>
    <w:rsid w:val="5DB70023"/>
    <w:rsid w:val="5DC173BE"/>
    <w:rsid w:val="5DCD5A99"/>
    <w:rsid w:val="5DCF3781"/>
    <w:rsid w:val="5DDB6F0D"/>
    <w:rsid w:val="5DE231F1"/>
    <w:rsid w:val="5DEF1EB3"/>
    <w:rsid w:val="5DFB4112"/>
    <w:rsid w:val="5E001ACF"/>
    <w:rsid w:val="5E025E27"/>
    <w:rsid w:val="5E0707FA"/>
    <w:rsid w:val="5E187F65"/>
    <w:rsid w:val="5E245339"/>
    <w:rsid w:val="5E2467F1"/>
    <w:rsid w:val="5E2733FB"/>
    <w:rsid w:val="5E2A71A4"/>
    <w:rsid w:val="5E2C0A11"/>
    <w:rsid w:val="5E2E2006"/>
    <w:rsid w:val="5E362FD6"/>
    <w:rsid w:val="5E59543C"/>
    <w:rsid w:val="5E5A6463"/>
    <w:rsid w:val="5E6232F8"/>
    <w:rsid w:val="5E6301AB"/>
    <w:rsid w:val="5E8343A9"/>
    <w:rsid w:val="5E84084D"/>
    <w:rsid w:val="5E8929B6"/>
    <w:rsid w:val="5E930A90"/>
    <w:rsid w:val="5E9F11E3"/>
    <w:rsid w:val="5EC46E9C"/>
    <w:rsid w:val="5ECA1FD8"/>
    <w:rsid w:val="5ED56ACA"/>
    <w:rsid w:val="5ED574D6"/>
    <w:rsid w:val="5EE035AA"/>
    <w:rsid w:val="5EE9391C"/>
    <w:rsid w:val="5EEE5CC7"/>
    <w:rsid w:val="5EF13A09"/>
    <w:rsid w:val="5EF744D4"/>
    <w:rsid w:val="5F033CE8"/>
    <w:rsid w:val="5F077B52"/>
    <w:rsid w:val="5F093172"/>
    <w:rsid w:val="5F1A2B43"/>
    <w:rsid w:val="5F230066"/>
    <w:rsid w:val="5F28567D"/>
    <w:rsid w:val="5F2E2567"/>
    <w:rsid w:val="5F311DA2"/>
    <w:rsid w:val="5F3209BE"/>
    <w:rsid w:val="5F4A106A"/>
    <w:rsid w:val="5F4D7815"/>
    <w:rsid w:val="5F553F98"/>
    <w:rsid w:val="5F5D4BFA"/>
    <w:rsid w:val="5F6366B5"/>
    <w:rsid w:val="5F675C28"/>
    <w:rsid w:val="5F6A2159"/>
    <w:rsid w:val="5F6E6E08"/>
    <w:rsid w:val="5F8140D8"/>
    <w:rsid w:val="5F8D54E0"/>
    <w:rsid w:val="5F967F6F"/>
    <w:rsid w:val="5FAA6092"/>
    <w:rsid w:val="5FB00D41"/>
    <w:rsid w:val="5FB2591A"/>
    <w:rsid w:val="5FB837BB"/>
    <w:rsid w:val="5FCD7FD2"/>
    <w:rsid w:val="5FD0361E"/>
    <w:rsid w:val="5FD70E51"/>
    <w:rsid w:val="5FDC1FC3"/>
    <w:rsid w:val="5FDE21DF"/>
    <w:rsid w:val="60002155"/>
    <w:rsid w:val="600F2399"/>
    <w:rsid w:val="6028345A"/>
    <w:rsid w:val="603506D3"/>
    <w:rsid w:val="603E4A2C"/>
    <w:rsid w:val="604162CA"/>
    <w:rsid w:val="604E74D0"/>
    <w:rsid w:val="604F4E8B"/>
    <w:rsid w:val="6051650D"/>
    <w:rsid w:val="605F444D"/>
    <w:rsid w:val="6067628D"/>
    <w:rsid w:val="60713AF5"/>
    <w:rsid w:val="607A78F5"/>
    <w:rsid w:val="607D37A6"/>
    <w:rsid w:val="60934D78"/>
    <w:rsid w:val="60A55517"/>
    <w:rsid w:val="60AC4F3E"/>
    <w:rsid w:val="60AD6246"/>
    <w:rsid w:val="60AE1BB1"/>
    <w:rsid w:val="60B116A2"/>
    <w:rsid w:val="60B46A9C"/>
    <w:rsid w:val="60BA25A8"/>
    <w:rsid w:val="60C767CF"/>
    <w:rsid w:val="60CB49D9"/>
    <w:rsid w:val="60CC405A"/>
    <w:rsid w:val="60D4713E"/>
    <w:rsid w:val="60DD5FF3"/>
    <w:rsid w:val="60DF4172"/>
    <w:rsid w:val="60DF7FBD"/>
    <w:rsid w:val="60E6759D"/>
    <w:rsid w:val="60EC6236"/>
    <w:rsid w:val="60EE0200"/>
    <w:rsid w:val="60EE20F3"/>
    <w:rsid w:val="61025A59"/>
    <w:rsid w:val="611369A5"/>
    <w:rsid w:val="611875A6"/>
    <w:rsid w:val="611B6B1B"/>
    <w:rsid w:val="611D1C60"/>
    <w:rsid w:val="611E6561"/>
    <w:rsid w:val="61232F88"/>
    <w:rsid w:val="61330309"/>
    <w:rsid w:val="61353234"/>
    <w:rsid w:val="61461DEA"/>
    <w:rsid w:val="614B11AE"/>
    <w:rsid w:val="614B7400"/>
    <w:rsid w:val="614C27B6"/>
    <w:rsid w:val="615A4DAA"/>
    <w:rsid w:val="616E30EF"/>
    <w:rsid w:val="61880654"/>
    <w:rsid w:val="618A66A4"/>
    <w:rsid w:val="618F0F26"/>
    <w:rsid w:val="618F19E3"/>
    <w:rsid w:val="61931D05"/>
    <w:rsid w:val="61B108BB"/>
    <w:rsid w:val="61B74A96"/>
    <w:rsid w:val="61BA4586"/>
    <w:rsid w:val="61C3343B"/>
    <w:rsid w:val="61C65C3A"/>
    <w:rsid w:val="61E215D8"/>
    <w:rsid w:val="61E47756"/>
    <w:rsid w:val="61EB0BE3"/>
    <w:rsid w:val="61EB6143"/>
    <w:rsid w:val="62015D11"/>
    <w:rsid w:val="6208709F"/>
    <w:rsid w:val="621B3775"/>
    <w:rsid w:val="62283DAA"/>
    <w:rsid w:val="62291045"/>
    <w:rsid w:val="622F287E"/>
    <w:rsid w:val="62364782"/>
    <w:rsid w:val="624502F4"/>
    <w:rsid w:val="624B3430"/>
    <w:rsid w:val="625049E6"/>
    <w:rsid w:val="62614A02"/>
    <w:rsid w:val="626A5E21"/>
    <w:rsid w:val="628A3F58"/>
    <w:rsid w:val="628E1C9B"/>
    <w:rsid w:val="629B6165"/>
    <w:rsid w:val="62B24A68"/>
    <w:rsid w:val="62BE03ED"/>
    <w:rsid w:val="62BF00A6"/>
    <w:rsid w:val="62C57C67"/>
    <w:rsid w:val="62E01E19"/>
    <w:rsid w:val="62EE44E7"/>
    <w:rsid w:val="62F65CC1"/>
    <w:rsid w:val="63092E9C"/>
    <w:rsid w:val="631877B6"/>
    <w:rsid w:val="631A52DC"/>
    <w:rsid w:val="631E22EF"/>
    <w:rsid w:val="63220635"/>
    <w:rsid w:val="63273E9D"/>
    <w:rsid w:val="633864DE"/>
    <w:rsid w:val="633F4D43"/>
    <w:rsid w:val="6353259C"/>
    <w:rsid w:val="63544DA0"/>
    <w:rsid w:val="635C18D3"/>
    <w:rsid w:val="63631B1E"/>
    <w:rsid w:val="63682FEE"/>
    <w:rsid w:val="637A221F"/>
    <w:rsid w:val="637D3ABD"/>
    <w:rsid w:val="638B5A3F"/>
    <w:rsid w:val="638C0197"/>
    <w:rsid w:val="638E1826"/>
    <w:rsid w:val="6394356A"/>
    <w:rsid w:val="6396263A"/>
    <w:rsid w:val="639B1F33"/>
    <w:rsid w:val="639D1DD4"/>
    <w:rsid w:val="63A728E8"/>
    <w:rsid w:val="63B869CC"/>
    <w:rsid w:val="63BA255B"/>
    <w:rsid w:val="63C22DFB"/>
    <w:rsid w:val="63C61B2C"/>
    <w:rsid w:val="63D07143"/>
    <w:rsid w:val="63D40BE9"/>
    <w:rsid w:val="63DC07E4"/>
    <w:rsid w:val="63E8362C"/>
    <w:rsid w:val="63F73EC8"/>
    <w:rsid w:val="64074BCA"/>
    <w:rsid w:val="640863DE"/>
    <w:rsid w:val="640F0F52"/>
    <w:rsid w:val="64102431"/>
    <w:rsid w:val="641F5987"/>
    <w:rsid w:val="642A3C97"/>
    <w:rsid w:val="64306D81"/>
    <w:rsid w:val="6435382B"/>
    <w:rsid w:val="64460353"/>
    <w:rsid w:val="644F13EC"/>
    <w:rsid w:val="64540CC2"/>
    <w:rsid w:val="645721EA"/>
    <w:rsid w:val="64574E46"/>
    <w:rsid w:val="645C7B76"/>
    <w:rsid w:val="646031C3"/>
    <w:rsid w:val="64626E94"/>
    <w:rsid w:val="64632CB3"/>
    <w:rsid w:val="64721148"/>
    <w:rsid w:val="64723DDE"/>
    <w:rsid w:val="647B7FFD"/>
    <w:rsid w:val="64852C29"/>
    <w:rsid w:val="64923CF6"/>
    <w:rsid w:val="6497295D"/>
    <w:rsid w:val="64A5243A"/>
    <w:rsid w:val="64A93F32"/>
    <w:rsid w:val="64AD3F2E"/>
    <w:rsid w:val="64C03C61"/>
    <w:rsid w:val="64C9520C"/>
    <w:rsid w:val="64D240D6"/>
    <w:rsid w:val="64D43BB1"/>
    <w:rsid w:val="64D911C7"/>
    <w:rsid w:val="64DF660A"/>
    <w:rsid w:val="64E33DF4"/>
    <w:rsid w:val="64E4239C"/>
    <w:rsid w:val="64E5191A"/>
    <w:rsid w:val="64F46001"/>
    <w:rsid w:val="64F531DE"/>
    <w:rsid w:val="64F76AC9"/>
    <w:rsid w:val="650D73D1"/>
    <w:rsid w:val="65373578"/>
    <w:rsid w:val="653A496E"/>
    <w:rsid w:val="65576408"/>
    <w:rsid w:val="65644F35"/>
    <w:rsid w:val="656A6D0C"/>
    <w:rsid w:val="657A6506"/>
    <w:rsid w:val="657F1D6E"/>
    <w:rsid w:val="657F77F3"/>
    <w:rsid w:val="658F73C8"/>
    <w:rsid w:val="659375C8"/>
    <w:rsid w:val="65950532"/>
    <w:rsid w:val="65965BB0"/>
    <w:rsid w:val="65A2780B"/>
    <w:rsid w:val="65A43583"/>
    <w:rsid w:val="65A70B06"/>
    <w:rsid w:val="65AD6040"/>
    <w:rsid w:val="65AE4402"/>
    <w:rsid w:val="65B80DDC"/>
    <w:rsid w:val="65BF660F"/>
    <w:rsid w:val="65C23A09"/>
    <w:rsid w:val="65C32374"/>
    <w:rsid w:val="65C77BFA"/>
    <w:rsid w:val="65DD1202"/>
    <w:rsid w:val="65E971E8"/>
    <w:rsid w:val="660014C1"/>
    <w:rsid w:val="660031FE"/>
    <w:rsid w:val="6615622F"/>
    <w:rsid w:val="66173D55"/>
    <w:rsid w:val="66187ACD"/>
    <w:rsid w:val="66195D1F"/>
    <w:rsid w:val="66271AA6"/>
    <w:rsid w:val="662A1A05"/>
    <w:rsid w:val="662C39C8"/>
    <w:rsid w:val="66344907"/>
    <w:rsid w:val="663D12E2"/>
    <w:rsid w:val="664408C2"/>
    <w:rsid w:val="66544C43"/>
    <w:rsid w:val="66546D57"/>
    <w:rsid w:val="66576847"/>
    <w:rsid w:val="665E3732"/>
    <w:rsid w:val="66683F09"/>
    <w:rsid w:val="66862210"/>
    <w:rsid w:val="668669E2"/>
    <w:rsid w:val="66963EAA"/>
    <w:rsid w:val="66AC7169"/>
    <w:rsid w:val="66AF1795"/>
    <w:rsid w:val="66B15F58"/>
    <w:rsid w:val="66C043ED"/>
    <w:rsid w:val="66C2629C"/>
    <w:rsid w:val="66C67529"/>
    <w:rsid w:val="66D24120"/>
    <w:rsid w:val="66D47E98"/>
    <w:rsid w:val="66D93700"/>
    <w:rsid w:val="66DD41EE"/>
    <w:rsid w:val="66E53E53"/>
    <w:rsid w:val="66F45E44"/>
    <w:rsid w:val="671022B5"/>
    <w:rsid w:val="671F124A"/>
    <w:rsid w:val="6739251B"/>
    <w:rsid w:val="67627252"/>
    <w:rsid w:val="676320CC"/>
    <w:rsid w:val="67750BD7"/>
    <w:rsid w:val="67770271"/>
    <w:rsid w:val="6779459B"/>
    <w:rsid w:val="677A33C6"/>
    <w:rsid w:val="678207F7"/>
    <w:rsid w:val="67937B66"/>
    <w:rsid w:val="679F1744"/>
    <w:rsid w:val="67A93907"/>
    <w:rsid w:val="67AB6120"/>
    <w:rsid w:val="67C65474"/>
    <w:rsid w:val="67C95523"/>
    <w:rsid w:val="67D068B1"/>
    <w:rsid w:val="67DD1EAC"/>
    <w:rsid w:val="67E934CF"/>
    <w:rsid w:val="67EA4979"/>
    <w:rsid w:val="67ED7463"/>
    <w:rsid w:val="681538FC"/>
    <w:rsid w:val="68190258"/>
    <w:rsid w:val="681D761D"/>
    <w:rsid w:val="681E1F4C"/>
    <w:rsid w:val="681F6961"/>
    <w:rsid w:val="68224C33"/>
    <w:rsid w:val="68364600"/>
    <w:rsid w:val="684921C0"/>
    <w:rsid w:val="685079F2"/>
    <w:rsid w:val="6851091E"/>
    <w:rsid w:val="68572B2F"/>
    <w:rsid w:val="68580655"/>
    <w:rsid w:val="68594AF9"/>
    <w:rsid w:val="685A617B"/>
    <w:rsid w:val="685A68D2"/>
    <w:rsid w:val="68610A2F"/>
    <w:rsid w:val="68694610"/>
    <w:rsid w:val="686B0388"/>
    <w:rsid w:val="68805514"/>
    <w:rsid w:val="688B27D8"/>
    <w:rsid w:val="688D47A2"/>
    <w:rsid w:val="689B6EBF"/>
    <w:rsid w:val="68A65864"/>
    <w:rsid w:val="68AD274F"/>
    <w:rsid w:val="68AF296B"/>
    <w:rsid w:val="68AF4719"/>
    <w:rsid w:val="68BC0BE4"/>
    <w:rsid w:val="68C654A3"/>
    <w:rsid w:val="68D04988"/>
    <w:rsid w:val="68D37C3F"/>
    <w:rsid w:val="68E56022"/>
    <w:rsid w:val="690070AC"/>
    <w:rsid w:val="691E53FA"/>
    <w:rsid w:val="69214A14"/>
    <w:rsid w:val="69217673"/>
    <w:rsid w:val="692D75A7"/>
    <w:rsid w:val="692E172D"/>
    <w:rsid w:val="69310EA3"/>
    <w:rsid w:val="69316E2F"/>
    <w:rsid w:val="693F6CC7"/>
    <w:rsid w:val="694035C3"/>
    <w:rsid w:val="694E2071"/>
    <w:rsid w:val="69545011"/>
    <w:rsid w:val="6954706E"/>
    <w:rsid w:val="695A0B28"/>
    <w:rsid w:val="695D5F23"/>
    <w:rsid w:val="69605A13"/>
    <w:rsid w:val="69741D3B"/>
    <w:rsid w:val="69750D65"/>
    <w:rsid w:val="697620F3"/>
    <w:rsid w:val="69766163"/>
    <w:rsid w:val="697A3B33"/>
    <w:rsid w:val="69894F6A"/>
    <w:rsid w:val="698E6A48"/>
    <w:rsid w:val="699D510B"/>
    <w:rsid w:val="69A578CA"/>
    <w:rsid w:val="69B443B5"/>
    <w:rsid w:val="69B61286"/>
    <w:rsid w:val="69B73F18"/>
    <w:rsid w:val="69C04704"/>
    <w:rsid w:val="69C77840"/>
    <w:rsid w:val="69D44760"/>
    <w:rsid w:val="69D87C9F"/>
    <w:rsid w:val="69EB2192"/>
    <w:rsid w:val="69F94CDA"/>
    <w:rsid w:val="6A0740E0"/>
    <w:rsid w:val="6A0C1553"/>
    <w:rsid w:val="6A1F0D5E"/>
    <w:rsid w:val="6A2353BE"/>
    <w:rsid w:val="6A276531"/>
    <w:rsid w:val="6A2E5B11"/>
    <w:rsid w:val="6A3B0848"/>
    <w:rsid w:val="6A4349CC"/>
    <w:rsid w:val="6A520EC7"/>
    <w:rsid w:val="6A570BC4"/>
    <w:rsid w:val="6A5D1F52"/>
    <w:rsid w:val="6A621CC4"/>
    <w:rsid w:val="6A6C054F"/>
    <w:rsid w:val="6A6E5F0E"/>
    <w:rsid w:val="6A745C1A"/>
    <w:rsid w:val="6A8D2838"/>
    <w:rsid w:val="6A9317B1"/>
    <w:rsid w:val="6A980D74"/>
    <w:rsid w:val="6AA656A7"/>
    <w:rsid w:val="6AA81420"/>
    <w:rsid w:val="6AB204F0"/>
    <w:rsid w:val="6ACD0E86"/>
    <w:rsid w:val="6AD20B92"/>
    <w:rsid w:val="6AD21001"/>
    <w:rsid w:val="6AD2649C"/>
    <w:rsid w:val="6AD61D87"/>
    <w:rsid w:val="6ADB75C4"/>
    <w:rsid w:val="6ADC37BF"/>
    <w:rsid w:val="6ADC798F"/>
    <w:rsid w:val="6AE24396"/>
    <w:rsid w:val="6AE630E5"/>
    <w:rsid w:val="6AF01018"/>
    <w:rsid w:val="6AF44007"/>
    <w:rsid w:val="6AF63D4F"/>
    <w:rsid w:val="6AF87E20"/>
    <w:rsid w:val="6B00125C"/>
    <w:rsid w:val="6B113469"/>
    <w:rsid w:val="6B1765A5"/>
    <w:rsid w:val="6B19056F"/>
    <w:rsid w:val="6B1A577F"/>
    <w:rsid w:val="6B264A3A"/>
    <w:rsid w:val="6B2A606B"/>
    <w:rsid w:val="6B322639"/>
    <w:rsid w:val="6B347157"/>
    <w:rsid w:val="6B363FF1"/>
    <w:rsid w:val="6B481F0D"/>
    <w:rsid w:val="6B773EDA"/>
    <w:rsid w:val="6B7C16E9"/>
    <w:rsid w:val="6B872A5B"/>
    <w:rsid w:val="6B881251"/>
    <w:rsid w:val="6B90226A"/>
    <w:rsid w:val="6B9419A4"/>
    <w:rsid w:val="6B953331"/>
    <w:rsid w:val="6B9B2D32"/>
    <w:rsid w:val="6BA27886"/>
    <w:rsid w:val="6BAD1411"/>
    <w:rsid w:val="6BC24763"/>
    <w:rsid w:val="6BCE4EB6"/>
    <w:rsid w:val="6BD05F87"/>
    <w:rsid w:val="6BDB5825"/>
    <w:rsid w:val="6BE16873"/>
    <w:rsid w:val="6BE6506C"/>
    <w:rsid w:val="6BEA49C3"/>
    <w:rsid w:val="6BF6440D"/>
    <w:rsid w:val="6C021E4C"/>
    <w:rsid w:val="6C1B3E73"/>
    <w:rsid w:val="6C3917ED"/>
    <w:rsid w:val="6C3B7B4C"/>
    <w:rsid w:val="6C3C4515"/>
    <w:rsid w:val="6C420F8A"/>
    <w:rsid w:val="6C491858"/>
    <w:rsid w:val="6C540621"/>
    <w:rsid w:val="6C5F0204"/>
    <w:rsid w:val="6C636C38"/>
    <w:rsid w:val="6C676378"/>
    <w:rsid w:val="6C691082"/>
    <w:rsid w:val="6C692E30"/>
    <w:rsid w:val="6C89702F"/>
    <w:rsid w:val="6C8D0928"/>
    <w:rsid w:val="6C921EE7"/>
    <w:rsid w:val="6C983716"/>
    <w:rsid w:val="6C9E6F7E"/>
    <w:rsid w:val="6CA91A8B"/>
    <w:rsid w:val="6CB06CB1"/>
    <w:rsid w:val="6CB211BE"/>
    <w:rsid w:val="6CC83FFB"/>
    <w:rsid w:val="6CD209D6"/>
    <w:rsid w:val="6CE025C3"/>
    <w:rsid w:val="6CE34987"/>
    <w:rsid w:val="6CE94E1E"/>
    <w:rsid w:val="6CF74DBD"/>
    <w:rsid w:val="6CF97394"/>
    <w:rsid w:val="6CFC3B75"/>
    <w:rsid w:val="6D0637A8"/>
    <w:rsid w:val="6D1B386D"/>
    <w:rsid w:val="6D1C4347"/>
    <w:rsid w:val="6D274113"/>
    <w:rsid w:val="6D2A6A64"/>
    <w:rsid w:val="6D3A3D6E"/>
    <w:rsid w:val="6D455D5A"/>
    <w:rsid w:val="6D4D4500"/>
    <w:rsid w:val="6D5E2A0E"/>
    <w:rsid w:val="6D610E81"/>
    <w:rsid w:val="6D627DAD"/>
    <w:rsid w:val="6D696248"/>
    <w:rsid w:val="6D6B6E29"/>
    <w:rsid w:val="6D6F3A7D"/>
    <w:rsid w:val="6D713BA4"/>
    <w:rsid w:val="6D745F31"/>
    <w:rsid w:val="6D7B72BF"/>
    <w:rsid w:val="6D8445D4"/>
    <w:rsid w:val="6D85305B"/>
    <w:rsid w:val="6D8A7447"/>
    <w:rsid w:val="6D8F0BA1"/>
    <w:rsid w:val="6D9E6B0A"/>
    <w:rsid w:val="6DA02882"/>
    <w:rsid w:val="6DB34098"/>
    <w:rsid w:val="6DB545B6"/>
    <w:rsid w:val="6DB7784C"/>
    <w:rsid w:val="6DB86735"/>
    <w:rsid w:val="6DB95BFE"/>
    <w:rsid w:val="6DD864C0"/>
    <w:rsid w:val="6DDB7D59"/>
    <w:rsid w:val="6DE02FB4"/>
    <w:rsid w:val="6DE15781"/>
    <w:rsid w:val="6DF0302E"/>
    <w:rsid w:val="6DFC0468"/>
    <w:rsid w:val="6E0972F0"/>
    <w:rsid w:val="6E14501E"/>
    <w:rsid w:val="6E1C2FD8"/>
    <w:rsid w:val="6E39060C"/>
    <w:rsid w:val="6E3D732E"/>
    <w:rsid w:val="6E42309E"/>
    <w:rsid w:val="6E514CED"/>
    <w:rsid w:val="6E562B83"/>
    <w:rsid w:val="6E565636"/>
    <w:rsid w:val="6E677844"/>
    <w:rsid w:val="6E6B2E90"/>
    <w:rsid w:val="6E7206C2"/>
    <w:rsid w:val="6E843F52"/>
    <w:rsid w:val="6E8D2C58"/>
    <w:rsid w:val="6EA1250E"/>
    <w:rsid w:val="6EA2373C"/>
    <w:rsid w:val="6EB10C80"/>
    <w:rsid w:val="6EB1286D"/>
    <w:rsid w:val="6EB563D5"/>
    <w:rsid w:val="6EB81E4D"/>
    <w:rsid w:val="6EBC251D"/>
    <w:rsid w:val="6ECB66D8"/>
    <w:rsid w:val="6ECE1671"/>
    <w:rsid w:val="6ED22F0F"/>
    <w:rsid w:val="6ED92677"/>
    <w:rsid w:val="6EDF1132"/>
    <w:rsid w:val="6EE64CF3"/>
    <w:rsid w:val="6EF47329"/>
    <w:rsid w:val="6EF94E05"/>
    <w:rsid w:val="6EF959A9"/>
    <w:rsid w:val="6EFE2DFA"/>
    <w:rsid w:val="6EFF5CCE"/>
    <w:rsid w:val="6F042205"/>
    <w:rsid w:val="6F090E86"/>
    <w:rsid w:val="6F225983"/>
    <w:rsid w:val="6F261174"/>
    <w:rsid w:val="6F2B0871"/>
    <w:rsid w:val="6F385CDC"/>
    <w:rsid w:val="6F3B6D06"/>
    <w:rsid w:val="6F3C2A7E"/>
    <w:rsid w:val="6F4635F7"/>
    <w:rsid w:val="6F484F7F"/>
    <w:rsid w:val="6F5B6567"/>
    <w:rsid w:val="6F60051B"/>
    <w:rsid w:val="6F65158B"/>
    <w:rsid w:val="6F6A0B6A"/>
    <w:rsid w:val="6F6C3363"/>
    <w:rsid w:val="6F6E158E"/>
    <w:rsid w:val="6F72024E"/>
    <w:rsid w:val="6F8D6E36"/>
    <w:rsid w:val="6F9603E0"/>
    <w:rsid w:val="6F981626"/>
    <w:rsid w:val="6F99661B"/>
    <w:rsid w:val="6FA50565"/>
    <w:rsid w:val="6FAD1286"/>
    <w:rsid w:val="6FB10D76"/>
    <w:rsid w:val="6FB2689C"/>
    <w:rsid w:val="6FC47D02"/>
    <w:rsid w:val="6FCD36D6"/>
    <w:rsid w:val="6FD57E69"/>
    <w:rsid w:val="6FDC5C11"/>
    <w:rsid w:val="6FE54EC4"/>
    <w:rsid w:val="6FFA2FF7"/>
    <w:rsid w:val="6FFB46E7"/>
    <w:rsid w:val="6FFC5590"/>
    <w:rsid w:val="70052FBB"/>
    <w:rsid w:val="701632CF"/>
    <w:rsid w:val="70217844"/>
    <w:rsid w:val="702552C0"/>
    <w:rsid w:val="702A6D7B"/>
    <w:rsid w:val="70453BB5"/>
    <w:rsid w:val="7047792D"/>
    <w:rsid w:val="70497201"/>
    <w:rsid w:val="704E4817"/>
    <w:rsid w:val="70626515"/>
    <w:rsid w:val="706D1DD0"/>
    <w:rsid w:val="706F63D1"/>
    <w:rsid w:val="707A1AB0"/>
    <w:rsid w:val="707A385E"/>
    <w:rsid w:val="70856B87"/>
    <w:rsid w:val="7086485C"/>
    <w:rsid w:val="70891CF3"/>
    <w:rsid w:val="708C17E3"/>
    <w:rsid w:val="70903082"/>
    <w:rsid w:val="70972532"/>
    <w:rsid w:val="709B249D"/>
    <w:rsid w:val="70A27315"/>
    <w:rsid w:val="70C70543"/>
    <w:rsid w:val="70C96594"/>
    <w:rsid w:val="70D25448"/>
    <w:rsid w:val="70D527EE"/>
    <w:rsid w:val="70F670FB"/>
    <w:rsid w:val="71045053"/>
    <w:rsid w:val="71141882"/>
    <w:rsid w:val="711772FF"/>
    <w:rsid w:val="71186BD3"/>
    <w:rsid w:val="71265794"/>
    <w:rsid w:val="7128150C"/>
    <w:rsid w:val="71297032"/>
    <w:rsid w:val="712B4B58"/>
    <w:rsid w:val="71312019"/>
    <w:rsid w:val="71535E5D"/>
    <w:rsid w:val="715A5253"/>
    <w:rsid w:val="715B5300"/>
    <w:rsid w:val="715E0A8A"/>
    <w:rsid w:val="71724535"/>
    <w:rsid w:val="717C6C3D"/>
    <w:rsid w:val="71902C0D"/>
    <w:rsid w:val="719E532A"/>
    <w:rsid w:val="71AB5C99"/>
    <w:rsid w:val="71AC1261"/>
    <w:rsid w:val="71C11019"/>
    <w:rsid w:val="71C15DEE"/>
    <w:rsid w:val="71C76922"/>
    <w:rsid w:val="71CD5C10"/>
    <w:rsid w:val="71CF3736"/>
    <w:rsid w:val="71D27F8A"/>
    <w:rsid w:val="71F31B1A"/>
    <w:rsid w:val="71F4319C"/>
    <w:rsid w:val="720971A0"/>
    <w:rsid w:val="7218332F"/>
    <w:rsid w:val="722515A8"/>
    <w:rsid w:val="7229553C"/>
    <w:rsid w:val="72347346"/>
    <w:rsid w:val="724265FE"/>
    <w:rsid w:val="72444124"/>
    <w:rsid w:val="725105EF"/>
    <w:rsid w:val="72553024"/>
    <w:rsid w:val="726E11A1"/>
    <w:rsid w:val="7276019D"/>
    <w:rsid w:val="727D462C"/>
    <w:rsid w:val="727E6F0A"/>
    <w:rsid w:val="72861C07"/>
    <w:rsid w:val="7287495E"/>
    <w:rsid w:val="7298621E"/>
    <w:rsid w:val="72A050D2"/>
    <w:rsid w:val="72A42E14"/>
    <w:rsid w:val="72A66B8C"/>
    <w:rsid w:val="72AF38D3"/>
    <w:rsid w:val="72C9287B"/>
    <w:rsid w:val="72D51220"/>
    <w:rsid w:val="72DA7182"/>
    <w:rsid w:val="72DF209E"/>
    <w:rsid w:val="72F01BB6"/>
    <w:rsid w:val="72FC49FE"/>
    <w:rsid w:val="73090EC9"/>
    <w:rsid w:val="73122968"/>
    <w:rsid w:val="73171838"/>
    <w:rsid w:val="73182EF8"/>
    <w:rsid w:val="731F5D5E"/>
    <w:rsid w:val="732551F6"/>
    <w:rsid w:val="73357F10"/>
    <w:rsid w:val="733D4FDF"/>
    <w:rsid w:val="73497518"/>
    <w:rsid w:val="734A244E"/>
    <w:rsid w:val="734B0C60"/>
    <w:rsid w:val="735822E7"/>
    <w:rsid w:val="735E0A88"/>
    <w:rsid w:val="736B3932"/>
    <w:rsid w:val="73726886"/>
    <w:rsid w:val="737B1503"/>
    <w:rsid w:val="738E6534"/>
    <w:rsid w:val="73980CCB"/>
    <w:rsid w:val="7399049F"/>
    <w:rsid w:val="73AB3D2F"/>
    <w:rsid w:val="73B71F42"/>
    <w:rsid w:val="73C05A2C"/>
    <w:rsid w:val="73C179F6"/>
    <w:rsid w:val="73C51AD5"/>
    <w:rsid w:val="73CC631C"/>
    <w:rsid w:val="73CD639B"/>
    <w:rsid w:val="73DB32D2"/>
    <w:rsid w:val="73E7745D"/>
    <w:rsid w:val="73F005AC"/>
    <w:rsid w:val="73F43927"/>
    <w:rsid w:val="74033B6B"/>
    <w:rsid w:val="740878F6"/>
    <w:rsid w:val="7416564C"/>
    <w:rsid w:val="741E2752"/>
    <w:rsid w:val="741E793C"/>
    <w:rsid w:val="74237D69"/>
    <w:rsid w:val="742A56ED"/>
    <w:rsid w:val="742A6FE1"/>
    <w:rsid w:val="7443040B"/>
    <w:rsid w:val="74524BF6"/>
    <w:rsid w:val="745919DD"/>
    <w:rsid w:val="745D6B90"/>
    <w:rsid w:val="745E3944"/>
    <w:rsid w:val="746F7452"/>
    <w:rsid w:val="74763F4F"/>
    <w:rsid w:val="7480340D"/>
    <w:rsid w:val="74844CAB"/>
    <w:rsid w:val="749018A2"/>
    <w:rsid w:val="74A54C22"/>
    <w:rsid w:val="74AB1AB4"/>
    <w:rsid w:val="74BD01BD"/>
    <w:rsid w:val="74D136FD"/>
    <w:rsid w:val="74D5013D"/>
    <w:rsid w:val="74DB0643"/>
    <w:rsid w:val="74E03EAC"/>
    <w:rsid w:val="74E67714"/>
    <w:rsid w:val="74EB283E"/>
    <w:rsid w:val="75003489"/>
    <w:rsid w:val="75041948"/>
    <w:rsid w:val="751002ED"/>
    <w:rsid w:val="75162A2A"/>
    <w:rsid w:val="751D6EAE"/>
    <w:rsid w:val="7526366C"/>
    <w:rsid w:val="75287E4E"/>
    <w:rsid w:val="75297601"/>
    <w:rsid w:val="75432889"/>
    <w:rsid w:val="754E350B"/>
    <w:rsid w:val="755C79D6"/>
    <w:rsid w:val="75671ED7"/>
    <w:rsid w:val="75722D56"/>
    <w:rsid w:val="75882579"/>
    <w:rsid w:val="75930F1E"/>
    <w:rsid w:val="759C4F2C"/>
    <w:rsid w:val="75AC07FE"/>
    <w:rsid w:val="75B90231"/>
    <w:rsid w:val="75C15774"/>
    <w:rsid w:val="75C335B1"/>
    <w:rsid w:val="75C75614"/>
    <w:rsid w:val="75CF13BB"/>
    <w:rsid w:val="75DC0C87"/>
    <w:rsid w:val="75E17EDC"/>
    <w:rsid w:val="75E66E97"/>
    <w:rsid w:val="75E83B07"/>
    <w:rsid w:val="76204C28"/>
    <w:rsid w:val="7620726A"/>
    <w:rsid w:val="762C127E"/>
    <w:rsid w:val="76320737"/>
    <w:rsid w:val="7635099D"/>
    <w:rsid w:val="763B75EC"/>
    <w:rsid w:val="764F3097"/>
    <w:rsid w:val="76674885"/>
    <w:rsid w:val="76796366"/>
    <w:rsid w:val="768076F4"/>
    <w:rsid w:val="768947FB"/>
    <w:rsid w:val="76BD0DA7"/>
    <w:rsid w:val="76C261DC"/>
    <w:rsid w:val="76D4359C"/>
    <w:rsid w:val="76E85717"/>
    <w:rsid w:val="7702635B"/>
    <w:rsid w:val="770F4397"/>
    <w:rsid w:val="77253DF8"/>
    <w:rsid w:val="77304C77"/>
    <w:rsid w:val="77445733"/>
    <w:rsid w:val="774A385E"/>
    <w:rsid w:val="776112D4"/>
    <w:rsid w:val="776B3F01"/>
    <w:rsid w:val="77762421"/>
    <w:rsid w:val="77784870"/>
    <w:rsid w:val="77834512"/>
    <w:rsid w:val="77A0522A"/>
    <w:rsid w:val="77A47413"/>
    <w:rsid w:val="77A95D3A"/>
    <w:rsid w:val="77B56B1F"/>
    <w:rsid w:val="77C35AEB"/>
    <w:rsid w:val="77C43611"/>
    <w:rsid w:val="77CC4F9A"/>
    <w:rsid w:val="77F4659D"/>
    <w:rsid w:val="77F959B0"/>
    <w:rsid w:val="78085BF3"/>
    <w:rsid w:val="780F09F4"/>
    <w:rsid w:val="782A00B9"/>
    <w:rsid w:val="782D2523"/>
    <w:rsid w:val="784C3D32"/>
    <w:rsid w:val="784F55D0"/>
    <w:rsid w:val="7859644F"/>
    <w:rsid w:val="786077DD"/>
    <w:rsid w:val="786170B2"/>
    <w:rsid w:val="78682280"/>
    <w:rsid w:val="787119EB"/>
    <w:rsid w:val="78723413"/>
    <w:rsid w:val="78780EC8"/>
    <w:rsid w:val="78846AB4"/>
    <w:rsid w:val="78887474"/>
    <w:rsid w:val="788E0645"/>
    <w:rsid w:val="789E0F80"/>
    <w:rsid w:val="789F6A75"/>
    <w:rsid w:val="78A376CA"/>
    <w:rsid w:val="78A43B6E"/>
    <w:rsid w:val="78A90480"/>
    <w:rsid w:val="78A92900"/>
    <w:rsid w:val="78B24758"/>
    <w:rsid w:val="78BA0EC5"/>
    <w:rsid w:val="78C068A6"/>
    <w:rsid w:val="78E55F35"/>
    <w:rsid w:val="78F01F65"/>
    <w:rsid w:val="78F817C4"/>
    <w:rsid w:val="78F91413"/>
    <w:rsid w:val="78FD327E"/>
    <w:rsid w:val="78FF0DA4"/>
    <w:rsid w:val="790068CB"/>
    <w:rsid w:val="790740FD"/>
    <w:rsid w:val="790D7BF3"/>
    <w:rsid w:val="79116D2A"/>
    <w:rsid w:val="791365FE"/>
    <w:rsid w:val="79222CE5"/>
    <w:rsid w:val="79247BDF"/>
    <w:rsid w:val="79570BE0"/>
    <w:rsid w:val="79865022"/>
    <w:rsid w:val="79921C19"/>
    <w:rsid w:val="79A454A8"/>
    <w:rsid w:val="79AB4A88"/>
    <w:rsid w:val="79B24069"/>
    <w:rsid w:val="79C10154"/>
    <w:rsid w:val="79CB2FD9"/>
    <w:rsid w:val="79D041B3"/>
    <w:rsid w:val="79D34126"/>
    <w:rsid w:val="79D52275"/>
    <w:rsid w:val="79D815F5"/>
    <w:rsid w:val="79E63D12"/>
    <w:rsid w:val="79EF1E68"/>
    <w:rsid w:val="79F24465"/>
    <w:rsid w:val="79FC0753"/>
    <w:rsid w:val="79FC1788"/>
    <w:rsid w:val="7A00530D"/>
    <w:rsid w:val="7A0D5EC0"/>
    <w:rsid w:val="7A0D605E"/>
    <w:rsid w:val="7A0D74F1"/>
    <w:rsid w:val="7A17211E"/>
    <w:rsid w:val="7A1A43B6"/>
    <w:rsid w:val="7A293BFF"/>
    <w:rsid w:val="7A3031E0"/>
    <w:rsid w:val="7A364017"/>
    <w:rsid w:val="7A462ADF"/>
    <w:rsid w:val="7A5B230E"/>
    <w:rsid w:val="7A6B4218"/>
    <w:rsid w:val="7A6D7F90"/>
    <w:rsid w:val="7A8265E1"/>
    <w:rsid w:val="7A8806B3"/>
    <w:rsid w:val="7A97325F"/>
    <w:rsid w:val="7A996C41"/>
    <w:rsid w:val="7A9C0875"/>
    <w:rsid w:val="7AA900E9"/>
    <w:rsid w:val="7AB01301"/>
    <w:rsid w:val="7ACB4CB6"/>
    <w:rsid w:val="7AD35B5D"/>
    <w:rsid w:val="7AD5025E"/>
    <w:rsid w:val="7AE83ABA"/>
    <w:rsid w:val="7B000E04"/>
    <w:rsid w:val="7B002BB2"/>
    <w:rsid w:val="7B1256F4"/>
    <w:rsid w:val="7B14665D"/>
    <w:rsid w:val="7B297D0F"/>
    <w:rsid w:val="7B302C52"/>
    <w:rsid w:val="7B332AEA"/>
    <w:rsid w:val="7B38234C"/>
    <w:rsid w:val="7B4E1B6F"/>
    <w:rsid w:val="7B552401"/>
    <w:rsid w:val="7B592205"/>
    <w:rsid w:val="7B686D42"/>
    <w:rsid w:val="7B7D4202"/>
    <w:rsid w:val="7B841746"/>
    <w:rsid w:val="7B8A5F60"/>
    <w:rsid w:val="7B8E6410"/>
    <w:rsid w:val="7B9559F0"/>
    <w:rsid w:val="7B964991"/>
    <w:rsid w:val="7B98103C"/>
    <w:rsid w:val="7BA1502A"/>
    <w:rsid w:val="7BB37C24"/>
    <w:rsid w:val="7BBB4D2B"/>
    <w:rsid w:val="7BC04D1F"/>
    <w:rsid w:val="7BC41E31"/>
    <w:rsid w:val="7BDF0A19"/>
    <w:rsid w:val="7BE3636A"/>
    <w:rsid w:val="7BEB3F96"/>
    <w:rsid w:val="7BF1074D"/>
    <w:rsid w:val="7BF43158"/>
    <w:rsid w:val="7BFA6A35"/>
    <w:rsid w:val="7C06069C"/>
    <w:rsid w:val="7C181BD3"/>
    <w:rsid w:val="7C1A5EF5"/>
    <w:rsid w:val="7C266648"/>
    <w:rsid w:val="7C29438A"/>
    <w:rsid w:val="7C3A11AA"/>
    <w:rsid w:val="7C3C40BE"/>
    <w:rsid w:val="7C3D3207"/>
    <w:rsid w:val="7C55057C"/>
    <w:rsid w:val="7C613B24"/>
    <w:rsid w:val="7C6C5AC7"/>
    <w:rsid w:val="7C704093"/>
    <w:rsid w:val="7C704248"/>
    <w:rsid w:val="7C7C095E"/>
    <w:rsid w:val="7C8554FF"/>
    <w:rsid w:val="7C8B068F"/>
    <w:rsid w:val="7C8F3E70"/>
    <w:rsid w:val="7C8F751F"/>
    <w:rsid w:val="7CB023B6"/>
    <w:rsid w:val="7CB400F8"/>
    <w:rsid w:val="7CB91E86"/>
    <w:rsid w:val="7CBA042D"/>
    <w:rsid w:val="7CC6544B"/>
    <w:rsid w:val="7CCF7B9F"/>
    <w:rsid w:val="7CDE0E57"/>
    <w:rsid w:val="7CE4632E"/>
    <w:rsid w:val="7CE86CC4"/>
    <w:rsid w:val="7CE87DA1"/>
    <w:rsid w:val="7CF82511"/>
    <w:rsid w:val="7CFF4F6C"/>
    <w:rsid w:val="7D0239FF"/>
    <w:rsid w:val="7D0F532E"/>
    <w:rsid w:val="7D1277AD"/>
    <w:rsid w:val="7D147DFA"/>
    <w:rsid w:val="7D162272"/>
    <w:rsid w:val="7D1868D9"/>
    <w:rsid w:val="7D1943FF"/>
    <w:rsid w:val="7D1F2A20"/>
    <w:rsid w:val="7D2708CA"/>
    <w:rsid w:val="7D2B2488"/>
    <w:rsid w:val="7D2D1082"/>
    <w:rsid w:val="7D3D0E71"/>
    <w:rsid w:val="7D3E3E65"/>
    <w:rsid w:val="7D52346D"/>
    <w:rsid w:val="7D5E40CD"/>
    <w:rsid w:val="7D621902"/>
    <w:rsid w:val="7D6438CC"/>
    <w:rsid w:val="7D6E474B"/>
    <w:rsid w:val="7D7060B6"/>
    <w:rsid w:val="7D82525C"/>
    <w:rsid w:val="7D9548EA"/>
    <w:rsid w:val="7D9E7647"/>
    <w:rsid w:val="7DA261A2"/>
    <w:rsid w:val="7DA912DF"/>
    <w:rsid w:val="7DA95783"/>
    <w:rsid w:val="7DAD12AE"/>
    <w:rsid w:val="7DB52379"/>
    <w:rsid w:val="7DB639FC"/>
    <w:rsid w:val="7DBF4FA6"/>
    <w:rsid w:val="7DC629E4"/>
    <w:rsid w:val="7DCD56F2"/>
    <w:rsid w:val="7DD117E2"/>
    <w:rsid w:val="7DD138CC"/>
    <w:rsid w:val="7DDA3B8E"/>
    <w:rsid w:val="7DE73513"/>
    <w:rsid w:val="7DF63F66"/>
    <w:rsid w:val="7E0465B8"/>
    <w:rsid w:val="7E154BC6"/>
    <w:rsid w:val="7E254E39"/>
    <w:rsid w:val="7E421B5E"/>
    <w:rsid w:val="7E5075A8"/>
    <w:rsid w:val="7E5751DF"/>
    <w:rsid w:val="7E584AB3"/>
    <w:rsid w:val="7E5C5863"/>
    <w:rsid w:val="7E647607"/>
    <w:rsid w:val="7E655E55"/>
    <w:rsid w:val="7E682F48"/>
    <w:rsid w:val="7E795EB6"/>
    <w:rsid w:val="7E8104AE"/>
    <w:rsid w:val="7E865AC4"/>
    <w:rsid w:val="7E881AE3"/>
    <w:rsid w:val="7E8A7BFA"/>
    <w:rsid w:val="7E8E06E9"/>
    <w:rsid w:val="7E9006F1"/>
    <w:rsid w:val="7E9B156F"/>
    <w:rsid w:val="7EAB72D9"/>
    <w:rsid w:val="7EBC14E6"/>
    <w:rsid w:val="7EC363D0"/>
    <w:rsid w:val="7EC9775F"/>
    <w:rsid w:val="7ECC6D87"/>
    <w:rsid w:val="7ED14F91"/>
    <w:rsid w:val="7ED93E46"/>
    <w:rsid w:val="7EEB5927"/>
    <w:rsid w:val="7EEF7811"/>
    <w:rsid w:val="7EF737B0"/>
    <w:rsid w:val="7EFB2424"/>
    <w:rsid w:val="7F001CE7"/>
    <w:rsid w:val="7F014A51"/>
    <w:rsid w:val="7F1629A4"/>
    <w:rsid w:val="7F36260E"/>
    <w:rsid w:val="7F376DBE"/>
    <w:rsid w:val="7F3D2627"/>
    <w:rsid w:val="7F413799"/>
    <w:rsid w:val="7F4C4618"/>
    <w:rsid w:val="7F5311AC"/>
    <w:rsid w:val="7F533BF8"/>
    <w:rsid w:val="7F58120E"/>
    <w:rsid w:val="7F587757"/>
    <w:rsid w:val="7F5F03E9"/>
    <w:rsid w:val="7F5F4201"/>
    <w:rsid w:val="7F601E71"/>
    <w:rsid w:val="7F62208D"/>
    <w:rsid w:val="7F761695"/>
    <w:rsid w:val="7F7D1835"/>
    <w:rsid w:val="7F855D7C"/>
    <w:rsid w:val="7F862DC7"/>
    <w:rsid w:val="7F89096F"/>
    <w:rsid w:val="7F8A46EB"/>
    <w:rsid w:val="7F985AAF"/>
    <w:rsid w:val="7F98785D"/>
    <w:rsid w:val="7FA2692E"/>
    <w:rsid w:val="7FB126CD"/>
    <w:rsid w:val="7FBB1BBD"/>
    <w:rsid w:val="7FBD72C3"/>
    <w:rsid w:val="7FCA0AE5"/>
    <w:rsid w:val="7FCD688F"/>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semiHidden="0" w:name="heading 5" w:locked="1"/>
    <w:lsdException w:qFormat="1" w:uiPriority="0" w:semiHidden="0" w:name="heading 6" w:locked="1"/>
    <w:lsdException w:qFormat="1" w:uiPriority="0" w:semiHidden="0" w:name="heading 7" w:locked="1"/>
    <w:lsdException w:qFormat="1" w:uiPriority="0" w:semiHidden="0" w:name="heading 8" w:locked="1"/>
    <w:lsdException w:qFormat="1" w:uiPriority="0" w:semiHidden="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qFormat="1" w:unhideWhenUsed="0" w:uiPriority="0" w:semiHidden="0" w:name="toc 2"/>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sdException w:unhideWhenUsed="0" w:uiPriority="0" w:semiHidden="0" w:name="toc 8" w:locked="1"/>
    <w:lsdException w:unhideWhenUsed="0" w:uiPriority="0" w:semiHidden="0" w:name="toc 9" w:locked="1"/>
    <w:lsdException w:unhideWhenUsed="0" w:uiPriority="0" w:semiHidden="0" w:name="Normal Indent"/>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unhideWhenUsed="0" w:uiPriority="0" w:semiHidden="0" w:name="annotation reference"/>
    <w:lsdException w:unhideWhenUsed="0" w:uiPriority="0" w:semiHidden="0" w:name="line number" w:locked="1"/>
    <w:lsdException w:unhideWhenUsed="0" w:uiPriority="0" w:semiHidden="0" w:name="page number"/>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sdException w:unhideWhenUsed="0" w:uiPriority="0" w:semiHidden="0" w:name="Date"/>
    <w:lsdException w:unhideWhenUsed="0" w:uiPriority="0" w:semiHidden="0" w:name="Body Text First Indent" w:locked="1"/>
    <w:lsdException w:unhideWhenUsed="0" w:uiPriority="0" w:semiHidden="0" w:name="Body Text First Indent 2" w:locked="1"/>
    <w:lsdException w:unhideWhenUsed="0" w:uiPriority="0" w:semiHidden="0" w:name="Note Heading"/>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ocked="1"/>
    <w:lsdException w:unhideWhenUsed="0" w:uiPriority="0" w:semiHidden="0" w:name="Plain Text"/>
    <w:lsdException w:unhideWhenUsed="0" w:uiPriority="0" w:semiHidden="0" w:name="E-mail Signature" w:locked="1"/>
    <w:lsdException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unhideWhenUsed="0" w:uiPriority="0" w:semiHidden="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eepNext w:val="0"/>
      <w:widowControl w:val="0"/>
      <w:adjustRightInd/>
      <w:snapToGrid/>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locked/>
    <w:uiPriority w:val="99"/>
    <w:pPr>
      <w:keepNext w:val="0"/>
      <w:keepLines w:val="0"/>
      <w:widowControl/>
      <w:numPr>
        <w:ilvl w:val="1"/>
        <w:numId w:val="1"/>
      </w:numPr>
      <w:tabs>
        <w:tab w:val="left" w:pos="0"/>
        <w:tab w:val="clear" w:pos="420"/>
      </w:tabs>
      <w:kinsoku/>
      <w:overflowPunct w:val="0"/>
      <w:snapToGrid w:val="0"/>
      <w:spacing w:before="50" w:beforeLines="50" w:after="50" w:afterLines="50" w:line="360" w:lineRule="auto"/>
      <w:ind w:firstLine="0" w:firstLineChars="0"/>
      <w:outlineLvl w:val="0"/>
    </w:pPr>
    <w:rPr>
      <w:b/>
      <w:bCs/>
      <w:color w:val="000000"/>
      <w:kern w:val="44"/>
      <w:sz w:val="30"/>
      <w:szCs w:val="30"/>
    </w:rPr>
  </w:style>
  <w:style w:type="paragraph" w:styleId="3">
    <w:name w:val="heading 2"/>
    <w:basedOn w:val="1"/>
    <w:next w:val="1"/>
    <w:link w:val="21"/>
    <w:qFormat/>
    <w:locked/>
    <w:uiPriority w:val="0"/>
    <w:pPr>
      <w:keepNext/>
      <w:keepLines/>
      <w:numPr>
        <w:ilvl w:val="2"/>
        <w:numId w:val="1"/>
      </w:numPr>
      <w:spacing w:before="50" w:beforeLines="50" w:after="50" w:afterLines="50" w:line="360" w:lineRule="auto"/>
      <w:ind w:firstLine="0" w:firstLineChars="0"/>
      <w:outlineLvl w:val="1"/>
    </w:pPr>
    <w:rPr>
      <w:rFonts w:cs="Times New Roman"/>
      <w:b/>
      <w:bCs/>
      <w:szCs w:val="32"/>
    </w:rPr>
  </w:style>
  <w:style w:type="paragraph" w:styleId="4">
    <w:name w:val="heading 3"/>
    <w:basedOn w:val="1"/>
    <w:next w:val="1"/>
    <w:link w:val="22"/>
    <w:qFormat/>
    <w:locked/>
    <w:uiPriority w:val="0"/>
    <w:pPr>
      <w:keepNext/>
      <w:keepLines/>
      <w:numPr>
        <w:ilvl w:val="3"/>
        <w:numId w:val="1"/>
      </w:numPr>
      <w:tabs>
        <w:tab w:val="left" w:pos="0"/>
        <w:tab w:val="clear" w:pos="420"/>
      </w:tabs>
      <w:spacing w:before="50" w:beforeLines="50" w:after="50" w:afterLines="50" w:line="360" w:lineRule="auto"/>
      <w:ind w:firstLine="0" w:firstLineChars="0"/>
      <w:outlineLvl w:val="2"/>
    </w:pPr>
    <w:rPr>
      <w:bCs/>
      <w:szCs w:val="32"/>
    </w:rPr>
  </w:style>
  <w:style w:type="paragraph" w:styleId="5">
    <w:name w:val="heading 4"/>
    <w:basedOn w:val="1"/>
    <w:next w:val="1"/>
    <w:link w:val="23"/>
    <w:qFormat/>
    <w:locked/>
    <w:uiPriority w:val="0"/>
    <w:pPr>
      <w:keepNext/>
      <w:keepLines/>
      <w:spacing w:line="360" w:lineRule="auto"/>
      <w:ind w:firstLine="0" w:firstLineChars="0"/>
      <w:outlineLvl w:val="3"/>
    </w:pPr>
    <w:rPr>
      <w:rFonts w:ascii="Times New Roman" w:hAnsi="Times New Roman" w:cs="Times New Roman"/>
      <w:b/>
      <w:bCs/>
      <w:sz w:val="28"/>
      <w:szCs w:val="28"/>
    </w:rPr>
  </w:style>
  <w:style w:type="paragraph" w:styleId="6">
    <w:name w:val="heading 5"/>
    <w:basedOn w:val="1"/>
    <w:next w:val="1"/>
    <w:link w:val="24"/>
    <w:unhideWhenUsed/>
    <w:qFormat/>
    <w:locked/>
    <w:uiPriority w:val="0"/>
    <w:pPr>
      <w:keepNext/>
      <w:keepLines/>
      <w:numPr>
        <w:ilvl w:val="4"/>
        <w:numId w:val="2"/>
      </w:numPr>
      <w:spacing w:beforeLines="0" w:beforeAutospacing="0" w:afterLines="0" w:afterAutospacing="0" w:line="360" w:lineRule="auto"/>
      <w:ind w:firstLine="0" w:firstLineChars="0"/>
      <w:outlineLvl w:val="4"/>
    </w:pPr>
    <w:rPr>
      <w:b/>
      <w:sz w:val="28"/>
    </w:rPr>
  </w:style>
  <w:style w:type="paragraph" w:styleId="7">
    <w:name w:val="heading 6"/>
    <w:basedOn w:val="1"/>
    <w:next w:val="1"/>
    <w:unhideWhenUsed/>
    <w:qFormat/>
    <w:locked/>
    <w:uiPriority w:val="0"/>
    <w:pPr>
      <w:keepNext/>
      <w:keepLines/>
      <w:numPr>
        <w:ilvl w:val="5"/>
        <w:numId w:val="2"/>
      </w:numPr>
      <w:spacing w:before="240" w:beforeLines="0" w:beforeAutospacing="0" w:after="64" w:afterLines="0" w:afterAutospacing="0" w:line="317" w:lineRule="auto"/>
      <w:ind w:left="1151" w:hanging="1151" w:firstLineChars="0"/>
      <w:outlineLvl w:val="5"/>
    </w:pPr>
    <w:rPr>
      <w:rFonts w:ascii="Arial" w:hAnsi="Arial" w:eastAsia="黑体"/>
      <w:b/>
      <w:sz w:val="24"/>
    </w:rPr>
  </w:style>
  <w:style w:type="paragraph" w:styleId="8">
    <w:name w:val="heading 7"/>
    <w:basedOn w:val="1"/>
    <w:next w:val="1"/>
    <w:unhideWhenUsed/>
    <w:qFormat/>
    <w:locked/>
    <w:uiPriority w:val="0"/>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paragraph" w:styleId="9">
    <w:name w:val="heading 8"/>
    <w:basedOn w:val="1"/>
    <w:next w:val="1"/>
    <w:unhideWhenUsed/>
    <w:qFormat/>
    <w:locked/>
    <w:uiPriority w:val="0"/>
    <w:pPr>
      <w:keepNext/>
      <w:keepLines/>
      <w:numPr>
        <w:ilvl w:val="7"/>
        <w:numId w:val="1"/>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0">
    <w:name w:val="heading 9"/>
    <w:basedOn w:val="1"/>
    <w:next w:val="1"/>
    <w:unhideWhenUsed/>
    <w:qFormat/>
    <w:locked/>
    <w:uiPriority w:val="0"/>
    <w:pPr>
      <w:keepNext/>
      <w:keepLines/>
      <w:numPr>
        <w:ilvl w:val="8"/>
        <w:numId w:val="1"/>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19">
    <w:name w:val="Default Paragraph Font"/>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11">
    <w:name w:val="annotation text"/>
    <w:basedOn w:val="1"/>
    <w:qFormat/>
    <w:uiPriority w:val="0"/>
    <w:pPr>
      <w:jc w:val="left"/>
    </w:p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locked/>
    <w:uiPriority w:val="0"/>
  </w:style>
  <w:style w:type="paragraph" w:styleId="15">
    <w:name w:val="toc 2"/>
    <w:basedOn w:val="1"/>
    <w:next w:val="1"/>
    <w:qFormat/>
    <w:uiPriority w:val="0"/>
    <w:pPr>
      <w:ind w:left="420" w:leftChars="200"/>
    </w:pPr>
  </w:style>
  <w:style w:type="paragraph" w:styleId="16">
    <w:name w:val="Title"/>
    <w:basedOn w:val="1"/>
    <w:next w:val="1"/>
    <w:link w:val="25"/>
    <w:qFormat/>
    <w:locked/>
    <w:uiPriority w:val="0"/>
    <w:pPr>
      <w:spacing w:before="240" w:after="60"/>
      <w:ind w:firstLine="0" w:firstLineChars="0"/>
      <w:jc w:val="center"/>
      <w:outlineLvl w:val="0"/>
    </w:pPr>
    <w:rPr>
      <w:rFonts w:ascii="Cambria" w:hAnsi="Cambria" w:cs="Times New Roman"/>
      <w:b/>
      <w:bCs/>
      <w:sz w:val="32"/>
      <w:szCs w:val="32"/>
    </w:rPr>
  </w:style>
  <w:style w:type="table" w:styleId="18">
    <w:name w:val="Table Grid"/>
    <w:basedOn w:val="17"/>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qFormat/>
    <w:uiPriority w:val="0"/>
    <w:rPr>
      <w:color w:val="0000FF"/>
      <w:u w:val="single"/>
    </w:rPr>
  </w:style>
  <w:style w:type="character" w:customStyle="1" w:styleId="21">
    <w:name w:val="标题 2 字符"/>
    <w:link w:val="3"/>
    <w:qFormat/>
    <w:uiPriority w:val="9"/>
    <w:rPr>
      <w:rFonts w:ascii="Times New Roman" w:hAnsi="Times New Roman" w:eastAsia="宋体" w:cs="Times New Roman"/>
      <w:b/>
      <w:bCs/>
      <w:kern w:val="2"/>
      <w:sz w:val="24"/>
      <w:szCs w:val="32"/>
    </w:rPr>
  </w:style>
  <w:style w:type="character" w:customStyle="1" w:styleId="22">
    <w:name w:val="标题 3 字符"/>
    <w:link w:val="4"/>
    <w:semiHidden/>
    <w:qFormat/>
    <w:uiPriority w:val="0"/>
    <w:rPr>
      <w:rFonts w:eastAsia="宋体"/>
      <w:bCs/>
      <w:kern w:val="2"/>
      <w:sz w:val="24"/>
      <w:szCs w:val="32"/>
    </w:rPr>
  </w:style>
  <w:style w:type="character" w:customStyle="1" w:styleId="23">
    <w:name w:val="标题 4 字符"/>
    <w:link w:val="5"/>
    <w:semiHidden/>
    <w:qFormat/>
    <w:uiPriority w:val="0"/>
    <w:rPr>
      <w:rFonts w:ascii="Times New Roman" w:hAnsi="Times New Roman" w:eastAsia="宋体" w:cs="Times New Roman"/>
      <w:b/>
      <w:bCs/>
      <w:kern w:val="2"/>
      <w:sz w:val="28"/>
      <w:szCs w:val="28"/>
    </w:rPr>
  </w:style>
  <w:style w:type="character" w:customStyle="1" w:styleId="24">
    <w:name w:val="标题 5 Char"/>
    <w:link w:val="6"/>
    <w:qFormat/>
    <w:uiPriority w:val="0"/>
    <w:rPr>
      <w:b/>
      <w:sz w:val="28"/>
    </w:rPr>
  </w:style>
  <w:style w:type="character" w:customStyle="1" w:styleId="25">
    <w:name w:val="标题 字符"/>
    <w:link w:val="16"/>
    <w:qFormat/>
    <w:uiPriority w:val="0"/>
    <w:rPr>
      <w:rFonts w:ascii="Cambria" w:hAnsi="Cambria" w:eastAsia="宋体" w:cs="Times New Roman"/>
      <w:b/>
      <w:bCs/>
      <w:kern w:val="2"/>
      <w:sz w:val="32"/>
      <w:szCs w:val="32"/>
    </w:rPr>
  </w:style>
  <w:style w:type="paragraph" w:customStyle="1" w:styleId="26">
    <w:name w:val="表格内容"/>
    <w:next w:val="1"/>
    <w:link w:val="27"/>
    <w:qFormat/>
    <w:uiPriority w:val="0"/>
    <w:pPr>
      <w:spacing w:line="240" w:lineRule="auto"/>
      <w:ind w:firstLine="0" w:firstLineChars="0"/>
      <w:jc w:val="center"/>
    </w:pPr>
    <w:rPr>
      <w:rFonts w:ascii="Times New Roman" w:hAnsi="Times New Roman" w:eastAsia="宋体" w:cs="Times New Roman"/>
      <w:sz w:val="21"/>
      <w:szCs w:val="22"/>
    </w:rPr>
  </w:style>
  <w:style w:type="character" w:customStyle="1" w:styleId="27">
    <w:name w:val="表格内容 Char"/>
    <w:link w:val="26"/>
    <w:qFormat/>
    <w:uiPriority w:val="0"/>
    <w:rPr>
      <w:rFonts w:eastAsia="宋体"/>
      <w:kern w:val="2"/>
      <w:sz w:val="21"/>
      <w:szCs w:val="22"/>
    </w:rPr>
  </w:style>
  <w:style w:type="paragraph" w:customStyle="1" w:styleId="28">
    <w:name w:val="图文标题"/>
    <w:basedOn w:val="1"/>
    <w:next w:val="1"/>
    <w:link w:val="29"/>
    <w:qFormat/>
    <w:uiPriority w:val="0"/>
    <w:pPr>
      <w:numPr>
        <w:ilvl w:val="5"/>
        <w:numId w:val="1"/>
      </w:numPr>
      <w:tabs>
        <w:tab w:val="left" w:pos="420"/>
        <w:tab w:val="clear" w:pos="0"/>
      </w:tabs>
      <w:spacing w:line="360" w:lineRule="auto"/>
      <w:ind w:left="0" w:firstLine="0" w:firstLineChars="0"/>
      <w:jc w:val="center"/>
    </w:pPr>
    <w:rPr>
      <w:b/>
      <w:szCs w:val="22"/>
    </w:rPr>
  </w:style>
  <w:style w:type="character" w:customStyle="1" w:styleId="29">
    <w:name w:val="图文标题 Char"/>
    <w:link w:val="28"/>
    <w:qFormat/>
    <w:uiPriority w:val="0"/>
    <w:rPr>
      <w:rFonts w:ascii="Times New Roman" w:hAnsi="Times New Roman" w:eastAsia="宋体" w:cs="Times New Roman"/>
      <w:b/>
    </w:rPr>
  </w:style>
  <w:style w:type="paragraph" w:customStyle="1" w:styleId="30">
    <w:name w:val="表头"/>
    <w:basedOn w:val="1"/>
    <w:next w:val="1"/>
    <w:link w:val="31"/>
    <w:qFormat/>
    <w:uiPriority w:val="0"/>
    <w:pPr>
      <w:numPr>
        <w:ilvl w:val="4"/>
        <w:numId w:val="1"/>
      </w:numPr>
      <w:tabs>
        <w:tab w:val="left" w:pos="420"/>
        <w:tab w:val="clear" w:pos="0"/>
      </w:tabs>
      <w:spacing w:line="360" w:lineRule="auto"/>
      <w:ind w:left="0" w:firstLine="0" w:firstLineChars="0"/>
      <w:jc w:val="center"/>
    </w:pPr>
    <w:rPr>
      <w:b/>
      <w:szCs w:val="22"/>
    </w:rPr>
  </w:style>
  <w:style w:type="character" w:customStyle="1" w:styleId="31">
    <w:name w:val="表头 Char"/>
    <w:link w:val="30"/>
    <w:qFormat/>
    <w:uiPriority w:val="0"/>
    <w:rPr>
      <w:rFonts w:eastAsia="宋体"/>
      <w:b/>
      <w:szCs w:val="22"/>
    </w:rPr>
  </w:style>
  <w:style w:type="paragraph" w:customStyle="1" w:styleId="32">
    <w:name w:val="章节表头1"/>
    <w:basedOn w:val="1"/>
    <w:link w:val="33"/>
    <w:qFormat/>
    <w:uiPriority w:val="0"/>
    <w:pPr>
      <w:numPr>
        <w:ilvl w:val="0"/>
        <w:numId w:val="1"/>
      </w:numPr>
      <w:tabs>
        <w:tab w:val="left" w:pos="420"/>
        <w:tab w:val="clear" w:pos="0"/>
      </w:tabs>
      <w:spacing w:before="50" w:beforeLines="50" w:after="50" w:afterLines="50" w:line="240" w:lineRule="auto"/>
      <w:ind w:firstLine="0" w:firstLineChars="0"/>
      <w:jc w:val="center"/>
      <w:outlineLvl w:val="0"/>
    </w:pPr>
    <w:rPr>
      <w:rFonts w:ascii="黑体" w:hAnsi="黑体" w:eastAsia="黑体"/>
      <w:snapToGrid w:val="0"/>
      <w:sz w:val="30"/>
      <w:szCs w:val="30"/>
    </w:rPr>
  </w:style>
  <w:style w:type="character" w:customStyle="1" w:styleId="33">
    <w:name w:val="标题1 Char"/>
    <w:link w:val="32"/>
    <w:qFormat/>
    <w:uiPriority w:val="0"/>
    <w:rPr>
      <w:rFonts w:ascii="黑体" w:hAnsi="黑体" w:eastAsia="黑体"/>
      <w:snapToGrid w:val="0"/>
      <w:sz w:val="30"/>
      <w:szCs w:val="3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32.jpeg"/><Relationship Id="rId55" Type="http://schemas.openxmlformats.org/officeDocument/2006/relationships/image" Target="media/image31.wmf"/><Relationship Id="rId54" Type="http://schemas.openxmlformats.org/officeDocument/2006/relationships/oleObject" Target="embeddings/oleObject12.bin"/><Relationship Id="rId53" Type="http://schemas.openxmlformats.org/officeDocument/2006/relationships/image" Target="media/image30.jpeg"/><Relationship Id="rId52" Type="http://schemas.openxmlformats.org/officeDocument/2006/relationships/image" Target="media/image29.wmf"/><Relationship Id="rId51" Type="http://schemas.openxmlformats.org/officeDocument/2006/relationships/oleObject" Target="embeddings/oleObject11.bin"/><Relationship Id="rId50" Type="http://schemas.openxmlformats.org/officeDocument/2006/relationships/image" Target="media/image28.wmf"/><Relationship Id="rId5" Type="http://schemas.openxmlformats.org/officeDocument/2006/relationships/header" Target="header1.xml"/><Relationship Id="rId49" Type="http://schemas.openxmlformats.org/officeDocument/2006/relationships/oleObject" Target="embeddings/oleObject10.bin"/><Relationship Id="rId48" Type="http://schemas.openxmlformats.org/officeDocument/2006/relationships/image" Target="media/image27.wmf"/><Relationship Id="rId47" Type="http://schemas.openxmlformats.org/officeDocument/2006/relationships/oleObject" Target="embeddings/oleObject9.bin"/><Relationship Id="rId46" Type="http://schemas.openxmlformats.org/officeDocument/2006/relationships/image" Target="media/image26.wmf"/><Relationship Id="rId45" Type="http://schemas.openxmlformats.org/officeDocument/2006/relationships/oleObject" Target="embeddings/oleObject8.bin"/><Relationship Id="rId44" Type="http://schemas.openxmlformats.org/officeDocument/2006/relationships/image" Target="media/image25.wmf"/><Relationship Id="rId43" Type="http://schemas.openxmlformats.org/officeDocument/2006/relationships/oleObject" Target="embeddings/oleObject7.bin"/><Relationship Id="rId42" Type="http://schemas.openxmlformats.org/officeDocument/2006/relationships/image" Target="media/image24.png"/><Relationship Id="rId41" Type="http://schemas.openxmlformats.org/officeDocument/2006/relationships/image" Target="media/image23.emf"/><Relationship Id="rId40" Type="http://schemas.openxmlformats.org/officeDocument/2006/relationships/oleObject" Target="embeddings/oleObject6.bin"/><Relationship Id="rId4" Type="http://schemas.openxmlformats.org/officeDocument/2006/relationships/endnotes" Target="endnotes.xml"/><Relationship Id="rId39" Type="http://schemas.openxmlformats.org/officeDocument/2006/relationships/image" Target="media/image22.wmf"/><Relationship Id="rId38" Type="http://schemas.openxmlformats.org/officeDocument/2006/relationships/oleObject" Target="embeddings/oleObject5.bin"/><Relationship Id="rId37" Type="http://schemas.openxmlformats.org/officeDocument/2006/relationships/image" Target="media/image21.wmf"/><Relationship Id="rId36" Type="http://schemas.openxmlformats.org/officeDocument/2006/relationships/oleObject" Target="embeddings/oleObject4.bin"/><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emf"/><Relationship Id="rId17" Type="http://schemas.openxmlformats.org/officeDocument/2006/relationships/oleObject" Target="embeddings/oleObject3.bin"/><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2.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98</Pages>
  <Words>14934</Words>
  <Characters>16220</Characters>
  <Lines>189</Lines>
  <Paragraphs>53</Paragraphs>
  <TotalTime>1</TotalTime>
  <ScaleCrop>false</ScaleCrop>
  <LinksUpToDate>false</LinksUpToDate>
  <CharactersWithSpaces>16327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2021-03-10T00:41:00Z</dcterms:created>
  <dc:creator>lhj</dc:creator>
  <cp:lastModifiedBy>听雨轩</cp:lastModifiedBy>
  <cp:lastPrinted>2025-06-27T04:15:00Z</cp:lastPrinted>
  <dcterms:modified xsi:type="dcterms:W3CDTF">2025-07-15T03:49:46Z</dcterms:modified>
  <dc:title>附件2</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5ED051A3C0864B308985785ABB593420_13</vt:lpwstr>
  </property>
  <property fmtid="{D5CDD505-2E9C-101B-9397-08002B2CF9AE}" pid="4" name="KSOTemplateDocerSaveRecord">
    <vt:lpwstr>eyJoZGlkIjoiNTk2ZGQ2NmY2YmEwNGFhMzc3ZmY3Yjg1N2ViMTYzMDEiLCJ1c2VySWQiOiI3MDkzNzUyMDgifQ==</vt:lpwstr>
  </property>
</Properties>
</file>