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eastAsia="方正小标宋简体"/>
          <w:sz w:val="44"/>
          <w:szCs w:val="44"/>
        </w:rPr>
      </w:pPr>
      <w:r>
        <w:rPr>
          <w:rFonts w:hint="eastAsia" w:ascii="方正小标宋简体" w:eastAsia="方正小标宋简体" w:cs="方正小标宋简体"/>
          <w:sz w:val="44"/>
          <w:szCs w:val="44"/>
        </w:rPr>
        <w:t>永安市雪茄烟零售点合理布局规定</w:t>
      </w:r>
    </w:p>
    <w:p>
      <w:pPr>
        <w:keepNext w:val="0"/>
        <w:keepLines w:val="0"/>
        <w:pageBreakBefore w:val="0"/>
        <w:widowControl w:val="0"/>
        <w:kinsoku/>
        <w:wordWrap/>
        <w:overflowPunct/>
        <w:topLinePunct w:val="0"/>
        <w:bidi w:val="0"/>
        <w:snapToGrid/>
        <w:ind w:firstLine="640" w:firstLineChars="200"/>
        <w:jc w:val="center"/>
        <w:textAlignment w:val="auto"/>
        <w:rPr>
          <w:rFonts w:ascii="黑体" w:hAnsi="黑体" w:eastAsia="黑体"/>
          <w:sz w:val="44"/>
          <w:szCs w:val="28"/>
        </w:rPr>
      </w:pPr>
      <w:r>
        <w:rPr>
          <w:rFonts w:ascii="黑体" w:hAnsi="黑体" w:eastAsia="黑体"/>
          <w:color w:val="333333"/>
          <w:sz w:val="32"/>
          <w:shd w:val="clear" w:color="auto" w:fill="FFFFFF"/>
        </w:rPr>
        <w:t>第一章</w:t>
      </w:r>
      <w:r>
        <w:rPr>
          <w:rFonts w:hint="eastAsia" w:ascii="宋体" w:hAnsi="宋体" w:eastAsia="宋体" w:cs="宋体"/>
          <w:color w:val="333333"/>
          <w:sz w:val="32"/>
          <w:shd w:val="clear" w:color="auto" w:fill="FFFFFF"/>
        </w:rPr>
        <w:t> </w:t>
      </w:r>
      <w:r>
        <w:rPr>
          <w:rFonts w:ascii="黑体" w:hAnsi="黑体" w:eastAsia="黑体"/>
          <w:color w:val="333333"/>
          <w:sz w:val="32"/>
          <w:shd w:val="clear" w:color="auto" w:fill="FFFFFF"/>
        </w:rPr>
        <w:t>总则</w:t>
      </w:r>
    </w:p>
    <w:p>
      <w:pPr>
        <w:keepNext w:val="0"/>
        <w:keepLines w:val="0"/>
        <w:pageBreakBefore w:val="0"/>
        <w:widowControl w:val="0"/>
        <w:kinsoku/>
        <w:wordWrap/>
        <w:overflowPunct/>
        <w:topLinePunct w:val="0"/>
        <w:bidi w:val="0"/>
        <w:snapToGrid/>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第一条 </w:t>
      </w:r>
      <w:r>
        <w:rPr>
          <w:rFonts w:hint="eastAsia" w:ascii="仿宋_GB2312" w:hAnsi="仿宋_GB2312" w:eastAsia="仿宋_GB2312" w:cs="仿宋_GB2312"/>
          <w:sz w:val="32"/>
          <w:szCs w:val="32"/>
        </w:rPr>
        <w:t>为规范雪茄烟零售市场秩序，合理配置雪茄烟专营零售市场资源，根据《中华人民共和国行政许可法》《中华人民共和国未成年人保护法》《中华人民共和国烟草专卖法》《中华人民共和国烟草专卖法实施条例》《烟草专卖许可证管理办法》《烟草专卖许可证管理办法实施细则》等相关规定，结合永安市辖区实际情况，制定本规定。</w:t>
      </w:r>
    </w:p>
    <w:p>
      <w:pPr>
        <w:keepNext w:val="0"/>
        <w:keepLines w:val="0"/>
        <w:pageBreakBefore w:val="0"/>
        <w:widowControl w:val="0"/>
        <w:kinsoku/>
        <w:wordWrap/>
        <w:overflowPunct/>
        <w:topLinePunct w:val="0"/>
        <w:bidi w:val="0"/>
        <w:snapToGrid/>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本规定遵循依法依规，尊重市场，依法保护雪茄烟专营零售市场主体合法权益，保护未成年人身心健康，保障消费者合法权益，维护国家烟草专卖制度，防止无序扩张，坚持</w:t>
      </w:r>
      <w:r>
        <w:rPr>
          <w:rFonts w:hint="eastAsia" w:ascii="仿宋_GB2312" w:hAnsi="仿宋_GB2312" w:eastAsia="仿宋_GB2312" w:cs="仿宋_GB2312"/>
          <w:sz w:val="32"/>
          <w:szCs w:val="32"/>
          <w:highlight w:val="none"/>
          <w:lang w:val="en-US" w:eastAsia="zh-CN"/>
        </w:rPr>
        <w:t>总量控制</w:t>
      </w:r>
      <w:r>
        <w:rPr>
          <w:rFonts w:hint="eastAsia" w:ascii="仿宋_GB2312" w:hAnsi="仿宋_GB2312" w:eastAsia="仿宋_GB2312" w:cs="仿宋_GB2312"/>
          <w:sz w:val="32"/>
          <w:szCs w:val="32"/>
        </w:rPr>
        <w:t>的原则，对永安市辖区内雪茄烟零售点进行合理规划布局。</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本规定适用于永安市辖区内雪茄烟零售点的布局管理</w:t>
      </w:r>
      <w:r>
        <w:rPr>
          <w:rFonts w:hint="eastAsia" w:ascii="仿宋_GB2312" w:hAnsi="宋体" w:eastAsia="仿宋_GB2312" w:cs="仿宋_GB2312"/>
          <w:sz w:val="32"/>
          <w:szCs w:val="32"/>
        </w:rPr>
        <w:t>。</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第四条 </w:t>
      </w:r>
      <w:r>
        <w:rPr>
          <w:rFonts w:hint="eastAsia" w:ascii="仿宋_GB2312" w:hAnsi="仿宋_GB2312" w:eastAsia="仿宋_GB2312" w:cs="仿宋_GB2312"/>
          <w:sz w:val="32"/>
          <w:szCs w:val="32"/>
        </w:rPr>
        <w:t>本规定所称雪茄烟零售点，是指年满18周岁以上且具备完全民事行为能力的公民、法人或其他组织在本辖区内开展雪茄烟零售</w:t>
      </w:r>
      <w:r>
        <w:rPr>
          <w:rFonts w:hint="eastAsia" w:ascii="仿宋_GB2312" w:eastAsia="仿宋_GB2312" w:cs="仿宋_GB2312"/>
          <w:sz w:val="32"/>
          <w:szCs w:val="32"/>
        </w:rPr>
        <w:t>业务的经营场所，</w:t>
      </w:r>
      <w:r>
        <w:rPr>
          <w:rFonts w:hint="eastAsia" w:ascii="仿宋_GB2312" w:hAnsi="仿宋_GB2312" w:eastAsia="仿宋_GB2312" w:cs="仿宋_GB2312"/>
          <w:sz w:val="32"/>
          <w:szCs w:val="32"/>
        </w:rPr>
        <w:t>其经营范围仅为“雪茄烟本店零售”，且持证人不得申请变更经营范围。</w:t>
      </w:r>
    </w:p>
    <w:p>
      <w:pPr>
        <w:spacing w:line="240" w:lineRule="auto"/>
        <w:jc w:val="center"/>
        <w:rPr>
          <w:rFonts w:hint="default" w:ascii="宋体" w:hAnsi="宋体" w:eastAsia="宋体" w:cs="宋体"/>
          <w:color w:val="000000"/>
          <w:sz w:val="32"/>
          <w:szCs w:val="32"/>
          <w:lang w:val="en-US"/>
        </w:rPr>
      </w:pPr>
      <w:r>
        <w:rPr>
          <w:rFonts w:hint="eastAsia" w:ascii="黑体" w:hAnsi="黑体" w:eastAsia="黑体" w:cs="黑体"/>
          <w:color w:val="000000"/>
          <w:kern w:val="0"/>
          <w:sz w:val="32"/>
          <w:szCs w:val="32"/>
          <w:highlight w:val="none"/>
          <w:lang w:val="en-US" w:eastAsia="zh-CN"/>
        </w:rPr>
        <w:t>第二章 合理布局规划标准</w:t>
      </w:r>
    </w:p>
    <w:p>
      <w:pPr>
        <w:keepNext w:val="0"/>
        <w:keepLines w:val="0"/>
        <w:pageBreakBefore w:val="0"/>
        <w:widowControl w:val="0"/>
        <w:kinsoku/>
        <w:wordWrap/>
        <w:overflowPunct/>
        <w:topLinePunct w:val="0"/>
        <w:bidi w:val="0"/>
        <w:snapToGrid/>
        <w:ind w:firstLine="643" w:firstLineChars="200"/>
        <w:textAlignment w:val="auto"/>
        <w:rPr>
          <w:rFonts w:hint="eastAsia" w:ascii="仿宋_GB2312" w:hAnsi="仿宋_GB2312" w:eastAsia="仿宋_GB2312" w:cs="仿宋_GB2312"/>
          <w:sz w:val="32"/>
          <w:szCs w:val="32"/>
          <w:highlight w:val="red"/>
          <w:lang w:eastAsia="zh-CN"/>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雪茄烟零售点实行“一店一证”，连锁企业申请雪茄烟专营零售许可时，应当由各个分店分别向经营场所所在地烟草专卖行政主管部门提出申</w:t>
      </w:r>
      <w:r>
        <w:rPr>
          <w:rFonts w:hint="eastAsia" w:ascii="仿宋_GB2312" w:hAnsi="仿宋_GB2312" w:eastAsia="仿宋_GB2312" w:cs="仿宋_GB2312"/>
          <w:sz w:val="32"/>
          <w:szCs w:val="32"/>
          <w:highlight w:val="none"/>
        </w:rPr>
        <w:t>请。</w:t>
      </w:r>
      <w:r>
        <w:rPr>
          <w:rFonts w:hint="eastAsia" w:ascii="仿宋_GB2312" w:hAnsi="仿宋_GB2312" w:eastAsia="仿宋_GB2312" w:cs="仿宋_GB2312"/>
          <w:sz w:val="32"/>
          <w:szCs w:val="32"/>
          <w:highlight w:val="none"/>
          <w:lang w:eastAsia="zh-CN"/>
        </w:rPr>
        <w:t>已办理烟草专卖零售许可证（雪茄烟）的，不得在原址重新申请其他经营范围的烟草专卖零售许可证。</w:t>
      </w:r>
    </w:p>
    <w:p>
      <w:pPr>
        <w:keepNext w:val="0"/>
        <w:keepLines w:val="0"/>
        <w:pageBreakBefore w:val="0"/>
        <w:widowControl w:val="0"/>
        <w:kinsoku/>
        <w:wordWrap/>
        <w:overflowPunct/>
        <w:topLinePunct w:val="0"/>
        <w:bidi w:val="0"/>
        <w:snapToGrid/>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综合考虑市场需求、市场容量和雪茄烟经营成本、合理利润等因素，结合永安市人口数量、经济发展水平、消费行为习惯等因素，永安市雪茄烟零售点布局实行数量管理，达到总量上限时</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rPr>
        <w:t>永安市雪茄烟零售点合理布局规划一览表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，不再新增雪茄烟零售点，按照“退一进一”原则办理，实行动态管理。</w:t>
      </w:r>
    </w:p>
    <w:p>
      <w:pPr>
        <w:keepNext w:val="0"/>
        <w:keepLines w:val="0"/>
        <w:pageBreakBefore w:val="0"/>
        <w:widowControl w:val="0"/>
        <w:kinsoku/>
        <w:wordWrap/>
        <w:overflowPunct/>
        <w:topLinePunct w:val="0"/>
        <w:autoSpaceDE/>
        <w:autoSpaceDN/>
        <w:bidi w:val="0"/>
        <w:spacing w:line="580" w:lineRule="exact"/>
        <w:ind w:firstLine="800" w:firstLineChars="250"/>
        <w:jc w:val="center"/>
        <w:textAlignment w:val="auto"/>
        <w:rPr>
          <w:rFonts w:hint="default" w:ascii="宋体" w:hAnsi="宋体" w:eastAsia="宋体" w:cs="宋体"/>
          <w:color w:val="000000"/>
          <w:sz w:val="32"/>
          <w:szCs w:val="32"/>
          <w:lang w:val="en-US" w:eastAsia="zh-CN"/>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三章</w:t>
      </w:r>
      <w:r>
        <w:rPr>
          <w:rFonts w:hint="eastAsia" w:ascii="黑体" w:hAnsi="黑体" w:eastAsia="黑体" w:cs="黑体"/>
          <w:color w:val="000000"/>
          <w:sz w:val="32"/>
          <w:szCs w:val="32"/>
          <w:highlight w:val="none"/>
          <w:lang w:val="en-US" w:eastAsia="zh-CN"/>
        </w:rPr>
        <w:t xml:space="preserve"> </w:t>
      </w:r>
      <w:r>
        <w:rPr>
          <w:rFonts w:hint="eastAsia" w:ascii="黑体" w:hAnsi="黑体" w:eastAsia="黑体" w:cs="黑体"/>
          <w:color w:val="000000"/>
          <w:sz w:val="32"/>
          <w:szCs w:val="32"/>
          <w:highlight w:val="none"/>
          <w:lang w:eastAsia="zh-CN"/>
        </w:rPr>
        <w:t>基本条件</w:t>
      </w:r>
    </w:p>
    <w:p>
      <w:pPr>
        <w:keepNext w:val="0"/>
        <w:keepLines w:val="0"/>
        <w:pageBreakBefore w:val="0"/>
        <w:widowControl w:val="0"/>
        <w:kinsoku/>
        <w:wordWrap/>
        <w:overflowPunct/>
        <w:topLinePunct w:val="0"/>
        <w:bidi w:val="0"/>
        <w:snapToGrid/>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申请从事雪茄烟零售点需同时满足以下条件：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（一）主营业务为雪茄烟零售；</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（二）经营场所面积50平方米以上，在该经营场所内雪茄烟相关陈列设施、品鉴设施等配套设施摆放面积必须达到该经营场所面积的50%以上；</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（三）有专业的雪茄烟经营条件，应具备总容量不少于150升的温湿恒定系统的雪茄烟烟柜或具有专业雪茄养护房，经营场所内具备新风系统或强排风系统；</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（四）业态为主营茶叶、酒水、特色礼品等专卖店及茶室、酒吧、咖啡厅、餐吧及会所等与雪茄烟销售品吸有营销互补关系的休闲娱乐服务场所；</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（五）符合上级烟草专卖主管部门关于雪茄特色终端应具备的其他条件要求。</w:t>
      </w:r>
    </w:p>
    <w:p>
      <w:pPr>
        <w:keepNext w:val="0"/>
        <w:keepLines w:val="0"/>
        <w:pageBreakBefore w:val="0"/>
        <w:widowControl w:val="0"/>
        <w:kinsoku/>
        <w:wordWrap/>
        <w:overflowPunct/>
        <w:topLinePunct w:val="0"/>
        <w:bidi w:val="0"/>
        <w:snapToGrid/>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有下列情形之一的，不得从事雪茄烟烟草制品零售业务：</w:t>
      </w:r>
    </w:p>
    <w:p>
      <w:pPr>
        <w:keepNext w:val="0"/>
        <w:keepLines w:val="0"/>
        <w:pageBreakBefore w:val="0"/>
        <w:widowControl w:val="0"/>
        <w:kinsoku/>
        <w:wordWrap/>
        <w:overflowPunct/>
        <w:topLinePunct w:val="0"/>
        <w:bidi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1.申请人无民事行为能力人或限制民事行为能力人的；</w:t>
      </w:r>
    </w:p>
    <w:p>
      <w:pPr>
        <w:keepNext w:val="0"/>
        <w:keepLines w:val="0"/>
        <w:pageBreakBefore w:val="0"/>
        <w:widowControl w:val="0"/>
        <w:kinsoku/>
        <w:wordWrap/>
        <w:overflowPunct/>
        <w:topLinePunct w:val="0"/>
        <w:bidi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2.申请人未领取市场监督管理部门核发的营业执照或营业执照失效的；</w:t>
      </w:r>
    </w:p>
    <w:p>
      <w:pPr>
        <w:keepNext w:val="0"/>
        <w:keepLines w:val="0"/>
        <w:pageBreakBefore w:val="0"/>
        <w:widowControl w:val="0"/>
        <w:kinsoku/>
        <w:wordWrap/>
        <w:overflowPunct/>
        <w:topLinePunct w:val="0"/>
        <w:bidi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eastAsia="仿宋_GB2312" w:cs="仿宋_GB2312"/>
          <w:sz w:val="32"/>
          <w:szCs w:val="32"/>
        </w:rPr>
        <w:t>申请人为外商投资的商业企业或个体工商户，或者外商投资的商业企业或个体工商户以特许、吸纳加盟店及其他再投资等形式变相从事烟草专卖品经营业务的</w:t>
      </w:r>
      <w:r>
        <w:rPr>
          <w:rFonts w:ascii="Times New Roman" w:hAnsi="Times New Roman" w:eastAsia="仿宋_GB2312" w:cs="Times New Roman"/>
          <w:sz w:val="32"/>
          <w:szCs w:val="32"/>
          <w:lang w:bidi="ar"/>
        </w:rPr>
        <w:t>（国家烟草专卖</w:t>
      </w:r>
      <w:r>
        <w:rPr>
          <w:rFonts w:hint="eastAsia" w:eastAsia="仿宋_GB2312" w:cs="Times New Roman"/>
          <w:sz w:val="32"/>
          <w:szCs w:val="32"/>
          <w:lang w:bidi="ar"/>
        </w:rPr>
        <w:t>局</w:t>
      </w:r>
      <w:r>
        <w:rPr>
          <w:rFonts w:ascii="Times New Roman" w:hAnsi="Times New Roman" w:eastAsia="仿宋_GB2312" w:cs="Times New Roman"/>
          <w:sz w:val="32"/>
          <w:szCs w:val="32"/>
          <w:lang w:bidi="ar"/>
        </w:rPr>
        <w:t>规定情形除外）</w:t>
      </w:r>
      <w:r>
        <w:rPr>
          <w:rFonts w:hint="eastAsia" w:ascii="仿宋_GB2312" w:eastAsia="仿宋_GB2312" w:cs="仿宋_GB2312"/>
          <w:sz w:val="32"/>
          <w:szCs w:val="32"/>
        </w:rPr>
        <w:t>；</w:t>
      </w:r>
    </w:p>
    <w:p>
      <w:pPr>
        <w:keepNext w:val="0"/>
        <w:keepLines w:val="0"/>
        <w:pageBreakBefore w:val="0"/>
        <w:widowControl w:val="0"/>
        <w:kinsoku/>
        <w:wordWrap/>
        <w:overflowPunct/>
        <w:topLinePunct w:val="0"/>
        <w:bidi w:val="0"/>
        <w:snapToGrid/>
        <w:ind w:firstLine="640" w:firstLineChars="200"/>
        <w:textAlignment w:val="auto"/>
        <w:rPr>
          <w:rFonts w:asci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eastAsia="仿宋_GB2312" w:cs="仿宋_GB2312"/>
          <w:sz w:val="32"/>
          <w:szCs w:val="32"/>
        </w:rPr>
        <w:t>申请人被取消从事烟草专卖业务资格不满三年的；</w:t>
      </w:r>
    </w:p>
    <w:p>
      <w:pPr>
        <w:keepNext w:val="0"/>
        <w:keepLines w:val="0"/>
        <w:pageBreakBefore w:val="0"/>
        <w:widowControl w:val="0"/>
        <w:kinsoku/>
        <w:wordWrap/>
        <w:overflowPunct/>
        <w:topLinePunct w:val="0"/>
        <w:bidi w:val="0"/>
        <w:snapToGrid/>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5.因申请人隐瞒有关情况或者提供虚假材料，烟草专卖局作出不予受理或不予发证决定后，申请人在一年内再次提出申请的；</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s="仿宋_GB2312"/>
          <w:sz w:val="32"/>
          <w:szCs w:val="32"/>
          <w:highlight w:val="none"/>
        </w:rPr>
      </w:pPr>
      <w:r>
        <w:rPr>
          <w:rFonts w:hint="eastAsia" w:ascii="仿宋_GB2312" w:eastAsia="仿宋_GB2312" w:cs="仿宋_GB2312"/>
          <w:sz w:val="32"/>
          <w:szCs w:val="32"/>
        </w:rPr>
        <w:t>6.因申请人以欺骗、贿赂等不正当手段取得零售许可证被撤销后</w:t>
      </w:r>
      <w:r>
        <w:rPr>
          <w:rFonts w:hint="eastAsia" w:ascii="仿宋_GB2312" w:eastAsia="仿宋_GB2312" w:cs="仿宋_GB2312"/>
          <w:sz w:val="32"/>
          <w:szCs w:val="32"/>
          <w:highlight w:val="none"/>
        </w:rPr>
        <w:t>，申请人三年内再次提出申请的；</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s="仿宋_GB2312"/>
          <w:sz w:val="32"/>
          <w:szCs w:val="32"/>
          <w:highlight w:val="none"/>
        </w:rPr>
      </w:pPr>
      <w:r>
        <w:rPr>
          <w:rFonts w:hint="eastAsia" w:ascii="仿宋_GB2312" w:eastAsia="仿宋_GB2312" w:cs="仿宋_GB2312"/>
          <w:sz w:val="32"/>
          <w:szCs w:val="32"/>
          <w:highlight w:val="none"/>
        </w:rPr>
        <w:t xml:space="preserve">7. </w:t>
      </w:r>
      <w:r>
        <w:rPr>
          <w:rFonts w:hint="eastAsia" w:ascii="仿宋_GB2312" w:eastAsia="仿宋_GB2312" w:cs="仿宋_GB2312"/>
          <w:sz w:val="32"/>
          <w:szCs w:val="32"/>
          <w:highlight w:val="none"/>
          <w:lang w:eastAsia="zh-CN"/>
        </w:rPr>
        <w:t>申请人</w:t>
      </w:r>
      <w:r>
        <w:rPr>
          <w:rFonts w:hint="eastAsia" w:ascii="仿宋_GB2312" w:eastAsia="仿宋_GB2312" w:cs="仿宋_GB2312"/>
          <w:sz w:val="32"/>
          <w:szCs w:val="32"/>
          <w:highlight w:val="none"/>
        </w:rPr>
        <w:t>未领取烟草专卖零售许可证经营烟草专卖品业务,并且一年内被执法机关处罚两次以上，在三年内申请领取烟草专卖零售许可证的；</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highlight w:val="none"/>
        </w:rPr>
        <w:t xml:space="preserve">8. </w:t>
      </w:r>
      <w:r>
        <w:rPr>
          <w:rFonts w:hint="eastAsia" w:ascii="仿宋_GB2312" w:eastAsia="仿宋_GB2312" w:cs="仿宋_GB2312"/>
          <w:sz w:val="32"/>
          <w:szCs w:val="32"/>
          <w:highlight w:val="none"/>
          <w:lang w:eastAsia="zh-CN"/>
        </w:rPr>
        <w:t>申请人</w:t>
      </w:r>
      <w:r>
        <w:rPr>
          <w:rFonts w:hint="eastAsia" w:ascii="仿宋_GB2312" w:eastAsia="仿宋_GB2312" w:cs="仿宋_GB2312"/>
          <w:sz w:val="32"/>
          <w:szCs w:val="32"/>
          <w:highlight w:val="none"/>
        </w:rPr>
        <w:t>未领</w:t>
      </w:r>
      <w:r>
        <w:rPr>
          <w:rFonts w:hint="eastAsia" w:ascii="仿宋_GB2312" w:eastAsia="仿宋_GB2312" w:cs="仿宋_GB2312"/>
          <w:sz w:val="32"/>
          <w:szCs w:val="32"/>
        </w:rPr>
        <w:t>取烟草专卖零售许可证经营烟草专卖品业务被追究刑事责任，且在3年内申请领取烟草专卖零售许可证的；</w:t>
      </w:r>
    </w:p>
    <w:p>
      <w:pPr>
        <w:keepNext w:val="0"/>
        <w:keepLines w:val="0"/>
        <w:pageBreakBefore w:val="0"/>
        <w:widowControl w:val="0"/>
        <w:kinsoku/>
        <w:wordWrap/>
        <w:overflowPunct/>
        <w:topLinePunct w:val="0"/>
        <w:bidi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．无固定经营场所或经营场所与住所不相独立的；</w:t>
      </w:r>
    </w:p>
    <w:p>
      <w:pPr>
        <w:keepNext w:val="0"/>
        <w:keepLines w:val="0"/>
        <w:pageBreakBefore w:val="0"/>
        <w:widowControl w:val="0"/>
        <w:kinsoku/>
        <w:wordWrap/>
        <w:overflowPunct/>
        <w:topLinePunct w:val="0"/>
        <w:bidi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经营场所基于安全因素不适宜经营雪茄烟的,如生产或经营化工、化肥、农药、油漆、散装汽油、鞭炮、液化气、燃油等易燃易爆、有毒有害或有强烈剌激性气味物品的场所内及其他需要重点防火的区域(国家烟草专卖行政主管部门规定可以办理的情形除外)；</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仿宋_GB2312" w:hAnsi="宋体"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.经营场所位于</w:t>
      </w:r>
      <w:r>
        <w:rPr>
          <w:rFonts w:hint="eastAsia" w:ascii="仿宋_GB2312" w:hAnsi="宋体" w:eastAsia="仿宋_GB2312" w:cs="仿宋_GB2312"/>
          <w:sz w:val="32"/>
          <w:szCs w:val="32"/>
        </w:rPr>
        <w:t>中小学、幼儿园内部及中小学</w:t>
      </w:r>
      <w:r>
        <w:rPr>
          <w:rFonts w:hint="eastAsia" w:ascii="Times New Roman" w:hAnsi="Times New Roman" w:eastAsia="仿宋_GB2312" w:cs="Times New Roman"/>
          <w:sz w:val="32"/>
          <w:szCs w:val="32"/>
          <w:lang w:bidi="ar"/>
        </w:rPr>
        <w:t>周围50米、幼儿园周围20米</w:t>
      </w:r>
      <w:r>
        <w:rPr>
          <w:rFonts w:hint="eastAsia" w:ascii="仿宋_GB2312" w:hAnsi="宋体" w:eastAsia="仿宋_GB2312" w:cs="仿宋_GB2312"/>
          <w:sz w:val="32"/>
          <w:szCs w:val="32"/>
        </w:rPr>
        <w:t>范围内的；</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“中小学”是指普通中小学、特殊教育学校、中等职业学校、专门学校。</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仿宋_GB2312" w:hAnsi="宋体" w:eastAsia="仿宋_GB2312" w:cs="仿宋_GB2312"/>
          <w:sz w:val="32"/>
          <w:szCs w:val="32"/>
        </w:rPr>
      </w:pPr>
      <w:r>
        <w:rPr>
          <w:rFonts w:hint="eastAsia" w:ascii="仿宋_GB2312" w:eastAsia="仿宋_GB2312" w:cs="仿宋_GB2312"/>
          <w:sz w:val="32"/>
          <w:szCs w:val="32"/>
        </w:rPr>
        <w:t>“</w:t>
      </w:r>
      <w:r>
        <w:rPr>
          <w:rFonts w:hint="eastAsia" w:ascii="仿宋_GB2312" w:hAnsi="宋体" w:eastAsia="仿宋_GB2312" w:cs="仿宋_GB2312"/>
          <w:sz w:val="32"/>
          <w:szCs w:val="32"/>
        </w:rPr>
        <w:t>中小学</w:t>
      </w:r>
      <w:r>
        <w:rPr>
          <w:rFonts w:hint="eastAsia" w:ascii="Times New Roman" w:hAnsi="Times New Roman" w:eastAsia="仿宋_GB2312" w:cs="Times New Roman"/>
          <w:sz w:val="32"/>
          <w:szCs w:val="32"/>
          <w:lang w:bidi="ar"/>
        </w:rPr>
        <w:t>周围50米、幼儿园周围20米</w:t>
      </w:r>
      <w:r>
        <w:rPr>
          <w:rFonts w:hint="eastAsia" w:ascii="仿宋_GB2312" w:hAnsi="宋体" w:eastAsia="仿宋_GB2312" w:cs="仿宋_GB2312"/>
          <w:sz w:val="32"/>
          <w:szCs w:val="32"/>
        </w:rPr>
        <w:t>范围内</w:t>
      </w:r>
      <w:r>
        <w:rPr>
          <w:rFonts w:hint="eastAsia" w:ascii="仿宋_GB2312" w:eastAsia="仿宋_GB2312" w:cs="仿宋_GB2312"/>
          <w:sz w:val="32"/>
          <w:szCs w:val="32"/>
        </w:rPr>
        <w:t>”是指</w:t>
      </w:r>
      <w:r>
        <w:rPr>
          <w:rFonts w:hint="eastAsia" w:ascii="仿宋_GB2312" w:eastAsia="仿宋_GB2312"/>
          <w:sz w:val="32"/>
          <w:szCs w:val="32"/>
        </w:rPr>
        <w:t>中小学进出通道口门线任意点可视直线最短距离50米范围内、幼儿园进出通道口门线任意点可视直线最短距离20米范围内</w:t>
      </w:r>
      <w:r>
        <w:rPr>
          <w:rFonts w:hint="eastAsia" w:ascii="仿宋_GB2312" w:eastAsia="仿宋_GB2312" w:cs="仿宋_GB2312"/>
          <w:sz w:val="32"/>
          <w:szCs w:val="32"/>
        </w:rPr>
        <w:t>（证明属应急通道的除外）。</w:t>
      </w:r>
    </w:p>
    <w:p>
      <w:pPr>
        <w:keepNext w:val="0"/>
        <w:keepLines w:val="0"/>
        <w:pageBreakBefore w:val="0"/>
        <w:widowControl w:val="0"/>
        <w:kinsoku/>
        <w:wordWrap/>
        <w:overflowPunct/>
        <w:topLinePunct w:val="0"/>
        <w:bidi w:val="0"/>
        <w:snapToGrid/>
        <w:ind w:firstLine="640" w:firstLineChars="200"/>
        <w:textAlignment w:val="auto"/>
        <w:rPr>
          <w:rFonts w:ascii="仿宋_GB2312" w:hAnsi="华文仿宋" w:eastAsia="仿宋_GB2312" w:cs="仿宋_GB2312"/>
          <w:sz w:val="32"/>
          <w:szCs w:val="32"/>
        </w:rPr>
      </w:pPr>
      <w:r>
        <w:rPr>
          <w:rFonts w:hint="eastAsia" w:ascii="仿宋_GB2312" w:hAnsi="宋体" w:eastAsia="仿宋_GB2312" w:cs="仿宋_GB2312"/>
          <w:sz w:val="32"/>
          <w:szCs w:val="32"/>
          <w:lang w:val="en-US" w:eastAsia="zh-CN"/>
        </w:rPr>
        <w:t>12</w:t>
      </w:r>
      <w:r>
        <w:rPr>
          <w:rFonts w:hint="eastAsia" w:ascii="仿宋_GB2312" w:hAnsi="宋体" w:eastAsia="仿宋_GB2312" w:cs="仿宋_GB2312"/>
          <w:sz w:val="32"/>
          <w:szCs w:val="32"/>
        </w:rPr>
        <w:t>.</w:t>
      </w:r>
      <w:r>
        <w:rPr>
          <w:rFonts w:hint="eastAsia" w:ascii="仿宋_GB2312" w:hAnsi="仿宋_GB2312" w:eastAsia="仿宋_GB2312" w:cs="仿宋_GB2312"/>
          <w:sz w:val="32"/>
          <w:szCs w:val="32"/>
        </w:rPr>
        <w:t>经营场所位于</w:t>
      </w:r>
      <w:r>
        <w:rPr>
          <w:rFonts w:hint="eastAsia" w:ascii="仿宋_GB2312" w:hAnsi="华文仿宋" w:eastAsia="仿宋_GB2312" w:cs="仿宋_GB2312"/>
          <w:sz w:val="32"/>
          <w:szCs w:val="32"/>
        </w:rPr>
        <w:t>青少年宫等未成年人聚集场所、党政机关和公共医疗机构内部；</w:t>
      </w:r>
    </w:p>
    <w:p>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sz w:val="32"/>
          <w:szCs w:val="32"/>
        </w:rPr>
      </w:pPr>
      <w:r>
        <w:rPr>
          <w:rFonts w:hint="eastAsia" w:ascii="仿宋_GB2312" w:hAnsi="华文仿宋" w:eastAsia="仿宋_GB2312" w:cs="仿宋_GB2312"/>
          <w:sz w:val="32"/>
          <w:szCs w:val="32"/>
          <w:lang w:val="en-US" w:eastAsia="zh-CN"/>
        </w:rPr>
        <w:t>13</w:t>
      </w:r>
      <w:r>
        <w:rPr>
          <w:rFonts w:hint="eastAsia" w:ascii="仿宋_GB2312" w:hAnsi="华文仿宋" w:eastAsia="仿宋_GB2312" w:cs="仿宋_GB2312"/>
          <w:sz w:val="32"/>
          <w:szCs w:val="32"/>
        </w:rPr>
        <w:t>.一个</w:t>
      </w:r>
      <w:r>
        <w:rPr>
          <w:rFonts w:hint="eastAsia" w:ascii="仿宋_GB2312" w:hAnsi="仿宋_GB2312" w:eastAsia="仿宋_GB2312" w:cs="仿宋_GB2312"/>
          <w:sz w:val="32"/>
          <w:szCs w:val="32"/>
        </w:rPr>
        <w:t>经营场所已经办理了烟草专卖零售许可证，且在许可证有效期内，申请在同一经营场所新办烟草专卖零售许可证的。</w:t>
      </w:r>
    </w:p>
    <w:p>
      <w:pPr>
        <w:keepNext w:val="0"/>
        <w:keepLines w:val="0"/>
        <w:pageBreakBefore w:val="0"/>
        <w:widowControl w:val="0"/>
        <w:kinsoku/>
        <w:wordWrap/>
        <w:overflowPunct/>
        <w:topLinePunct w:val="0"/>
        <w:bidi w:val="0"/>
        <w:snapToGrid/>
        <w:ind w:firstLine="640" w:firstLineChars="200"/>
        <w:textAlignment w:val="auto"/>
        <w:rPr>
          <w:rFonts w:asci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eastAsia="仿宋_GB2312" w:cs="仿宋_GB2312"/>
          <w:sz w:val="32"/>
          <w:szCs w:val="32"/>
        </w:rPr>
        <w:t>利用</w:t>
      </w:r>
      <w:r>
        <w:rPr>
          <w:rFonts w:hint="eastAsia" w:ascii="Times New Roman" w:hAnsi="Times New Roman" w:eastAsia="仿宋_GB2312" w:cs="Times New Roman"/>
          <w:sz w:val="32"/>
          <w:szCs w:val="32"/>
          <w:lang w:bidi="ar"/>
        </w:rPr>
        <w:t>信息网络渠道</w:t>
      </w:r>
      <w:r>
        <w:rPr>
          <w:rFonts w:hint="eastAsia" w:ascii="仿宋_GB2312" w:eastAsia="仿宋_GB2312" w:cs="仿宋_GB2312"/>
          <w:sz w:val="32"/>
          <w:szCs w:val="32"/>
        </w:rPr>
        <w:t>销售雪茄烟的；</w:t>
      </w:r>
    </w:p>
    <w:p>
      <w:pPr>
        <w:keepNext w:val="0"/>
        <w:keepLines w:val="0"/>
        <w:pageBreakBefore w:val="0"/>
        <w:widowControl w:val="0"/>
        <w:kinsoku/>
        <w:wordWrap/>
        <w:overflowPunct/>
        <w:topLinePunct w:val="0"/>
        <w:bidi w:val="0"/>
        <w:snapToGrid/>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15</w:t>
      </w:r>
      <w:r>
        <w:rPr>
          <w:rFonts w:hint="eastAsia" w:ascii="仿宋_GB2312" w:eastAsia="仿宋_GB2312" w:cs="仿宋_GB2312"/>
          <w:sz w:val="32"/>
          <w:szCs w:val="32"/>
        </w:rPr>
        <w:t>.利用自动售货机或者其他自动售货形式，销售或者变相销售雪茄烟的</w:t>
      </w:r>
      <w:r>
        <w:rPr>
          <w:rFonts w:hint="eastAsia" w:ascii="仿宋_GB2312" w:eastAsia="仿宋_GB2312" w:cs="仿宋_GB2312"/>
          <w:sz w:val="32"/>
          <w:szCs w:val="32"/>
          <w:lang w:eastAsia="zh-CN"/>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s="仿宋_GB2312"/>
          <w:sz w:val="32"/>
          <w:szCs w:val="32"/>
          <w:highlight w:val="none"/>
          <w:lang w:eastAsia="zh-CN"/>
        </w:rPr>
      </w:pPr>
      <w:r>
        <w:rPr>
          <w:rFonts w:hint="eastAsia" w:ascii="仿宋_GB2312" w:eastAsia="仿宋_GB2312" w:cs="仿宋_GB2312"/>
          <w:sz w:val="32"/>
          <w:szCs w:val="32"/>
          <w:highlight w:val="none"/>
          <w:lang w:val="en-US" w:eastAsia="zh-CN"/>
        </w:rPr>
        <w:t>16.</w:t>
      </w:r>
      <w:r>
        <w:rPr>
          <w:rFonts w:hint="eastAsia" w:ascii="仿宋_GB2312" w:hAnsi="Times New Roman" w:eastAsia="仿宋_GB2312" w:cs="Times New Roman"/>
          <w:color w:val="auto"/>
          <w:sz w:val="32"/>
          <w:szCs w:val="32"/>
          <w:highlight w:val="none"/>
        </w:rPr>
        <w:t>法律、法规、规章等规定的其他情形。</w:t>
      </w:r>
    </w:p>
    <w:p>
      <w:pPr>
        <w:keepNext w:val="0"/>
        <w:keepLines w:val="0"/>
        <w:pageBreakBefore w:val="0"/>
        <w:widowControl w:val="0"/>
        <w:kinsoku/>
        <w:wordWrap/>
        <w:overflowPunct/>
        <w:topLinePunct w:val="0"/>
        <w:bidi w:val="0"/>
        <w:snapToGrid/>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对符合申请雪茄烟零售点法定条件的申请人，因雪茄烟零售点总量已达上限，按申请人受理时间的先后顺序进行</w:t>
      </w:r>
      <w:r>
        <w:rPr>
          <w:rFonts w:hint="eastAsia" w:ascii="仿宋_GB2312" w:hAnsi="仿宋_GB2312" w:eastAsia="仿宋_GB2312" w:cs="仿宋_GB2312"/>
          <w:sz w:val="32"/>
          <w:szCs w:val="32"/>
          <w:highlight w:val="none"/>
        </w:rPr>
        <w:t>备案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备案期两年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w:t>
      </w:r>
      <w:r>
        <w:rPr>
          <w:rFonts w:hint="eastAsia" w:ascii="仿宋_GB2312" w:hAnsi="仿宋_GB2312" w:eastAsia="仿宋_GB2312" w:cs="仿宋_GB2312"/>
          <w:sz w:val="32"/>
          <w:szCs w:val="32"/>
        </w:rPr>
        <w:t>永安市烟草专卖局对外公示备案信息为准。备案后，根据本规定第六</w:t>
      </w:r>
      <w:bookmarkStart w:id="0" w:name="_GoBack"/>
      <w:bookmarkEnd w:id="0"/>
      <w:r>
        <w:rPr>
          <w:rFonts w:hint="eastAsia" w:ascii="仿宋_GB2312" w:hAnsi="仿宋_GB2312" w:eastAsia="仿宋_GB2312" w:cs="仿宋_GB2312"/>
          <w:sz w:val="32"/>
          <w:szCs w:val="32"/>
        </w:rPr>
        <w:t>条的原则办理。</w:t>
      </w:r>
    </w:p>
    <w:p>
      <w:pPr>
        <w:keepNext w:val="0"/>
        <w:keepLines w:val="0"/>
        <w:pageBreakBefore w:val="0"/>
        <w:widowControl w:val="0"/>
        <w:kinsoku/>
        <w:wordWrap/>
        <w:overflowPunct/>
        <w:topLinePunct w:val="0"/>
        <w:bidi w:val="0"/>
        <w:snapToGrid/>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烟草专卖行政主管部门定期将雪茄烟零售点数量、动态、轮候登记等信息向社会公告，公众可在永安市人民政府网或行政服务中心查询。</w:t>
      </w:r>
    </w:p>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default" w:ascii="黑体" w:hAnsi="黑体" w:eastAsia="黑体" w:cs="黑体"/>
          <w:color w:val="000000"/>
          <w:kern w:val="0"/>
          <w:sz w:val="32"/>
          <w:szCs w:val="32"/>
          <w:highlight w:val="none"/>
          <w:lang w:val="en-US" w:eastAsia="zh-CN"/>
        </w:rPr>
      </w:pPr>
      <w:r>
        <w:rPr>
          <w:rFonts w:hint="eastAsia" w:ascii="宋体" w:hAnsi="宋体" w:cs="宋体"/>
          <w:color w:val="000000"/>
          <w:sz w:val="32"/>
          <w:szCs w:val="32"/>
          <w:lang w:val="en-US" w:eastAsia="zh-CN"/>
        </w:rPr>
        <w:t xml:space="preserve">     </w:t>
      </w:r>
      <w:r>
        <w:rPr>
          <w:rFonts w:hint="eastAsia" w:ascii="黑体" w:hAnsi="黑体" w:eastAsia="黑体" w:cs="黑体"/>
          <w:color w:val="000000"/>
          <w:kern w:val="0"/>
          <w:sz w:val="32"/>
          <w:szCs w:val="32"/>
          <w:highlight w:val="none"/>
          <w:lang w:val="en-US" w:eastAsia="zh-CN"/>
        </w:rPr>
        <w:t>第四章 附则</w:t>
      </w:r>
    </w:p>
    <w:p>
      <w:pPr>
        <w:keepNext w:val="0"/>
        <w:keepLines w:val="0"/>
        <w:pageBreakBefore w:val="0"/>
        <w:widowControl w:val="0"/>
        <w:kinsoku/>
        <w:wordWrap/>
        <w:overflowPunct/>
        <w:topLinePunct w:val="0"/>
        <w:bidi w:val="0"/>
        <w:snapToGrid/>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本规定数量规定所指“以上”包括本数</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snapToGrid/>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本规定由永安市烟草专卖局负责解释。</w:t>
      </w:r>
    </w:p>
    <w:p>
      <w:pPr>
        <w:keepNext w:val="0"/>
        <w:keepLines w:val="0"/>
        <w:pageBreakBefore w:val="0"/>
        <w:widowControl w:val="0"/>
        <w:kinsoku/>
        <w:wordWrap/>
        <w:overflowPunct/>
        <w:topLinePunct w:val="0"/>
        <w:bidi w:val="0"/>
        <w:snapToGrid/>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本规定自公布之日起施行。</w:t>
      </w:r>
    </w:p>
    <w:p>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tbl>
      <w:tblPr>
        <w:tblStyle w:val="2"/>
        <w:tblW w:w="9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460"/>
        <w:gridCol w:w="780"/>
        <w:gridCol w:w="1300"/>
        <w:gridCol w:w="1020"/>
        <w:gridCol w:w="1220"/>
        <w:gridCol w:w="1240"/>
        <w:gridCol w:w="1220"/>
        <w:gridCol w:w="1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920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D0D0D"/>
                <w:sz w:val="32"/>
                <w:szCs w:val="32"/>
                <w:u w:val="none"/>
              </w:rPr>
            </w:pPr>
            <w:r>
              <w:rPr>
                <w:rFonts w:hint="eastAsia" w:ascii="方正小标宋简体" w:hAnsi="方正小标宋简体" w:eastAsia="方正小标宋简体" w:cs="方正小标宋简体"/>
                <w:b/>
                <w:bCs/>
                <w:i w:val="0"/>
                <w:iCs w:val="0"/>
                <w:color w:val="0D0D0D"/>
                <w:kern w:val="0"/>
                <w:sz w:val="32"/>
                <w:szCs w:val="32"/>
                <w:u w:val="none"/>
                <w:lang w:val="en-US" w:eastAsia="zh-CN" w:bidi="ar"/>
              </w:rPr>
              <w:t xml:space="preserve"> </w:t>
            </w:r>
            <w:r>
              <w:rPr>
                <w:rFonts w:hint="eastAsia" w:ascii="仿宋_GB2312" w:hAnsi="仿宋_GB2312" w:eastAsia="仿宋_GB2312" w:cs="仿宋_GB2312"/>
                <w:b/>
                <w:bCs/>
                <w:sz w:val="32"/>
                <w:szCs w:val="32"/>
              </w:rPr>
              <w:t>永安市雪茄烟零售点合理布局规划一览表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trPr>
        <w:tc>
          <w:tcPr>
            <w:tcW w:w="5418" w:type="dxa"/>
            <w:gridSpan w:val="6"/>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D0D0D"/>
                <w:sz w:val="20"/>
                <w:szCs w:val="20"/>
                <w:u w:val="none"/>
              </w:rPr>
            </w:pPr>
            <w:r>
              <w:rPr>
                <w:rFonts w:hint="eastAsia" w:ascii="黑体" w:hAnsi="宋体" w:eastAsia="黑体" w:cs="黑体"/>
                <w:i w:val="0"/>
                <w:iCs w:val="0"/>
                <w:color w:val="0D0D0D"/>
                <w:kern w:val="0"/>
                <w:sz w:val="20"/>
                <w:szCs w:val="20"/>
                <w:u w:val="none"/>
                <w:lang w:val="en-US" w:eastAsia="zh-CN" w:bidi="ar"/>
              </w:rPr>
              <w:t>制表单位：永安市烟草专卖管理办公室</w:t>
            </w:r>
          </w:p>
        </w:tc>
        <w:tc>
          <w:tcPr>
            <w:tcW w:w="3782" w:type="dxa"/>
            <w:gridSpan w:val="3"/>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D0D0D"/>
                <w:sz w:val="20"/>
                <w:szCs w:val="20"/>
                <w:u w:val="none"/>
              </w:rPr>
            </w:pPr>
            <w:r>
              <w:rPr>
                <w:rFonts w:hint="eastAsia" w:ascii="宋体" w:hAnsi="宋体" w:eastAsia="宋体" w:cs="宋体"/>
                <w:i w:val="0"/>
                <w:iCs w:val="0"/>
                <w:color w:val="0D0D0D"/>
                <w:kern w:val="0"/>
                <w:sz w:val="20"/>
                <w:szCs w:val="20"/>
                <w:u w:val="none"/>
                <w:lang w:val="en-US" w:eastAsia="zh-CN" w:bidi="ar"/>
              </w:rPr>
              <w:t>统计日期：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638" w:type="dxa"/>
            <w:tcBorders>
              <w:top w:val="single" w:color="000000" w:sz="8" w:space="0"/>
              <w:left w:val="single" w:color="000000" w:sz="8"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i w:val="0"/>
                <w:iCs w:val="0"/>
                <w:color w:val="0D0D0D"/>
                <w:kern w:val="0"/>
                <w:sz w:val="20"/>
                <w:szCs w:val="20"/>
                <w:u w:val="none"/>
                <w:lang w:val="en-US" w:eastAsia="zh-CN" w:bidi="ar"/>
              </w:rPr>
              <w:t>管理片区</w:t>
            </w:r>
          </w:p>
        </w:tc>
        <w:tc>
          <w:tcPr>
            <w:tcW w:w="460"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i w:val="0"/>
                <w:iCs w:val="0"/>
                <w:color w:val="0D0D0D"/>
                <w:kern w:val="0"/>
                <w:sz w:val="20"/>
                <w:szCs w:val="20"/>
                <w:u w:val="none"/>
                <w:lang w:val="en-US" w:eastAsia="zh-CN" w:bidi="ar"/>
              </w:rPr>
              <w:t>序号</w:t>
            </w:r>
          </w:p>
        </w:tc>
        <w:tc>
          <w:tcPr>
            <w:tcW w:w="780"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i w:val="0"/>
                <w:iCs w:val="0"/>
                <w:color w:val="0D0D0D"/>
                <w:kern w:val="0"/>
                <w:sz w:val="20"/>
                <w:szCs w:val="20"/>
                <w:u w:val="none"/>
                <w:lang w:val="en-US" w:eastAsia="zh-CN" w:bidi="ar"/>
              </w:rPr>
              <w:t>地理位置</w:t>
            </w:r>
          </w:p>
        </w:tc>
        <w:tc>
          <w:tcPr>
            <w:tcW w:w="1300"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i w:val="0"/>
                <w:iCs w:val="0"/>
                <w:color w:val="0D0D0D"/>
                <w:kern w:val="0"/>
                <w:sz w:val="20"/>
                <w:szCs w:val="20"/>
                <w:u w:val="none"/>
                <w:lang w:val="en-US" w:eastAsia="zh-CN" w:bidi="ar"/>
              </w:rPr>
              <w:t>县级指导数</w:t>
            </w:r>
          </w:p>
        </w:tc>
        <w:tc>
          <w:tcPr>
            <w:tcW w:w="1020"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i w:val="0"/>
                <w:iCs w:val="0"/>
                <w:color w:val="0D0D0D"/>
                <w:kern w:val="0"/>
                <w:sz w:val="20"/>
                <w:szCs w:val="20"/>
                <w:u w:val="none"/>
                <w:lang w:val="en-US" w:eastAsia="zh-CN" w:bidi="ar"/>
              </w:rPr>
              <w:t>现有户数</w:t>
            </w:r>
          </w:p>
        </w:tc>
        <w:tc>
          <w:tcPr>
            <w:tcW w:w="1220"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i w:val="0"/>
                <w:iCs w:val="0"/>
                <w:color w:val="0D0D0D"/>
                <w:kern w:val="0"/>
                <w:sz w:val="20"/>
                <w:szCs w:val="20"/>
                <w:u w:val="none"/>
                <w:lang w:val="en-US" w:eastAsia="zh-CN" w:bidi="ar"/>
              </w:rPr>
              <w:t>持证户姓名</w:t>
            </w:r>
          </w:p>
        </w:tc>
        <w:tc>
          <w:tcPr>
            <w:tcW w:w="1240"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i w:val="0"/>
                <w:iCs w:val="0"/>
                <w:color w:val="0D0D0D"/>
                <w:kern w:val="0"/>
                <w:sz w:val="20"/>
                <w:szCs w:val="20"/>
                <w:u w:val="none"/>
                <w:lang w:val="en-US" w:eastAsia="zh-CN" w:bidi="ar"/>
              </w:rPr>
              <w:t>当月新增户</w:t>
            </w:r>
          </w:p>
        </w:tc>
        <w:tc>
          <w:tcPr>
            <w:tcW w:w="1220"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i w:val="0"/>
                <w:iCs w:val="0"/>
                <w:color w:val="0D0D0D"/>
                <w:kern w:val="0"/>
                <w:sz w:val="20"/>
                <w:szCs w:val="20"/>
                <w:u w:val="none"/>
                <w:lang w:val="en-US" w:eastAsia="zh-CN" w:bidi="ar"/>
              </w:rPr>
              <w:t>当月注销户</w:t>
            </w:r>
          </w:p>
        </w:tc>
        <w:tc>
          <w:tcPr>
            <w:tcW w:w="1322" w:type="dxa"/>
            <w:tcBorders>
              <w:top w:val="single" w:color="000000" w:sz="8" w:space="0"/>
              <w:left w:val="single" w:color="000000" w:sz="4" w:space="0"/>
              <w:bottom w:val="single" w:color="000000" w:sz="4"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i w:val="0"/>
                <w:iCs w:val="0"/>
                <w:color w:val="0D0D0D"/>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38" w:type="dxa"/>
            <w:tcBorders>
              <w:top w:val="single" w:color="000000" w:sz="4" w:space="0"/>
              <w:left w:val="single" w:color="000000" w:sz="8" w:space="0"/>
              <w:bottom w:val="nil"/>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黑体" w:hAnsi="宋体" w:eastAsia="黑体" w:cs="黑体"/>
                <w:b/>
                <w:bCs/>
                <w:i w:val="0"/>
                <w:iCs w:val="0"/>
                <w:color w:val="0D0D0D"/>
                <w:sz w:val="20"/>
                <w:szCs w:val="20"/>
                <w:u w:val="none"/>
              </w:rPr>
            </w:pPr>
            <w:r>
              <w:rPr>
                <w:rFonts w:hint="eastAsia" w:ascii="黑体" w:hAnsi="宋体" w:eastAsia="黑体" w:cs="黑体"/>
                <w:b/>
                <w:bCs/>
                <w:i w:val="0"/>
                <w:iCs w:val="0"/>
                <w:color w:val="0D0D0D"/>
                <w:kern w:val="0"/>
                <w:sz w:val="20"/>
                <w:szCs w:val="20"/>
                <w:u w:val="none"/>
                <w:lang w:val="en-US" w:eastAsia="zh-CN" w:bidi="ar"/>
              </w:rPr>
              <w:t>永安市</w:t>
            </w:r>
          </w:p>
        </w:tc>
        <w:tc>
          <w:tcPr>
            <w:tcW w:w="4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i w:val="0"/>
                <w:iCs w:val="0"/>
                <w:color w:val="0D0D0D"/>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i w:val="0"/>
                <w:iCs w:val="0"/>
                <w:color w:val="0D0D0D"/>
                <w:kern w:val="0"/>
                <w:sz w:val="20"/>
                <w:szCs w:val="20"/>
                <w:u w:val="none"/>
                <w:lang w:val="en-US" w:eastAsia="zh-CN" w:bidi="ar"/>
              </w:rPr>
              <w:t>永安市</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i w:val="0"/>
                <w:iCs w:val="0"/>
                <w:color w:val="0D0D0D"/>
                <w:kern w:val="0"/>
                <w:sz w:val="20"/>
                <w:szCs w:val="20"/>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1878" w:type="dxa"/>
            <w:gridSpan w:val="3"/>
            <w:tcBorders>
              <w:top w:val="single" w:color="000000" w:sz="4" w:space="0"/>
              <w:left w:val="single" w:color="000000" w:sz="8" w:space="0"/>
              <w:bottom w:val="single" w:color="000000" w:sz="8"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黑体" w:hAnsi="宋体" w:eastAsia="黑体" w:cs="黑体"/>
                <w:i w:val="0"/>
                <w:iCs w:val="0"/>
                <w:color w:val="0D0D0D"/>
                <w:sz w:val="24"/>
                <w:szCs w:val="24"/>
                <w:u w:val="none"/>
              </w:rPr>
            </w:pPr>
            <w:r>
              <w:rPr>
                <w:rFonts w:hint="eastAsia" w:ascii="黑体" w:hAnsi="宋体" w:eastAsia="黑体" w:cs="黑体"/>
                <w:i w:val="0"/>
                <w:iCs w:val="0"/>
                <w:color w:val="0D0D0D"/>
                <w:kern w:val="0"/>
                <w:sz w:val="24"/>
                <w:szCs w:val="24"/>
                <w:u w:val="none"/>
                <w:lang w:val="en-US" w:eastAsia="zh-CN" w:bidi="ar"/>
              </w:rPr>
              <w:t>永安市合计</w:t>
            </w:r>
          </w:p>
        </w:tc>
        <w:tc>
          <w:tcPr>
            <w:tcW w:w="1300" w:type="dxa"/>
            <w:tcBorders>
              <w:top w:val="single" w:color="000000" w:sz="4" w:space="0"/>
              <w:left w:val="single" w:color="000000" w:sz="4" w:space="0"/>
              <w:bottom w:val="single" w:color="000000" w:sz="8"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黑体" w:hAnsi="宋体" w:eastAsia="黑体" w:cs="黑体"/>
                <w:i w:val="0"/>
                <w:iCs w:val="0"/>
                <w:color w:val="0D0D0D"/>
                <w:sz w:val="24"/>
                <w:szCs w:val="24"/>
                <w:u w:val="none"/>
              </w:rPr>
            </w:pPr>
            <w:r>
              <w:rPr>
                <w:rFonts w:hint="eastAsia" w:ascii="黑体" w:hAnsi="宋体" w:eastAsia="黑体" w:cs="黑体"/>
                <w:i w:val="0"/>
                <w:iCs w:val="0"/>
                <w:color w:val="0D0D0D"/>
                <w:kern w:val="0"/>
                <w:sz w:val="24"/>
                <w:szCs w:val="24"/>
                <w:u w:val="none"/>
                <w:lang w:val="en-US" w:eastAsia="zh-CN" w:bidi="ar"/>
              </w:rPr>
              <w:t>5</w:t>
            </w:r>
          </w:p>
        </w:tc>
        <w:tc>
          <w:tcPr>
            <w:tcW w:w="1020" w:type="dxa"/>
            <w:tcBorders>
              <w:top w:val="single" w:color="000000" w:sz="4" w:space="0"/>
              <w:left w:val="single" w:color="000000" w:sz="4" w:space="0"/>
              <w:bottom w:val="single" w:color="000000" w:sz="8"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黑体" w:hAnsi="宋体" w:eastAsia="黑体" w:cs="黑体"/>
                <w:i w:val="0"/>
                <w:iCs w:val="0"/>
                <w:color w:val="0D0D0D"/>
                <w:sz w:val="24"/>
                <w:szCs w:val="24"/>
                <w:u w:val="none"/>
              </w:rPr>
            </w:pPr>
          </w:p>
        </w:tc>
        <w:tc>
          <w:tcPr>
            <w:tcW w:w="1220" w:type="dxa"/>
            <w:tcBorders>
              <w:top w:val="single" w:color="000000" w:sz="4" w:space="0"/>
              <w:left w:val="single" w:color="000000" w:sz="4" w:space="0"/>
              <w:bottom w:val="single" w:color="000000" w:sz="8" w:space="0"/>
              <w:right w:val="single" w:color="000000" w:sz="4" w:space="0"/>
            </w:tcBorders>
            <w:shd w:val="clear" w:color="auto" w:fill="FFFFFF" w:themeFill="background1"/>
            <w:vAlign w:val="center"/>
          </w:tcPr>
          <w:p>
            <w:pPr>
              <w:jc w:val="left"/>
              <w:rPr>
                <w:rFonts w:hint="eastAsia" w:ascii="黑体" w:hAnsi="宋体" w:eastAsia="黑体" w:cs="黑体"/>
                <w:i w:val="0"/>
                <w:iCs w:val="0"/>
                <w:color w:val="0D0D0D"/>
                <w:sz w:val="24"/>
                <w:szCs w:val="24"/>
                <w:u w:val="none"/>
              </w:rPr>
            </w:pPr>
          </w:p>
        </w:tc>
        <w:tc>
          <w:tcPr>
            <w:tcW w:w="1240" w:type="dxa"/>
            <w:tcBorders>
              <w:top w:val="single" w:color="000000" w:sz="4" w:space="0"/>
              <w:left w:val="single" w:color="000000" w:sz="4" w:space="0"/>
              <w:bottom w:val="single" w:color="000000" w:sz="8" w:space="0"/>
              <w:right w:val="single" w:color="000000" w:sz="4" w:space="0"/>
            </w:tcBorders>
            <w:shd w:val="clear" w:color="auto" w:fill="FFFFFF" w:themeFill="background1"/>
            <w:vAlign w:val="center"/>
          </w:tcPr>
          <w:p>
            <w:pPr>
              <w:jc w:val="center"/>
              <w:rPr>
                <w:rFonts w:hint="eastAsia" w:ascii="黑体" w:hAnsi="宋体" w:eastAsia="黑体" w:cs="黑体"/>
                <w:i w:val="0"/>
                <w:iCs w:val="0"/>
                <w:color w:val="0D0D0D"/>
                <w:sz w:val="24"/>
                <w:szCs w:val="24"/>
                <w:u w:val="none"/>
              </w:rPr>
            </w:pPr>
          </w:p>
        </w:tc>
        <w:tc>
          <w:tcPr>
            <w:tcW w:w="1220" w:type="dxa"/>
            <w:tcBorders>
              <w:top w:val="single" w:color="000000" w:sz="4" w:space="0"/>
              <w:left w:val="single" w:color="000000" w:sz="4" w:space="0"/>
              <w:bottom w:val="single" w:color="000000" w:sz="8" w:space="0"/>
              <w:right w:val="single" w:color="000000" w:sz="4" w:space="0"/>
            </w:tcBorders>
            <w:shd w:val="clear" w:color="auto" w:fill="FFFFFF" w:themeFill="background1"/>
            <w:vAlign w:val="center"/>
          </w:tcPr>
          <w:p>
            <w:pPr>
              <w:jc w:val="center"/>
              <w:rPr>
                <w:rFonts w:hint="eastAsia" w:ascii="黑体" w:hAnsi="宋体" w:eastAsia="黑体" w:cs="黑体"/>
                <w:i w:val="0"/>
                <w:iCs w:val="0"/>
                <w:color w:val="0D0D0D"/>
                <w:sz w:val="24"/>
                <w:szCs w:val="24"/>
                <w:u w:val="none"/>
              </w:rPr>
            </w:pPr>
          </w:p>
        </w:tc>
        <w:tc>
          <w:tcPr>
            <w:tcW w:w="1322" w:type="dxa"/>
            <w:tcBorders>
              <w:top w:val="single" w:color="000000" w:sz="4" w:space="0"/>
              <w:left w:val="single" w:color="000000" w:sz="4" w:space="0"/>
              <w:bottom w:val="single" w:color="000000" w:sz="8" w:space="0"/>
              <w:right w:val="single" w:color="000000" w:sz="8" w:space="0"/>
            </w:tcBorders>
            <w:shd w:val="clear" w:color="auto" w:fill="FFFFFF" w:themeFill="background1"/>
            <w:vAlign w:val="center"/>
          </w:tcPr>
          <w:p>
            <w:pPr>
              <w:jc w:val="center"/>
              <w:rPr>
                <w:rFonts w:hint="eastAsia" w:ascii="黑体" w:hAnsi="宋体" w:eastAsia="黑体" w:cs="黑体"/>
                <w:i w:val="0"/>
                <w:iCs w:val="0"/>
                <w:color w:val="0D0D0D"/>
                <w:sz w:val="24"/>
                <w:szCs w:val="24"/>
                <w:u w:val="none"/>
              </w:rPr>
            </w:pPr>
          </w:p>
        </w:tc>
      </w:tr>
    </w:tbl>
    <w:p>
      <w:pPr>
        <w:keepNext w:val="0"/>
        <w:keepLines w:val="0"/>
        <w:pageBreakBefore w:val="0"/>
        <w:widowControl w:val="0"/>
        <w:kinsoku/>
        <w:wordWrap/>
        <w:overflowPunct/>
        <w:topLinePunct w:val="0"/>
        <w:bidi w:val="0"/>
        <w:snapToGrid/>
        <w:textAlignment w:val="auto"/>
        <w:rPr>
          <w:rFonts w:ascii="仿宋_GB2312" w:hAnsi="仿宋_GB2312" w:eastAsia="仿宋_GB2312" w:cs="仿宋_GB2312"/>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ACF"/>
    <w:rsid w:val="003E7DAF"/>
    <w:rsid w:val="00621C88"/>
    <w:rsid w:val="006B5EC1"/>
    <w:rsid w:val="009069DF"/>
    <w:rsid w:val="009D5097"/>
    <w:rsid w:val="009D6CF4"/>
    <w:rsid w:val="00A65FCB"/>
    <w:rsid w:val="00A844A1"/>
    <w:rsid w:val="00AD0ACF"/>
    <w:rsid w:val="00D35090"/>
    <w:rsid w:val="00D57F76"/>
    <w:rsid w:val="00D6115A"/>
    <w:rsid w:val="00D6580C"/>
    <w:rsid w:val="00D72E9F"/>
    <w:rsid w:val="00FE377B"/>
    <w:rsid w:val="01A505E0"/>
    <w:rsid w:val="01D83BB9"/>
    <w:rsid w:val="01E50FD1"/>
    <w:rsid w:val="02350733"/>
    <w:rsid w:val="024766C4"/>
    <w:rsid w:val="03115012"/>
    <w:rsid w:val="033D48D4"/>
    <w:rsid w:val="05DE1CB2"/>
    <w:rsid w:val="08402B15"/>
    <w:rsid w:val="0AB35D19"/>
    <w:rsid w:val="0AB872BE"/>
    <w:rsid w:val="0C8A21A0"/>
    <w:rsid w:val="0FA222F2"/>
    <w:rsid w:val="1181718E"/>
    <w:rsid w:val="16476791"/>
    <w:rsid w:val="17A92A32"/>
    <w:rsid w:val="18074166"/>
    <w:rsid w:val="180B5B87"/>
    <w:rsid w:val="18D43729"/>
    <w:rsid w:val="190A5C9C"/>
    <w:rsid w:val="192D297E"/>
    <w:rsid w:val="193C6B05"/>
    <w:rsid w:val="19A50DB8"/>
    <w:rsid w:val="1DA32579"/>
    <w:rsid w:val="1DDF0BDF"/>
    <w:rsid w:val="1DE43FB6"/>
    <w:rsid w:val="21C676B8"/>
    <w:rsid w:val="23FC1969"/>
    <w:rsid w:val="241428B7"/>
    <w:rsid w:val="26696393"/>
    <w:rsid w:val="284505B8"/>
    <w:rsid w:val="284B3726"/>
    <w:rsid w:val="28B40580"/>
    <w:rsid w:val="29D41145"/>
    <w:rsid w:val="2A0943A5"/>
    <w:rsid w:val="2AA26547"/>
    <w:rsid w:val="2AB06457"/>
    <w:rsid w:val="2B4B682B"/>
    <w:rsid w:val="2BC73E84"/>
    <w:rsid w:val="2D4241AC"/>
    <w:rsid w:val="2E52600D"/>
    <w:rsid w:val="326D0948"/>
    <w:rsid w:val="32CD5C72"/>
    <w:rsid w:val="33FC5A14"/>
    <w:rsid w:val="34EF6B9B"/>
    <w:rsid w:val="358E6CE4"/>
    <w:rsid w:val="35EB65DE"/>
    <w:rsid w:val="379E7933"/>
    <w:rsid w:val="390E6155"/>
    <w:rsid w:val="3AEC76B8"/>
    <w:rsid w:val="402443A6"/>
    <w:rsid w:val="40F968BB"/>
    <w:rsid w:val="42BA573F"/>
    <w:rsid w:val="42E224E5"/>
    <w:rsid w:val="44416AB6"/>
    <w:rsid w:val="444D614C"/>
    <w:rsid w:val="45D805E0"/>
    <w:rsid w:val="476E5A68"/>
    <w:rsid w:val="48A4165F"/>
    <w:rsid w:val="48BD16AF"/>
    <w:rsid w:val="4A376E48"/>
    <w:rsid w:val="4AA96C79"/>
    <w:rsid w:val="4C53000C"/>
    <w:rsid w:val="4D850FDF"/>
    <w:rsid w:val="4E5F17A8"/>
    <w:rsid w:val="4E950415"/>
    <w:rsid w:val="4F4A3C38"/>
    <w:rsid w:val="50BB60E6"/>
    <w:rsid w:val="52A12CB1"/>
    <w:rsid w:val="54C36BC3"/>
    <w:rsid w:val="557638EF"/>
    <w:rsid w:val="55A44CF0"/>
    <w:rsid w:val="55CC1A0F"/>
    <w:rsid w:val="57AB7957"/>
    <w:rsid w:val="58AC534F"/>
    <w:rsid w:val="58C97159"/>
    <w:rsid w:val="58DA78CC"/>
    <w:rsid w:val="59B720BB"/>
    <w:rsid w:val="5AF37D8F"/>
    <w:rsid w:val="5AF744AE"/>
    <w:rsid w:val="5BAE67B9"/>
    <w:rsid w:val="5C5C0511"/>
    <w:rsid w:val="5C943DB9"/>
    <w:rsid w:val="5CA53F43"/>
    <w:rsid w:val="5D8D7008"/>
    <w:rsid w:val="5EC17913"/>
    <w:rsid w:val="5F267C1B"/>
    <w:rsid w:val="60E070AA"/>
    <w:rsid w:val="61CD7BFD"/>
    <w:rsid w:val="62D40FE6"/>
    <w:rsid w:val="631718E0"/>
    <w:rsid w:val="63B205A1"/>
    <w:rsid w:val="64510C2A"/>
    <w:rsid w:val="64735902"/>
    <w:rsid w:val="64AE31FC"/>
    <w:rsid w:val="66963BEB"/>
    <w:rsid w:val="669929D9"/>
    <w:rsid w:val="66A96D8E"/>
    <w:rsid w:val="68341006"/>
    <w:rsid w:val="69C3225A"/>
    <w:rsid w:val="6A22338C"/>
    <w:rsid w:val="6AB54AA3"/>
    <w:rsid w:val="6C6522ED"/>
    <w:rsid w:val="6C857302"/>
    <w:rsid w:val="6CFA6BEC"/>
    <w:rsid w:val="6D8B162A"/>
    <w:rsid w:val="6E03685C"/>
    <w:rsid w:val="6E7B0AEA"/>
    <w:rsid w:val="70C178E3"/>
    <w:rsid w:val="713E4A37"/>
    <w:rsid w:val="73FF25C7"/>
    <w:rsid w:val="751C3136"/>
    <w:rsid w:val="7678657F"/>
    <w:rsid w:val="77614D70"/>
    <w:rsid w:val="776B006E"/>
    <w:rsid w:val="77BA54B9"/>
    <w:rsid w:val="77CA608F"/>
    <w:rsid w:val="7B655448"/>
    <w:rsid w:val="7C26268D"/>
    <w:rsid w:val="7FA94C85"/>
    <w:rsid w:val="7FD20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329</Words>
  <Characters>1877</Characters>
  <Lines>15</Lines>
  <Paragraphs>4</Paragraphs>
  <TotalTime>24</TotalTime>
  <ScaleCrop>false</ScaleCrop>
  <LinksUpToDate>false</LinksUpToDate>
  <CharactersWithSpaces>2202</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吴锜迪</cp:lastModifiedBy>
  <dcterms:modified xsi:type="dcterms:W3CDTF">2025-12-04T12:58:44Z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8125D4464A53427891457EFE3CBB06FF</vt:lpwstr>
  </property>
</Properties>
</file>